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00"/>
        <w:spacing w:after="0"/>
        <w:rPr>
          <w:sz w:val="20"/>
          <w:szCs w:val="20"/>
          <w:color w:val="auto"/>
        </w:rPr>
      </w:pPr>
      <w:r>
        <w:rPr>
          <w:rFonts w:ascii="Arial" w:cs="Arial" w:eastAsia="Arial" w:hAnsi="Arial"/>
          <w:sz w:val="23"/>
          <w:szCs w:val="23"/>
          <w:b w:val="1"/>
          <w:bCs w:val="1"/>
          <w:color w:val="auto"/>
        </w:rPr>
        <w:drawing>
          <wp:anchor simplePos="0" relativeHeight="251657728" behindDoc="1" locked="0" layoutInCell="0" allowOverlap="1">
            <wp:simplePos x="0" y="0"/>
            <wp:positionH relativeFrom="page">
              <wp:posOffset>143510</wp:posOffset>
            </wp:positionH>
            <wp:positionV relativeFrom="page">
              <wp:posOffset>212090</wp:posOffset>
            </wp:positionV>
            <wp:extent cx="7274560" cy="139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4560" cy="13970"/>
                    </a:xfrm>
                    <a:prstGeom prst="rect">
                      <a:avLst/>
                    </a:prstGeom>
                    <a:noFill/>
                  </pic:spPr>
                </pic:pic>
              </a:graphicData>
            </a:graphic>
          </wp:anchor>
        </w:drawing>
        <w:t>UNITED STATES SECURITIES AND EXCHANGE COMMISSION</w:t>
      </w:r>
    </w:p>
    <w:p>
      <w:pPr>
        <w:spacing w:after="0" w:line="34" w:lineRule="exact"/>
        <w:rPr>
          <w:sz w:val="24"/>
          <w:szCs w:val="24"/>
          <w:color w:val="auto"/>
        </w:rPr>
      </w:pPr>
    </w:p>
    <w:p>
      <w:pPr>
        <w:jc w:val="center"/>
        <w:ind w:right="-1200"/>
        <w:spacing w:after="0"/>
        <w:rPr>
          <w:sz w:val="20"/>
          <w:szCs w:val="20"/>
          <w:color w:val="auto"/>
        </w:rPr>
      </w:pPr>
      <w:r>
        <w:rPr>
          <w:rFonts w:ascii="Arial" w:cs="Arial" w:eastAsia="Arial" w:hAnsi="Arial"/>
          <w:sz w:val="13"/>
          <w:szCs w:val="13"/>
          <w:b w:val="1"/>
          <w:bCs w:val="1"/>
          <w:color w:val="auto"/>
        </w:rPr>
        <w:t>WASHINGTON, D.C. 20549</w:t>
      </w:r>
    </w:p>
    <w:p>
      <w:pPr>
        <w:ind w:left="5060"/>
        <w:spacing w:after="0"/>
        <w:rPr>
          <w:sz w:val="20"/>
          <w:szCs w:val="20"/>
          <w:color w:val="auto"/>
        </w:rPr>
      </w:pPr>
      <w:r>
        <w:rPr>
          <w:rFonts w:ascii="Arial" w:cs="Arial" w:eastAsia="Arial" w:hAnsi="Arial"/>
          <w:sz w:val="14"/>
          <w:szCs w:val="14"/>
          <w:color w:val="auto"/>
        </w:rPr>
        <w:t>__________________</w:t>
      </w:r>
    </w:p>
    <w:p>
      <w:pPr>
        <w:spacing w:after="0" w:line="9" w:lineRule="exact"/>
        <w:rPr>
          <w:sz w:val="24"/>
          <w:szCs w:val="24"/>
          <w:color w:val="auto"/>
        </w:rPr>
      </w:pPr>
    </w:p>
    <w:p>
      <w:pPr>
        <w:ind w:left="5020"/>
        <w:spacing w:after="0"/>
        <w:rPr>
          <w:sz w:val="20"/>
          <w:szCs w:val="20"/>
          <w:color w:val="auto"/>
        </w:rPr>
      </w:pPr>
      <w:r>
        <w:rPr>
          <w:rFonts w:ascii="Arial" w:cs="Arial" w:eastAsia="Arial" w:hAnsi="Arial"/>
          <w:sz w:val="26"/>
          <w:szCs w:val="26"/>
          <w:b w:val="1"/>
          <w:bCs w:val="1"/>
          <w:color w:val="auto"/>
        </w:rPr>
        <w:t>FORM 10-Q</w:t>
      </w:r>
    </w:p>
    <w:p>
      <w:pPr>
        <w:spacing w:after="0" w:line="122" w:lineRule="exact"/>
        <w:rPr>
          <w:sz w:val="24"/>
          <w:szCs w:val="24"/>
          <w:color w:val="auto"/>
        </w:rPr>
      </w:pPr>
    </w:p>
    <w:p>
      <w:pPr>
        <w:spacing w:after="0"/>
        <w:rPr>
          <w:sz w:val="20"/>
          <w:szCs w:val="20"/>
          <w:color w:val="auto"/>
        </w:rPr>
      </w:pPr>
      <w:r>
        <w:rPr>
          <w:rFonts w:ascii="Arial" w:cs="Arial" w:eastAsia="Arial" w:hAnsi="Arial"/>
          <w:sz w:val="9"/>
          <w:szCs w:val="9"/>
          <w:b w:val="1"/>
          <w:bCs w:val="1"/>
          <w:color w:val="auto"/>
        </w:rPr>
        <w:t>(Mark One)</w:t>
      </w:r>
    </w:p>
    <w:p>
      <w:pPr>
        <w:spacing w:after="0" w:line="85" w:lineRule="exact"/>
        <w:rPr>
          <w:sz w:val="24"/>
          <w:szCs w:val="24"/>
          <w:color w:val="auto"/>
        </w:rPr>
      </w:pPr>
    </w:p>
    <w:p>
      <w:pPr>
        <w:ind w:left="380" w:right="3799" w:hanging="167"/>
        <w:spacing w:after="0" w:line="250" w:lineRule="auto"/>
        <w:tabs>
          <w:tab w:leader="none" w:pos="596" w:val="left"/>
        </w:tabs>
        <w:numPr>
          <w:ilvl w:val="0"/>
          <w:numId w:val="1"/>
        </w:numPr>
        <w:rPr>
          <w:rFonts w:ascii="MS PGothic" w:cs="MS PGothic" w:eastAsia="MS PGothic" w:hAnsi="MS PGothic"/>
          <w:sz w:val="14"/>
          <w:szCs w:val="14"/>
          <w:color w:val="auto"/>
        </w:rPr>
      </w:pPr>
      <w:r>
        <w:rPr>
          <w:rFonts w:ascii="Arial" w:cs="Arial" w:eastAsia="Arial" w:hAnsi="Arial"/>
          <w:sz w:val="11"/>
          <w:szCs w:val="11"/>
          <w:b w:val="1"/>
          <w:bCs w:val="1"/>
          <w:color w:val="auto"/>
        </w:rPr>
        <w:t>QUARTERLY REPORT PURSUANT TO SECTION 13 OR 15(d) OF THE SECURITIES EXCHANGE ACT OF 1934 For the quarterly period ended September 30, 2019</w:t>
      </w:r>
    </w:p>
    <w:p>
      <w:pPr>
        <w:ind w:left="5620"/>
        <w:spacing w:after="0"/>
        <w:rPr>
          <w:sz w:val="20"/>
          <w:szCs w:val="20"/>
          <w:color w:val="auto"/>
        </w:rPr>
      </w:pPr>
      <w:r>
        <w:rPr>
          <w:rFonts w:ascii="Arial" w:cs="Arial" w:eastAsia="Arial" w:hAnsi="Arial"/>
          <w:sz w:val="11"/>
          <w:szCs w:val="11"/>
          <w:b w:val="1"/>
          <w:bCs w:val="1"/>
          <w:color w:val="auto"/>
        </w:rPr>
        <w:t>OR</w:t>
      </w:r>
    </w:p>
    <w:p>
      <w:pPr>
        <w:spacing w:after="0" w:line="174" w:lineRule="exact"/>
        <w:rPr>
          <w:sz w:val="24"/>
          <w:szCs w:val="24"/>
          <w:color w:val="auto"/>
        </w:rPr>
      </w:pPr>
    </w:p>
    <w:p>
      <w:pPr>
        <w:ind w:left="580" w:right="3779" w:hanging="367"/>
        <w:spacing w:after="0" w:line="315" w:lineRule="auto"/>
        <w:tabs>
          <w:tab w:leader="none" w:pos="580" w:val="left"/>
        </w:tabs>
        <w:numPr>
          <w:ilvl w:val="0"/>
          <w:numId w:val="2"/>
        </w:numPr>
        <w:rPr>
          <w:rFonts w:ascii="MS PGothic" w:cs="MS PGothic" w:eastAsia="MS PGothic" w:hAnsi="MS PGothic"/>
          <w:sz w:val="14"/>
          <w:szCs w:val="14"/>
          <w:color w:val="auto"/>
        </w:rPr>
      </w:pPr>
      <w:r>
        <w:rPr>
          <w:rFonts w:ascii="Arial" w:cs="Arial" w:eastAsia="Arial" w:hAnsi="Arial"/>
          <w:sz w:val="11"/>
          <w:szCs w:val="11"/>
          <w:b w:val="1"/>
          <w:bCs w:val="1"/>
          <w:color w:val="auto"/>
        </w:rPr>
        <w:t>TRANSITION REPORT PURSUANT TO SECTION 13 OR 15(d) OF THE SECURITIES EXCHANGE ACT OF 1934 FOR THE TRANSITION PERIOD FROM __________________ TO __________________</w:t>
      </w:r>
    </w:p>
    <w:p>
      <w:pPr>
        <w:spacing w:after="0" w:line="137" w:lineRule="exact"/>
        <w:rPr>
          <w:sz w:val="24"/>
          <w:szCs w:val="24"/>
          <w:color w:val="auto"/>
        </w:rPr>
      </w:pPr>
    </w:p>
    <w:p>
      <w:pPr>
        <w:jc w:val="center"/>
        <w:ind w:right="-1200"/>
        <w:spacing w:after="0"/>
        <w:rPr>
          <w:sz w:val="20"/>
          <w:szCs w:val="20"/>
          <w:color w:val="auto"/>
        </w:rPr>
      </w:pPr>
      <w:r>
        <w:rPr>
          <w:rFonts w:ascii="Arial" w:cs="Arial" w:eastAsia="Arial" w:hAnsi="Arial"/>
          <w:sz w:val="13"/>
          <w:szCs w:val="13"/>
          <w:b w:val="1"/>
          <w:bCs w:val="1"/>
          <w:color w:val="auto"/>
        </w:rPr>
        <w:t>Commission file number 1-31447</w:t>
      </w:r>
    </w:p>
    <w:p>
      <w:pPr>
        <w:spacing w:after="0" w:line="40" w:lineRule="exact"/>
        <w:rPr>
          <w:sz w:val="24"/>
          <w:szCs w:val="24"/>
          <w:color w:val="auto"/>
        </w:rPr>
      </w:pPr>
    </w:p>
    <w:p>
      <w:pPr>
        <w:jc w:val="center"/>
        <w:ind w:right="-1200"/>
        <w:spacing w:after="0"/>
        <w:rPr>
          <w:sz w:val="20"/>
          <w:szCs w:val="20"/>
          <w:color w:val="auto"/>
        </w:rPr>
      </w:pPr>
      <w:r>
        <w:rPr>
          <w:rFonts w:ascii="Arial" w:cs="Arial" w:eastAsia="Arial" w:hAnsi="Arial"/>
          <w:sz w:val="23"/>
          <w:szCs w:val="23"/>
          <w:b w:val="1"/>
          <w:bCs w:val="1"/>
          <w:color w:val="auto"/>
        </w:rPr>
        <w:t>CenterPoint Energy, Inc.</w:t>
      </w:r>
    </w:p>
    <w:p>
      <w:pPr>
        <w:spacing w:after="0" w:line="53" w:lineRule="exact"/>
        <w:rPr>
          <w:sz w:val="24"/>
          <w:szCs w:val="24"/>
          <w:color w:val="auto"/>
        </w:rPr>
      </w:pPr>
    </w:p>
    <w:p>
      <w:pPr>
        <w:ind w:left="4280"/>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152" w:lineRule="exact"/>
        <w:rPr>
          <w:sz w:val="24"/>
          <w:szCs w:val="24"/>
          <w:color w:val="auto"/>
        </w:rPr>
      </w:pPr>
    </w:p>
    <w:tbl>
      <w:tblPr>
        <w:tblLayout w:type="fixed"/>
        <w:tblInd w:w="880" w:type="dxa"/>
        <w:tblCellMar>
          <w:top w:w="0" w:type="dxa"/>
          <w:left w:w="0" w:type="dxa"/>
          <w:bottom w:w="0" w:type="dxa"/>
          <w:right w:w="0" w:type="dxa"/>
        </w:tblCellMar>
      </w:tblPr>
      <w:tr>
        <w:trPr>
          <w:trHeight w:val="167"/>
        </w:trPr>
        <w:tc>
          <w:tcPr>
            <w:tcW w:w="2880" w:type="dxa"/>
            <w:vAlign w:val="bottom"/>
          </w:tcPr>
          <w:p>
            <w:pPr>
              <w:jc w:val="center"/>
              <w:ind w:right="95"/>
              <w:spacing w:after="0"/>
              <w:rPr>
                <w:sz w:val="20"/>
                <w:szCs w:val="20"/>
                <w:color w:val="auto"/>
              </w:rPr>
            </w:pPr>
            <w:r>
              <w:rPr>
                <w:rFonts w:ascii="Arial" w:cs="Arial" w:eastAsia="Arial" w:hAnsi="Arial"/>
                <w:sz w:val="13"/>
                <w:szCs w:val="13"/>
                <w:b w:val="1"/>
                <w:bCs w:val="1"/>
                <w:color w:val="auto"/>
                <w:w w:val="86"/>
              </w:rPr>
              <w:t>Texas</w:t>
            </w:r>
          </w:p>
        </w:tc>
        <w:tc>
          <w:tcPr>
            <w:tcW w:w="150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840" w:type="dxa"/>
            <w:vAlign w:val="bottom"/>
          </w:tcPr>
          <w:p>
            <w:pPr>
              <w:jc w:val="right"/>
              <w:ind w:right="479"/>
              <w:spacing w:after="0"/>
              <w:rPr>
                <w:sz w:val="20"/>
                <w:szCs w:val="20"/>
                <w:color w:val="auto"/>
              </w:rPr>
            </w:pPr>
            <w:r>
              <w:rPr>
                <w:rFonts w:ascii="Arial" w:cs="Arial" w:eastAsia="Arial" w:hAnsi="Arial"/>
                <w:sz w:val="13"/>
                <w:szCs w:val="13"/>
                <w:b w:val="1"/>
                <w:bCs w:val="1"/>
                <w:color w:val="auto"/>
              </w:rPr>
              <w:t>74-0694415</w:t>
            </w:r>
          </w:p>
        </w:tc>
        <w:tc>
          <w:tcPr>
            <w:tcW w:w="0" w:type="dxa"/>
            <w:vAlign w:val="bottom"/>
          </w:tcPr>
          <w:p>
            <w:pPr>
              <w:spacing w:after="0"/>
              <w:rPr>
                <w:sz w:val="1"/>
                <w:szCs w:val="1"/>
                <w:color w:val="auto"/>
              </w:rPr>
            </w:pPr>
          </w:p>
        </w:tc>
      </w:tr>
      <w:tr>
        <w:trPr>
          <w:trHeight w:val="190"/>
        </w:trPr>
        <w:tc>
          <w:tcPr>
            <w:tcW w:w="2880" w:type="dxa"/>
            <w:vAlign w:val="bottom"/>
            <w:vMerge w:val="restart"/>
          </w:tcPr>
          <w:p>
            <w:pPr>
              <w:jc w:val="center"/>
              <w:ind w:right="75"/>
              <w:spacing w:after="0"/>
              <w:rPr>
                <w:sz w:val="20"/>
                <w:szCs w:val="20"/>
                <w:color w:val="auto"/>
              </w:rPr>
            </w:pPr>
            <w:r>
              <w:rPr>
                <w:rFonts w:ascii="Arial" w:cs="Arial" w:eastAsia="Arial" w:hAnsi="Arial"/>
                <w:sz w:val="11"/>
                <w:szCs w:val="11"/>
                <w:color w:val="auto"/>
                <w:w w:val="96"/>
              </w:rPr>
              <w:t>(State or other jurisdiction of incorporation or organization)</w:t>
            </w:r>
          </w:p>
        </w:tc>
        <w:tc>
          <w:tcPr>
            <w:tcW w:w="150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1840" w:type="dxa"/>
            <w:vAlign w:val="bottom"/>
          </w:tcPr>
          <w:p>
            <w:pPr>
              <w:jc w:val="center"/>
              <w:ind w:left="99"/>
              <w:spacing w:after="0"/>
              <w:rPr>
                <w:sz w:val="20"/>
                <w:szCs w:val="20"/>
                <w:color w:val="auto"/>
              </w:rPr>
            </w:pPr>
            <w:r>
              <w:rPr>
                <w:rFonts w:ascii="Arial" w:cs="Arial" w:eastAsia="Arial" w:hAnsi="Arial"/>
                <w:sz w:val="11"/>
                <w:szCs w:val="11"/>
                <w:color w:val="auto"/>
                <w:w w:val="99"/>
              </w:rPr>
              <w:t>(I.R.S. Employer Identification No.)</w:t>
            </w:r>
          </w:p>
        </w:tc>
        <w:tc>
          <w:tcPr>
            <w:tcW w:w="0" w:type="dxa"/>
            <w:vAlign w:val="bottom"/>
          </w:tcPr>
          <w:p>
            <w:pPr>
              <w:spacing w:after="0"/>
              <w:rPr>
                <w:sz w:val="1"/>
                <w:szCs w:val="1"/>
                <w:color w:val="auto"/>
              </w:rPr>
            </w:pPr>
          </w:p>
        </w:tc>
      </w:tr>
      <w:tr>
        <w:trPr>
          <w:trHeight w:val="43"/>
        </w:trPr>
        <w:tc>
          <w:tcPr>
            <w:tcW w:w="2880" w:type="dxa"/>
            <w:vAlign w:val="bottom"/>
            <w:vMerge w:val="continue"/>
          </w:tcPr>
          <w:p>
            <w:pPr>
              <w:spacing w:after="0"/>
              <w:rPr>
                <w:sz w:val="3"/>
                <w:szCs w:val="3"/>
                <w:color w:val="auto"/>
              </w:rPr>
            </w:pPr>
          </w:p>
        </w:tc>
        <w:tc>
          <w:tcPr>
            <w:tcW w:w="1500" w:type="dxa"/>
            <w:vAlign w:val="bottom"/>
          </w:tcPr>
          <w:p>
            <w:pPr>
              <w:spacing w:after="0"/>
              <w:rPr>
                <w:sz w:val="3"/>
                <w:szCs w:val="3"/>
                <w:color w:val="auto"/>
              </w:rPr>
            </w:pPr>
          </w:p>
        </w:tc>
        <w:tc>
          <w:tcPr>
            <w:tcW w:w="2740" w:type="dxa"/>
            <w:vAlign w:val="bottom"/>
          </w:tcPr>
          <w:p>
            <w:pPr>
              <w:spacing w:after="0"/>
              <w:rPr>
                <w:sz w:val="3"/>
                <w:szCs w:val="3"/>
                <w:color w:val="auto"/>
              </w:rPr>
            </w:pPr>
          </w:p>
        </w:tc>
        <w:tc>
          <w:tcPr>
            <w:tcW w:w="18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5"/>
        </w:trPr>
        <w:tc>
          <w:tcPr>
            <w:tcW w:w="2880" w:type="dxa"/>
            <w:vAlign w:val="bottom"/>
          </w:tcPr>
          <w:p>
            <w:pPr>
              <w:jc w:val="center"/>
              <w:ind w:right="75"/>
              <w:spacing w:after="0"/>
              <w:rPr>
                <w:sz w:val="20"/>
                <w:szCs w:val="20"/>
                <w:color w:val="auto"/>
              </w:rPr>
            </w:pPr>
            <w:r>
              <w:rPr>
                <w:rFonts w:ascii="Arial" w:cs="Arial" w:eastAsia="Arial" w:hAnsi="Arial"/>
                <w:sz w:val="13"/>
                <w:szCs w:val="13"/>
                <w:b w:val="1"/>
                <w:bCs w:val="1"/>
                <w:color w:val="auto"/>
                <w:w w:val="87"/>
              </w:rPr>
              <w:t>1111 Louisiana</w:t>
            </w:r>
          </w:p>
        </w:tc>
        <w:tc>
          <w:tcPr>
            <w:tcW w:w="1500" w:type="dxa"/>
            <w:vAlign w:val="bottom"/>
          </w:tcPr>
          <w:p>
            <w:pPr>
              <w:ind w:left="980"/>
              <w:spacing w:after="0"/>
              <w:rPr>
                <w:sz w:val="20"/>
                <w:szCs w:val="20"/>
                <w:color w:val="auto"/>
              </w:rPr>
            </w:pPr>
            <w:r>
              <w:rPr>
                <w:rFonts w:ascii="Arial" w:cs="Arial" w:eastAsia="Arial" w:hAnsi="Arial"/>
                <w:sz w:val="13"/>
                <w:szCs w:val="13"/>
                <w:b w:val="1"/>
                <w:bCs w:val="1"/>
                <w:color w:val="auto"/>
                <w:w w:val="94"/>
              </w:rPr>
              <w:t>Houston</w:t>
            </w:r>
          </w:p>
        </w:tc>
        <w:tc>
          <w:tcPr>
            <w:tcW w:w="2740" w:type="dxa"/>
            <w:vAlign w:val="bottom"/>
          </w:tcPr>
          <w:p>
            <w:pPr>
              <w:ind w:left="580"/>
              <w:spacing w:after="0"/>
              <w:rPr>
                <w:sz w:val="20"/>
                <w:szCs w:val="20"/>
                <w:color w:val="auto"/>
              </w:rPr>
            </w:pPr>
            <w:r>
              <w:rPr>
                <w:rFonts w:ascii="Arial" w:cs="Arial" w:eastAsia="Arial" w:hAnsi="Arial"/>
                <w:sz w:val="13"/>
                <w:szCs w:val="13"/>
                <w:b w:val="1"/>
                <w:bCs w:val="1"/>
                <w:color w:val="auto"/>
              </w:rPr>
              <w:t>Texas</w:t>
            </w:r>
          </w:p>
        </w:tc>
        <w:tc>
          <w:tcPr>
            <w:tcW w:w="1840" w:type="dxa"/>
            <w:vAlign w:val="bottom"/>
          </w:tcPr>
          <w:p>
            <w:pPr>
              <w:jc w:val="center"/>
              <w:ind w:left="99"/>
              <w:spacing w:after="0"/>
              <w:rPr>
                <w:sz w:val="20"/>
                <w:szCs w:val="20"/>
                <w:color w:val="auto"/>
              </w:rPr>
            </w:pPr>
            <w:r>
              <w:rPr>
                <w:rFonts w:ascii="Arial" w:cs="Arial" w:eastAsia="Arial" w:hAnsi="Arial"/>
                <w:sz w:val="13"/>
                <w:szCs w:val="13"/>
                <w:b w:val="1"/>
                <w:bCs w:val="1"/>
                <w:color w:val="auto"/>
                <w:w w:val="88"/>
              </w:rPr>
              <w:t>77002</w:t>
            </w:r>
          </w:p>
        </w:tc>
        <w:tc>
          <w:tcPr>
            <w:tcW w:w="0" w:type="dxa"/>
            <w:vAlign w:val="bottom"/>
          </w:tcPr>
          <w:p>
            <w:pPr>
              <w:spacing w:after="0"/>
              <w:rPr>
                <w:sz w:val="1"/>
                <w:szCs w:val="1"/>
                <w:color w:val="auto"/>
              </w:rPr>
            </w:pPr>
          </w:p>
        </w:tc>
      </w:tr>
      <w:tr>
        <w:trPr>
          <w:trHeight w:val="233"/>
        </w:trPr>
        <w:tc>
          <w:tcPr>
            <w:tcW w:w="2880" w:type="dxa"/>
            <w:vAlign w:val="bottom"/>
          </w:tcPr>
          <w:p>
            <w:pPr>
              <w:jc w:val="center"/>
              <w:ind w:right="95"/>
              <w:spacing w:after="0"/>
              <w:rPr>
                <w:sz w:val="20"/>
                <w:szCs w:val="20"/>
                <w:color w:val="auto"/>
              </w:rPr>
            </w:pPr>
            <w:r>
              <w:rPr>
                <w:rFonts w:ascii="Arial" w:cs="Arial" w:eastAsia="Arial" w:hAnsi="Arial"/>
                <w:sz w:val="11"/>
                <w:szCs w:val="11"/>
                <w:color w:val="auto"/>
                <w:w w:val="97"/>
              </w:rPr>
              <w:t>(Address of Principal Executive Offices)</w:t>
            </w:r>
          </w:p>
        </w:tc>
        <w:tc>
          <w:tcPr>
            <w:tcW w:w="150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1840" w:type="dxa"/>
            <w:vAlign w:val="bottom"/>
          </w:tcPr>
          <w:p>
            <w:pPr>
              <w:jc w:val="center"/>
              <w:ind w:left="99"/>
              <w:spacing w:after="0"/>
              <w:rPr>
                <w:sz w:val="20"/>
                <w:szCs w:val="20"/>
                <w:color w:val="auto"/>
              </w:rPr>
            </w:pPr>
            <w:r>
              <w:rPr>
                <w:rFonts w:ascii="Arial" w:cs="Arial" w:eastAsia="Arial" w:hAnsi="Arial"/>
                <w:sz w:val="11"/>
                <w:szCs w:val="11"/>
                <w:color w:val="auto"/>
                <w:w w:val="99"/>
              </w:rPr>
              <w:t>(Zip Code)</w:t>
            </w:r>
          </w:p>
        </w:tc>
        <w:tc>
          <w:tcPr>
            <w:tcW w:w="0" w:type="dxa"/>
            <w:vAlign w:val="bottom"/>
          </w:tcPr>
          <w:p>
            <w:pPr>
              <w:spacing w:after="0"/>
              <w:rPr>
                <w:sz w:val="1"/>
                <w:szCs w:val="1"/>
                <w:color w:val="auto"/>
              </w:rPr>
            </w:pPr>
          </w:p>
        </w:tc>
      </w:tr>
      <w:tr>
        <w:trPr>
          <w:trHeight w:val="187"/>
        </w:trPr>
        <w:tc>
          <w:tcPr>
            <w:tcW w:w="28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740" w:type="dxa"/>
            <w:vAlign w:val="bottom"/>
          </w:tcPr>
          <w:p>
            <w:pPr>
              <w:jc w:val="center"/>
              <w:ind w:right="1775"/>
              <w:spacing w:after="0"/>
              <w:rPr>
                <w:sz w:val="20"/>
                <w:szCs w:val="20"/>
                <w:color w:val="auto"/>
              </w:rPr>
            </w:pPr>
            <w:r>
              <w:rPr>
                <w:rFonts w:ascii="Arial" w:cs="Arial" w:eastAsia="Arial" w:hAnsi="Arial"/>
                <w:sz w:val="13"/>
                <w:szCs w:val="13"/>
                <w:b w:val="1"/>
                <w:bCs w:val="1"/>
                <w:color w:val="auto"/>
                <w:w w:val="87"/>
              </w:rPr>
              <w:t>(713) 207-1111</w:t>
            </w:r>
          </w:p>
        </w:tc>
        <w:tc>
          <w:tcPr>
            <w:tcW w:w="1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2880" w:type="dxa"/>
            <w:vAlign w:val="bottom"/>
          </w:tcPr>
          <w:p>
            <w:pPr>
              <w:spacing w:after="0"/>
              <w:rPr>
                <w:sz w:val="12"/>
                <w:szCs w:val="12"/>
                <w:color w:val="auto"/>
              </w:rPr>
            </w:pPr>
          </w:p>
        </w:tc>
        <w:tc>
          <w:tcPr>
            <w:tcW w:w="4240" w:type="dxa"/>
            <w:vAlign w:val="bottom"/>
            <w:gridSpan w:val="2"/>
          </w:tcPr>
          <w:p>
            <w:pPr>
              <w:jc w:val="center"/>
              <w:ind w:right="275"/>
              <w:spacing w:after="0"/>
              <w:rPr>
                <w:sz w:val="20"/>
                <w:szCs w:val="20"/>
                <w:color w:val="auto"/>
              </w:rPr>
            </w:pPr>
            <w:r>
              <w:rPr>
                <w:rFonts w:ascii="Arial" w:cs="Arial" w:eastAsia="Arial" w:hAnsi="Arial"/>
                <w:sz w:val="11"/>
                <w:szCs w:val="11"/>
                <w:color w:val="auto"/>
                <w:w w:val="93"/>
              </w:rPr>
              <w:t>Registrant's telephone number, including area code</w:t>
            </w:r>
          </w:p>
        </w:tc>
        <w:tc>
          <w:tcPr>
            <w:tcW w:w="1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7"/>
        </w:trPr>
        <w:tc>
          <w:tcPr>
            <w:tcW w:w="2880" w:type="dxa"/>
            <w:vAlign w:val="bottom"/>
          </w:tcPr>
          <w:p>
            <w:pPr>
              <w:spacing w:after="0"/>
              <w:rPr>
                <w:sz w:val="24"/>
                <w:szCs w:val="24"/>
                <w:color w:val="auto"/>
              </w:rPr>
            </w:pPr>
          </w:p>
        </w:tc>
        <w:tc>
          <w:tcPr>
            <w:tcW w:w="4240" w:type="dxa"/>
            <w:vAlign w:val="bottom"/>
            <w:gridSpan w:val="2"/>
          </w:tcPr>
          <w:p>
            <w:pPr>
              <w:jc w:val="center"/>
              <w:ind w:right="255"/>
              <w:spacing w:after="0"/>
              <w:rPr>
                <w:sz w:val="20"/>
                <w:szCs w:val="20"/>
                <w:color w:val="auto"/>
              </w:rPr>
            </w:pPr>
            <w:r>
              <w:rPr>
                <w:rFonts w:ascii="Arial" w:cs="Arial" w:eastAsia="Arial" w:hAnsi="Arial"/>
                <w:sz w:val="13"/>
                <w:szCs w:val="13"/>
                <w:b w:val="1"/>
                <w:bCs w:val="1"/>
                <w:color w:val="auto"/>
                <w:w w:val="89"/>
              </w:rPr>
              <w:t>Commission file number 1-3187</w:t>
            </w: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7120" w:type="dxa"/>
            <w:vAlign w:val="bottom"/>
            <w:gridSpan w:val="3"/>
          </w:tcPr>
          <w:p>
            <w:pPr>
              <w:jc w:val="center"/>
              <w:ind w:left="2475"/>
              <w:spacing w:after="0"/>
              <w:rPr>
                <w:sz w:val="20"/>
                <w:szCs w:val="20"/>
                <w:color w:val="auto"/>
              </w:rPr>
            </w:pPr>
            <w:r>
              <w:rPr>
                <w:rFonts w:ascii="Arial" w:cs="Arial" w:eastAsia="Arial" w:hAnsi="Arial"/>
                <w:sz w:val="23"/>
                <w:szCs w:val="23"/>
                <w:b w:val="1"/>
                <w:bCs w:val="1"/>
                <w:color w:val="auto"/>
                <w:w w:val="92"/>
              </w:rPr>
              <w:t>CenterPoint Energy Houston Electric, LLC</w:t>
            </w: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2880" w:type="dxa"/>
            <w:vAlign w:val="bottom"/>
          </w:tcPr>
          <w:p>
            <w:pPr>
              <w:spacing w:after="0"/>
              <w:rPr>
                <w:sz w:val="16"/>
                <w:szCs w:val="16"/>
                <w:color w:val="auto"/>
              </w:rPr>
            </w:pPr>
          </w:p>
        </w:tc>
        <w:tc>
          <w:tcPr>
            <w:tcW w:w="4240" w:type="dxa"/>
            <w:vAlign w:val="bottom"/>
            <w:gridSpan w:val="2"/>
          </w:tcPr>
          <w:p>
            <w:pPr>
              <w:jc w:val="center"/>
              <w:ind w:right="275"/>
              <w:spacing w:after="0"/>
              <w:rPr>
                <w:sz w:val="20"/>
                <w:szCs w:val="20"/>
                <w:color w:val="auto"/>
              </w:rPr>
            </w:pPr>
            <w:r>
              <w:rPr>
                <w:rFonts w:ascii="Arial" w:cs="Arial" w:eastAsia="Arial" w:hAnsi="Arial"/>
                <w:sz w:val="13"/>
                <w:szCs w:val="13"/>
                <w:b w:val="1"/>
                <w:bCs w:val="1"/>
                <w:color w:val="auto"/>
                <w:w w:val="89"/>
              </w:rPr>
              <w:t>(Exact name of registrant as specified in its charter)</w:t>
            </w:r>
          </w:p>
        </w:tc>
        <w:tc>
          <w:tcPr>
            <w:tcW w:w="1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2"/>
        </w:trPr>
        <w:tc>
          <w:tcPr>
            <w:tcW w:w="2880" w:type="dxa"/>
            <w:vAlign w:val="bottom"/>
          </w:tcPr>
          <w:p>
            <w:pPr>
              <w:jc w:val="center"/>
              <w:ind w:right="95"/>
              <w:spacing w:after="0"/>
              <w:rPr>
                <w:sz w:val="20"/>
                <w:szCs w:val="20"/>
                <w:color w:val="auto"/>
              </w:rPr>
            </w:pPr>
            <w:r>
              <w:rPr>
                <w:rFonts w:ascii="Arial" w:cs="Arial" w:eastAsia="Arial" w:hAnsi="Arial"/>
                <w:sz w:val="13"/>
                <w:szCs w:val="13"/>
                <w:b w:val="1"/>
                <w:bCs w:val="1"/>
                <w:color w:val="auto"/>
                <w:w w:val="86"/>
              </w:rPr>
              <w:t>Texas</w:t>
            </w:r>
          </w:p>
        </w:tc>
        <w:tc>
          <w:tcPr>
            <w:tcW w:w="150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840" w:type="dxa"/>
            <w:vAlign w:val="bottom"/>
          </w:tcPr>
          <w:p>
            <w:pPr>
              <w:jc w:val="right"/>
              <w:ind w:right="479"/>
              <w:spacing w:after="0"/>
              <w:rPr>
                <w:sz w:val="20"/>
                <w:szCs w:val="20"/>
                <w:color w:val="auto"/>
              </w:rPr>
            </w:pPr>
            <w:r>
              <w:rPr>
                <w:rFonts w:ascii="Arial" w:cs="Arial" w:eastAsia="Arial" w:hAnsi="Arial"/>
                <w:sz w:val="13"/>
                <w:szCs w:val="13"/>
                <w:b w:val="1"/>
                <w:bCs w:val="1"/>
                <w:color w:val="auto"/>
              </w:rPr>
              <w:t>22-3865106</w:t>
            </w:r>
          </w:p>
        </w:tc>
        <w:tc>
          <w:tcPr>
            <w:tcW w:w="0" w:type="dxa"/>
            <w:vAlign w:val="bottom"/>
          </w:tcPr>
          <w:p>
            <w:pPr>
              <w:spacing w:after="0"/>
              <w:rPr>
                <w:sz w:val="1"/>
                <w:szCs w:val="1"/>
                <w:color w:val="auto"/>
              </w:rPr>
            </w:pPr>
          </w:p>
        </w:tc>
      </w:tr>
      <w:tr>
        <w:trPr>
          <w:trHeight w:val="190"/>
        </w:trPr>
        <w:tc>
          <w:tcPr>
            <w:tcW w:w="2880" w:type="dxa"/>
            <w:vAlign w:val="bottom"/>
            <w:vMerge w:val="restart"/>
          </w:tcPr>
          <w:p>
            <w:pPr>
              <w:jc w:val="center"/>
              <w:ind w:right="75"/>
              <w:spacing w:after="0"/>
              <w:rPr>
                <w:sz w:val="20"/>
                <w:szCs w:val="20"/>
                <w:color w:val="auto"/>
              </w:rPr>
            </w:pPr>
            <w:r>
              <w:rPr>
                <w:rFonts w:ascii="Arial" w:cs="Arial" w:eastAsia="Arial" w:hAnsi="Arial"/>
                <w:sz w:val="11"/>
                <w:szCs w:val="11"/>
                <w:color w:val="auto"/>
                <w:w w:val="96"/>
              </w:rPr>
              <w:t>(State or other jurisdiction of incorporation or organization)</w:t>
            </w:r>
          </w:p>
        </w:tc>
        <w:tc>
          <w:tcPr>
            <w:tcW w:w="150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1840" w:type="dxa"/>
            <w:vAlign w:val="bottom"/>
          </w:tcPr>
          <w:p>
            <w:pPr>
              <w:jc w:val="center"/>
              <w:ind w:left="99"/>
              <w:spacing w:after="0"/>
              <w:rPr>
                <w:sz w:val="20"/>
                <w:szCs w:val="20"/>
                <w:color w:val="auto"/>
              </w:rPr>
            </w:pPr>
            <w:r>
              <w:rPr>
                <w:rFonts w:ascii="Arial" w:cs="Arial" w:eastAsia="Arial" w:hAnsi="Arial"/>
                <w:sz w:val="11"/>
                <w:szCs w:val="11"/>
                <w:color w:val="auto"/>
                <w:w w:val="99"/>
              </w:rPr>
              <w:t>(I.R.S. Employer Identification No.)</w:t>
            </w:r>
          </w:p>
        </w:tc>
        <w:tc>
          <w:tcPr>
            <w:tcW w:w="0" w:type="dxa"/>
            <w:vAlign w:val="bottom"/>
          </w:tcPr>
          <w:p>
            <w:pPr>
              <w:spacing w:after="0"/>
              <w:rPr>
                <w:sz w:val="1"/>
                <w:szCs w:val="1"/>
                <w:color w:val="auto"/>
              </w:rPr>
            </w:pPr>
          </w:p>
        </w:tc>
      </w:tr>
      <w:tr>
        <w:trPr>
          <w:trHeight w:val="43"/>
        </w:trPr>
        <w:tc>
          <w:tcPr>
            <w:tcW w:w="2880" w:type="dxa"/>
            <w:vAlign w:val="bottom"/>
            <w:vMerge w:val="continue"/>
          </w:tcPr>
          <w:p>
            <w:pPr>
              <w:spacing w:after="0"/>
              <w:rPr>
                <w:sz w:val="3"/>
                <w:szCs w:val="3"/>
                <w:color w:val="auto"/>
              </w:rPr>
            </w:pPr>
          </w:p>
        </w:tc>
        <w:tc>
          <w:tcPr>
            <w:tcW w:w="1500" w:type="dxa"/>
            <w:vAlign w:val="bottom"/>
          </w:tcPr>
          <w:p>
            <w:pPr>
              <w:spacing w:after="0"/>
              <w:rPr>
                <w:sz w:val="3"/>
                <w:szCs w:val="3"/>
                <w:color w:val="auto"/>
              </w:rPr>
            </w:pPr>
          </w:p>
        </w:tc>
        <w:tc>
          <w:tcPr>
            <w:tcW w:w="2740" w:type="dxa"/>
            <w:vAlign w:val="bottom"/>
          </w:tcPr>
          <w:p>
            <w:pPr>
              <w:spacing w:after="0"/>
              <w:rPr>
                <w:sz w:val="3"/>
                <w:szCs w:val="3"/>
                <w:color w:val="auto"/>
              </w:rPr>
            </w:pPr>
          </w:p>
        </w:tc>
        <w:tc>
          <w:tcPr>
            <w:tcW w:w="18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5"/>
        </w:trPr>
        <w:tc>
          <w:tcPr>
            <w:tcW w:w="2880" w:type="dxa"/>
            <w:vAlign w:val="bottom"/>
          </w:tcPr>
          <w:p>
            <w:pPr>
              <w:jc w:val="center"/>
              <w:ind w:right="75"/>
              <w:spacing w:after="0"/>
              <w:rPr>
                <w:sz w:val="20"/>
                <w:szCs w:val="20"/>
                <w:color w:val="auto"/>
              </w:rPr>
            </w:pPr>
            <w:r>
              <w:rPr>
                <w:rFonts w:ascii="Arial" w:cs="Arial" w:eastAsia="Arial" w:hAnsi="Arial"/>
                <w:sz w:val="13"/>
                <w:szCs w:val="13"/>
                <w:b w:val="1"/>
                <w:bCs w:val="1"/>
                <w:color w:val="auto"/>
                <w:w w:val="87"/>
              </w:rPr>
              <w:t>1111 Louisiana</w:t>
            </w:r>
          </w:p>
        </w:tc>
        <w:tc>
          <w:tcPr>
            <w:tcW w:w="1500" w:type="dxa"/>
            <w:vAlign w:val="bottom"/>
          </w:tcPr>
          <w:p>
            <w:pPr>
              <w:ind w:left="980"/>
              <w:spacing w:after="0"/>
              <w:rPr>
                <w:sz w:val="20"/>
                <w:szCs w:val="20"/>
                <w:color w:val="auto"/>
              </w:rPr>
            </w:pPr>
            <w:r>
              <w:rPr>
                <w:rFonts w:ascii="Arial" w:cs="Arial" w:eastAsia="Arial" w:hAnsi="Arial"/>
                <w:sz w:val="13"/>
                <w:szCs w:val="13"/>
                <w:b w:val="1"/>
                <w:bCs w:val="1"/>
                <w:color w:val="auto"/>
                <w:w w:val="94"/>
              </w:rPr>
              <w:t>Houston</w:t>
            </w:r>
          </w:p>
        </w:tc>
        <w:tc>
          <w:tcPr>
            <w:tcW w:w="2740" w:type="dxa"/>
            <w:vAlign w:val="bottom"/>
          </w:tcPr>
          <w:p>
            <w:pPr>
              <w:ind w:left="580"/>
              <w:spacing w:after="0"/>
              <w:rPr>
                <w:sz w:val="20"/>
                <w:szCs w:val="20"/>
                <w:color w:val="auto"/>
              </w:rPr>
            </w:pPr>
            <w:r>
              <w:rPr>
                <w:rFonts w:ascii="Arial" w:cs="Arial" w:eastAsia="Arial" w:hAnsi="Arial"/>
                <w:sz w:val="13"/>
                <w:szCs w:val="13"/>
                <w:b w:val="1"/>
                <w:bCs w:val="1"/>
                <w:color w:val="auto"/>
              </w:rPr>
              <w:t>Texas</w:t>
            </w:r>
          </w:p>
        </w:tc>
        <w:tc>
          <w:tcPr>
            <w:tcW w:w="1840" w:type="dxa"/>
            <w:vAlign w:val="bottom"/>
          </w:tcPr>
          <w:p>
            <w:pPr>
              <w:jc w:val="center"/>
              <w:ind w:left="99"/>
              <w:spacing w:after="0"/>
              <w:rPr>
                <w:sz w:val="20"/>
                <w:szCs w:val="20"/>
                <w:color w:val="auto"/>
              </w:rPr>
            </w:pPr>
            <w:r>
              <w:rPr>
                <w:rFonts w:ascii="Arial" w:cs="Arial" w:eastAsia="Arial" w:hAnsi="Arial"/>
                <w:sz w:val="13"/>
                <w:szCs w:val="13"/>
                <w:b w:val="1"/>
                <w:bCs w:val="1"/>
                <w:color w:val="auto"/>
                <w:w w:val="88"/>
              </w:rPr>
              <w:t>77002</w:t>
            </w:r>
          </w:p>
        </w:tc>
        <w:tc>
          <w:tcPr>
            <w:tcW w:w="0" w:type="dxa"/>
            <w:vAlign w:val="bottom"/>
          </w:tcPr>
          <w:p>
            <w:pPr>
              <w:spacing w:after="0"/>
              <w:rPr>
                <w:sz w:val="1"/>
                <w:szCs w:val="1"/>
                <w:color w:val="auto"/>
              </w:rPr>
            </w:pPr>
          </w:p>
        </w:tc>
      </w:tr>
      <w:tr>
        <w:trPr>
          <w:trHeight w:val="233"/>
        </w:trPr>
        <w:tc>
          <w:tcPr>
            <w:tcW w:w="2880" w:type="dxa"/>
            <w:vAlign w:val="bottom"/>
          </w:tcPr>
          <w:p>
            <w:pPr>
              <w:jc w:val="center"/>
              <w:ind w:right="95"/>
              <w:spacing w:after="0"/>
              <w:rPr>
                <w:sz w:val="20"/>
                <w:szCs w:val="20"/>
                <w:color w:val="auto"/>
              </w:rPr>
            </w:pPr>
            <w:r>
              <w:rPr>
                <w:rFonts w:ascii="Arial" w:cs="Arial" w:eastAsia="Arial" w:hAnsi="Arial"/>
                <w:sz w:val="11"/>
                <w:szCs w:val="11"/>
                <w:color w:val="auto"/>
                <w:w w:val="97"/>
              </w:rPr>
              <w:t>(Address of Principal Executive Offices)</w:t>
            </w:r>
          </w:p>
        </w:tc>
        <w:tc>
          <w:tcPr>
            <w:tcW w:w="150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1840" w:type="dxa"/>
            <w:vAlign w:val="bottom"/>
          </w:tcPr>
          <w:p>
            <w:pPr>
              <w:jc w:val="center"/>
              <w:ind w:left="99"/>
              <w:spacing w:after="0"/>
              <w:rPr>
                <w:sz w:val="20"/>
                <w:szCs w:val="20"/>
                <w:color w:val="auto"/>
              </w:rPr>
            </w:pPr>
            <w:r>
              <w:rPr>
                <w:rFonts w:ascii="Arial" w:cs="Arial" w:eastAsia="Arial" w:hAnsi="Arial"/>
                <w:sz w:val="11"/>
                <w:szCs w:val="11"/>
                <w:color w:val="auto"/>
                <w:w w:val="99"/>
              </w:rPr>
              <w:t>(Zip Code)</w:t>
            </w:r>
          </w:p>
        </w:tc>
        <w:tc>
          <w:tcPr>
            <w:tcW w:w="0" w:type="dxa"/>
            <w:vAlign w:val="bottom"/>
          </w:tcPr>
          <w:p>
            <w:pPr>
              <w:spacing w:after="0"/>
              <w:rPr>
                <w:sz w:val="1"/>
                <w:szCs w:val="1"/>
                <w:color w:val="auto"/>
              </w:rPr>
            </w:pPr>
          </w:p>
        </w:tc>
      </w:tr>
      <w:tr>
        <w:trPr>
          <w:trHeight w:val="187"/>
        </w:trPr>
        <w:tc>
          <w:tcPr>
            <w:tcW w:w="28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740" w:type="dxa"/>
            <w:vAlign w:val="bottom"/>
          </w:tcPr>
          <w:p>
            <w:pPr>
              <w:jc w:val="center"/>
              <w:ind w:right="1775"/>
              <w:spacing w:after="0"/>
              <w:rPr>
                <w:sz w:val="20"/>
                <w:szCs w:val="20"/>
                <w:color w:val="auto"/>
              </w:rPr>
            </w:pPr>
            <w:r>
              <w:rPr>
                <w:rFonts w:ascii="Arial" w:cs="Arial" w:eastAsia="Arial" w:hAnsi="Arial"/>
                <w:sz w:val="13"/>
                <w:szCs w:val="13"/>
                <w:b w:val="1"/>
                <w:bCs w:val="1"/>
                <w:color w:val="auto"/>
                <w:w w:val="87"/>
              </w:rPr>
              <w:t>(713) 207-1111</w:t>
            </w:r>
          </w:p>
        </w:tc>
        <w:tc>
          <w:tcPr>
            <w:tcW w:w="1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2880" w:type="dxa"/>
            <w:vAlign w:val="bottom"/>
          </w:tcPr>
          <w:p>
            <w:pPr>
              <w:spacing w:after="0"/>
              <w:rPr>
                <w:sz w:val="12"/>
                <w:szCs w:val="12"/>
                <w:color w:val="auto"/>
              </w:rPr>
            </w:pPr>
          </w:p>
        </w:tc>
        <w:tc>
          <w:tcPr>
            <w:tcW w:w="4240" w:type="dxa"/>
            <w:vAlign w:val="bottom"/>
            <w:gridSpan w:val="2"/>
          </w:tcPr>
          <w:p>
            <w:pPr>
              <w:jc w:val="center"/>
              <w:ind w:right="275"/>
              <w:spacing w:after="0"/>
              <w:rPr>
                <w:sz w:val="20"/>
                <w:szCs w:val="20"/>
                <w:color w:val="auto"/>
              </w:rPr>
            </w:pPr>
            <w:r>
              <w:rPr>
                <w:rFonts w:ascii="Arial" w:cs="Arial" w:eastAsia="Arial" w:hAnsi="Arial"/>
                <w:sz w:val="11"/>
                <w:szCs w:val="11"/>
                <w:color w:val="auto"/>
                <w:w w:val="93"/>
              </w:rPr>
              <w:t>Registrant's telephone number, including area code</w:t>
            </w:r>
          </w:p>
        </w:tc>
        <w:tc>
          <w:tcPr>
            <w:tcW w:w="1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6"/>
        </w:trPr>
        <w:tc>
          <w:tcPr>
            <w:tcW w:w="2880" w:type="dxa"/>
            <w:vAlign w:val="bottom"/>
          </w:tcPr>
          <w:p>
            <w:pPr>
              <w:spacing w:after="0"/>
              <w:rPr>
                <w:sz w:val="24"/>
                <w:szCs w:val="24"/>
                <w:color w:val="auto"/>
              </w:rPr>
            </w:pPr>
          </w:p>
        </w:tc>
        <w:tc>
          <w:tcPr>
            <w:tcW w:w="4240" w:type="dxa"/>
            <w:vAlign w:val="bottom"/>
            <w:gridSpan w:val="2"/>
          </w:tcPr>
          <w:p>
            <w:pPr>
              <w:jc w:val="center"/>
              <w:ind w:right="275"/>
              <w:spacing w:after="0"/>
              <w:rPr>
                <w:sz w:val="20"/>
                <w:szCs w:val="20"/>
                <w:color w:val="auto"/>
              </w:rPr>
            </w:pPr>
            <w:r>
              <w:rPr>
                <w:rFonts w:ascii="Arial" w:cs="Arial" w:eastAsia="Arial" w:hAnsi="Arial"/>
                <w:sz w:val="13"/>
                <w:szCs w:val="13"/>
                <w:b w:val="1"/>
                <w:bCs w:val="1"/>
                <w:color w:val="auto"/>
                <w:w w:val="89"/>
              </w:rPr>
              <w:t>Commission file number 1-13265</w:t>
            </w: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2880" w:type="dxa"/>
            <w:vAlign w:val="bottom"/>
          </w:tcPr>
          <w:p>
            <w:pPr>
              <w:spacing w:after="0"/>
              <w:rPr>
                <w:sz w:val="24"/>
                <w:szCs w:val="24"/>
                <w:color w:val="auto"/>
              </w:rPr>
            </w:pPr>
          </w:p>
        </w:tc>
        <w:tc>
          <w:tcPr>
            <w:tcW w:w="4240" w:type="dxa"/>
            <w:vAlign w:val="bottom"/>
            <w:gridSpan w:val="2"/>
          </w:tcPr>
          <w:p>
            <w:pPr>
              <w:jc w:val="center"/>
              <w:ind w:right="255"/>
              <w:spacing w:after="0"/>
              <w:rPr>
                <w:sz w:val="20"/>
                <w:szCs w:val="20"/>
                <w:color w:val="auto"/>
              </w:rPr>
            </w:pPr>
            <w:r>
              <w:rPr>
                <w:rFonts w:ascii="Arial" w:cs="Arial" w:eastAsia="Arial" w:hAnsi="Arial"/>
                <w:sz w:val="23"/>
                <w:szCs w:val="23"/>
                <w:b w:val="1"/>
                <w:bCs w:val="1"/>
                <w:color w:val="auto"/>
                <w:w w:val="89"/>
              </w:rPr>
              <w:t>CenterPoint Energy Resources Corp.</w:t>
            </w: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2880" w:type="dxa"/>
            <w:vAlign w:val="bottom"/>
          </w:tcPr>
          <w:p>
            <w:pPr>
              <w:spacing w:after="0"/>
              <w:rPr>
                <w:sz w:val="16"/>
                <w:szCs w:val="16"/>
                <w:color w:val="auto"/>
              </w:rPr>
            </w:pPr>
          </w:p>
        </w:tc>
        <w:tc>
          <w:tcPr>
            <w:tcW w:w="4240" w:type="dxa"/>
            <w:vAlign w:val="bottom"/>
            <w:gridSpan w:val="2"/>
          </w:tcPr>
          <w:p>
            <w:pPr>
              <w:jc w:val="center"/>
              <w:ind w:right="275"/>
              <w:spacing w:after="0"/>
              <w:rPr>
                <w:sz w:val="20"/>
                <w:szCs w:val="20"/>
                <w:color w:val="auto"/>
              </w:rPr>
            </w:pPr>
            <w:r>
              <w:rPr>
                <w:rFonts w:ascii="Arial" w:cs="Arial" w:eastAsia="Arial" w:hAnsi="Arial"/>
                <w:sz w:val="13"/>
                <w:szCs w:val="13"/>
                <w:b w:val="1"/>
                <w:bCs w:val="1"/>
                <w:color w:val="auto"/>
                <w:w w:val="89"/>
              </w:rPr>
              <w:t>(Exact name of registrant as specified in its charter)</w:t>
            </w:r>
          </w:p>
        </w:tc>
        <w:tc>
          <w:tcPr>
            <w:tcW w:w="1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2"/>
        </w:trPr>
        <w:tc>
          <w:tcPr>
            <w:tcW w:w="2880" w:type="dxa"/>
            <w:vAlign w:val="bottom"/>
          </w:tcPr>
          <w:p>
            <w:pPr>
              <w:jc w:val="center"/>
              <w:ind w:right="95"/>
              <w:spacing w:after="0"/>
              <w:rPr>
                <w:sz w:val="20"/>
                <w:szCs w:val="20"/>
                <w:color w:val="auto"/>
              </w:rPr>
            </w:pPr>
            <w:r>
              <w:rPr>
                <w:rFonts w:ascii="Arial" w:cs="Arial" w:eastAsia="Arial" w:hAnsi="Arial"/>
                <w:sz w:val="13"/>
                <w:szCs w:val="13"/>
                <w:b w:val="1"/>
                <w:bCs w:val="1"/>
                <w:color w:val="auto"/>
                <w:w w:val="91"/>
              </w:rPr>
              <w:t>Delaware</w:t>
            </w:r>
          </w:p>
        </w:tc>
        <w:tc>
          <w:tcPr>
            <w:tcW w:w="150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840" w:type="dxa"/>
            <w:vAlign w:val="bottom"/>
          </w:tcPr>
          <w:p>
            <w:pPr>
              <w:jc w:val="right"/>
              <w:ind w:right="499"/>
              <w:spacing w:after="0"/>
              <w:rPr>
                <w:sz w:val="20"/>
                <w:szCs w:val="20"/>
                <w:color w:val="auto"/>
              </w:rPr>
            </w:pPr>
            <w:r>
              <w:rPr>
                <w:rFonts w:ascii="Arial" w:cs="Arial" w:eastAsia="Arial" w:hAnsi="Arial"/>
                <w:sz w:val="13"/>
                <w:szCs w:val="13"/>
                <w:b w:val="1"/>
                <w:bCs w:val="1"/>
                <w:color w:val="auto"/>
              </w:rPr>
              <w:t>76-0511406</w:t>
            </w:r>
          </w:p>
        </w:tc>
        <w:tc>
          <w:tcPr>
            <w:tcW w:w="0" w:type="dxa"/>
            <w:vAlign w:val="bottom"/>
          </w:tcPr>
          <w:p>
            <w:pPr>
              <w:spacing w:after="0"/>
              <w:rPr>
                <w:sz w:val="1"/>
                <w:szCs w:val="1"/>
                <w:color w:val="auto"/>
              </w:rPr>
            </w:pPr>
          </w:p>
        </w:tc>
      </w:tr>
      <w:tr>
        <w:trPr>
          <w:trHeight w:val="190"/>
        </w:trPr>
        <w:tc>
          <w:tcPr>
            <w:tcW w:w="2880" w:type="dxa"/>
            <w:vAlign w:val="bottom"/>
            <w:vMerge w:val="restart"/>
          </w:tcPr>
          <w:p>
            <w:pPr>
              <w:jc w:val="center"/>
              <w:ind w:right="75"/>
              <w:spacing w:after="0"/>
              <w:rPr>
                <w:sz w:val="20"/>
                <w:szCs w:val="20"/>
                <w:color w:val="auto"/>
              </w:rPr>
            </w:pPr>
            <w:r>
              <w:rPr>
                <w:rFonts w:ascii="Arial" w:cs="Arial" w:eastAsia="Arial" w:hAnsi="Arial"/>
                <w:sz w:val="11"/>
                <w:szCs w:val="11"/>
                <w:color w:val="auto"/>
                <w:w w:val="96"/>
              </w:rPr>
              <w:t>(State or other jurisdiction of incorporation or organization)</w:t>
            </w:r>
          </w:p>
        </w:tc>
        <w:tc>
          <w:tcPr>
            <w:tcW w:w="150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1840" w:type="dxa"/>
            <w:vAlign w:val="bottom"/>
          </w:tcPr>
          <w:p>
            <w:pPr>
              <w:jc w:val="center"/>
              <w:ind w:left="99"/>
              <w:spacing w:after="0"/>
              <w:rPr>
                <w:sz w:val="20"/>
                <w:szCs w:val="20"/>
                <w:color w:val="auto"/>
              </w:rPr>
            </w:pPr>
            <w:r>
              <w:rPr>
                <w:rFonts w:ascii="Arial" w:cs="Arial" w:eastAsia="Arial" w:hAnsi="Arial"/>
                <w:sz w:val="11"/>
                <w:szCs w:val="11"/>
                <w:color w:val="auto"/>
                <w:w w:val="99"/>
              </w:rPr>
              <w:t>(I.R.S. Employer Identification No.)</w:t>
            </w:r>
          </w:p>
        </w:tc>
        <w:tc>
          <w:tcPr>
            <w:tcW w:w="0" w:type="dxa"/>
            <w:vAlign w:val="bottom"/>
          </w:tcPr>
          <w:p>
            <w:pPr>
              <w:spacing w:after="0"/>
              <w:rPr>
                <w:sz w:val="1"/>
                <w:szCs w:val="1"/>
                <w:color w:val="auto"/>
              </w:rPr>
            </w:pPr>
          </w:p>
        </w:tc>
      </w:tr>
      <w:tr>
        <w:trPr>
          <w:trHeight w:val="43"/>
        </w:trPr>
        <w:tc>
          <w:tcPr>
            <w:tcW w:w="2880" w:type="dxa"/>
            <w:vAlign w:val="bottom"/>
            <w:vMerge w:val="continue"/>
          </w:tcPr>
          <w:p>
            <w:pPr>
              <w:spacing w:after="0"/>
              <w:rPr>
                <w:sz w:val="3"/>
                <w:szCs w:val="3"/>
                <w:color w:val="auto"/>
              </w:rPr>
            </w:pPr>
          </w:p>
        </w:tc>
        <w:tc>
          <w:tcPr>
            <w:tcW w:w="1500" w:type="dxa"/>
            <w:vAlign w:val="bottom"/>
          </w:tcPr>
          <w:p>
            <w:pPr>
              <w:spacing w:after="0"/>
              <w:rPr>
                <w:sz w:val="3"/>
                <w:szCs w:val="3"/>
                <w:color w:val="auto"/>
              </w:rPr>
            </w:pPr>
          </w:p>
        </w:tc>
        <w:tc>
          <w:tcPr>
            <w:tcW w:w="2740" w:type="dxa"/>
            <w:vAlign w:val="bottom"/>
          </w:tcPr>
          <w:p>
            <w:pPr>
              <w:spacing w:after="0"/>
              <w:rPr>
                <w:sz w:val="3"/>
                <w:szCs w:val="3"/>
                <w:color w:val="auto"/>
              </w:rPr>
            </w:pPr>
          </w:p>
        </w:tc>
        <w:tc>
          <w:tcPr>
            <w:tcW w:w="18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5"/>
        </w:trPr>
        <w:tc>
          <w:tcPr>
            <w:tcW w:w="2880" w:type="dxa"/>
            <w:vAlign w:val="bottom"/>
          </w:tcPr>
          <w:p>
            <w:pPr>
              <w:jc w:val="center"/>
              <w:ind w:right="75"/>
              <w:spacing w:after="0"/>
              <w:rPr>
                <w:sz w:val="20"/>
                <w:szCs w:val="20"/>
                <w:color w:val="auto"/>
              </w:rPr>
            </w:pPr>
            <w:r>
              <w:rPr>
                <w:rFonts w:ascii="Arial" w:cs="Arial" w:eastAsia="Arial" w:hAnsi="Arial"/>
                <w:sz w:val="13"/>
                <w:szCs w:val="13"/>
                <w:b w:val="1"/>
                <w:bCs w:val="1"/>
                <w:color w:val="auto"/>
                <w:w w:val="87"/>
              </w:rPr>
              <w:t>1111 Louisiana</w:t>
            </w:r>
          </w:p>
        </w:tc>
        <w:tc>
          <w:tcPr>
            <w:tcW w:w="1500" w:type="dxa"/>
            <w:vAlign w:val="bottom"/>
          </w:tcPr>
          <w:p>
            <w:pPr>
              <w:ind w:left="980"/>
              <w:spacing w:after="0"/>
              <w:rPr>
                <w:sz w:val="20"/>
                <w:szCs w:val="20"/>
                <w:color w:val="auto"/>
              </w:rPr>
            </w:pPr>
            <w:r>
              <w:rPr>
                <w:rFonts w:ascii="Arial" w:cs="Arial" w:eastAsia="Arial" w:hAnsi="Arial"/>
                <w:sz w:val="13"/>
                <w:szCs w:val="13"/>
                <w:b w:val="1"/>
                <w:bCs w:val="1"/>
                <w:color w:val="auto"/>
                <w:w w:val="94"/>
              </w:rPr>
              <w:t>Houston</w:t>
            </w:r>
          </w:p>
        </w:tc>
        <w:tc>
          <w:tcPr>
            <w:tcW w:w="2740" w:type="dxa"/>
            <w:vAlign w:val="bottom"/>
          </w:tcPr>
          <w:p>
            <w:pPr>
              <w:ind w:left="580"/>
              <w:spacing w:after="0"/>
              <w:rPr>
                <w:sz w:val="20"/>
                <w:szCs w:val="20"/>
                <w:color w:val="auto"/>
              </w:rPr>
            </w:pPr>
            <w:r>
              <w:rPr>
                <w:rFonts w:ascii="Arial" w:cs="Arial" w:eastAsia="Arial" w:hAnsi="Arial"/>
                <w:sz w:val="13"/>
                <w:szCs w:val="13"/>
                <w:b w:val="1"/>
                <w:bCs w:val="1"/>
                <w:color w:val="auto"/>
              </w:rPr>
              <w:t>Texas</w:t>
            </w:r>
          </w:p>
        </w:tc>
        <w:tc>
          <w:tcPr>
            <w:tcW w:w="1840" w:type="dxa"/>
            <w:vAlign w:val="bottom"/>
          </w:tcPr>
          <w:p>
            <w:pPr>
              <w:jc w:val="center"/>
              <w:ind w:left="99"/>
              <w:spacing w:after="0"/>
              <w:rPr>
                <w:sz w:val="20"/>
                <w:szCs w:val="20"/>
                <w:color w:val="auto"/>
              </w:rPr>
            </w:pPr>
            <w:r>
              <w:rPr>
                <w:rFonts w:ascii="Arial" w:cs="Arial" w:eastAsia="Arial" w:hAnsi="Arial"/>
                <w:sz w:val="13"/>
                <w:szCs w:val="13"/>
                <w:b w:val="1"/>
                <w:bCs w:val="1"/>
                <w:color w:val="auto"/>
                <w:w w:val="88"/>
              </w:rPr>
              <w:t>77002</w:t>
            </w:r>
          </w:p>
        </w:tc>
        <w:tc>
          <w:tcPr>
            <w:tcW w:w="0" w:type="dxa"/>
            <w:vAlign w:val="bottom"/>
          </w:tcPr>
          <w:p>
            <w:pPr>
              <w:spacing w:after="0"/>
              <w:rPr>
                <w:sz w:val="1"/>
                <w:szCs w:val="1"/>
                <w:color w:val="auto"/>
              </w:rPr>
            </w:pPr>
          </w:p>
        </w:tc>
      </w:tr>
      <w:tr>
        <w:trPr>
          <w:trHeight w:val="233"/>
        </w:trPr>
        <w:tc>
          <w:tcPr>
            <w:tcW w:w="2880" w:type="dxa"/>
            <w:vAlign w:val="bottom"/>
          </w:tcPr>
          <w:p>
            <w:pPr>
              <w:jc w:val="center"/>
              <w:ind w:right="95"/>
              <w:spacing w:after="0"/>
              <w:rPr>
                <w:sz w:val="20"/>
                <w:szCs w:val="20"/>
                <w:color w:val="auto"/>
              </w:rPr>
            </w:pPr>
            <w:r>
              <w:rPr>
                <w:rFonts w:ascii="Arial" w:cs="Arial" w:eastAsia="Arial" w:hAnsi="Arial"/>
                <w:sz w:val="11"/>
                <w:szCs w:val="11"/>
                <w:color w:val="auto"/>
                <w:w w:val="97"/>
              </w:rPr>
              <w:t>(Address of Principal Executive Offices)</w:t>
            </w:r>
          </w:p>
        </w:tc>
        <w:tc>
          <w:tcPr>
            <w:tcW w:w="150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1840" w:type="dxa"/>
            <w:vAlign w:val="bottom"/>
          </w:tcPr>
          <w:p>
            <w:pPr>
              <w:jc w:val="center"/>
              <w:ind w:left="99"/>
              <w:spacing w:after="0"/>
              <w:rPr>
                <w:sz w:val="20"/>
                <w:szCs w:val="20"/>
                <w:color w:val="auto"/>
              </w:rPr>
            </w:pPr>
            <w:r>
              <w:rPr>
                <w:rFonts w:ascii="Arial" w:cs="Arial" w:eastAsia="Arial" w:hAnsi="Arial"/>
                <w:sz w:val="11"/>
                <w:szCs w:val="11"/>
                <w:color w:val="auto"/>
                <w:w w:val="99"/>
              </w:rPr>
              <w:t>(Zip Code)</w:t>
            </w:r>
          </w:p>
        </w:tc>
        <w:tc>
          <w:tcPr>
            <w:tcW w:w="0" w:type="dxa"/>
            <w:vAlign w:val="bottom"/>
          </w:tcPr>
          <w:p>
            <w:pPr>
              <w:spacing w:after="0"/>
              <w:rPr>
                <w:sz w:val="1"/>
                <w:szCs w:val="1"/>
                <w:color w:val="auto"/>
              </w:rPr>
            </w:pPr>
          </w:p>
        </w:tc>
      </w:tr>
      <w:tr>
        <w:trPr>
          <w:trHeight w:val="187"/>
        </w:trPr>
        <w:tc>
          <w:tcPr>
            <w:tcW w:w="28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740" w:type="dxa"/>
            <w:vAlign w:val="bottom"/>
          </w:tcPr>
          <w:p>
            <w:pPr>
              <w:jc w:val="center"/>
              <w:ind w:right="1775"/>
              <w:spacing w:after="0"/>
              <w:rPr>
                <w:sz w:val="20"/>
                <w:szCs w:val="20"/>
                <w:color w:val="auto"/>
              </w:rPr>
            </w:pPr>
            <w:r>
              <w:rPr>
                <w:rFonts w:ascii="Arial" w:cs="Arial" w:eastAsia="Arial" w:hAnsi="Arial"/>
                <w:sz w:val="13"/>
                <w:szCs w:val="13"/>
                <w:b w:val="1"/>
                <w:bCs w:val="1"/>
                <w:color w:val="auto"/>
                <w:w w:val="87"/>
              </w:rPr>
              <w:t>(713) 207-1111</w:t>
            </w:r>
          </w:p>
        </w:tc>
        <w:tc>
          <w:tcPr>
            <w:tcW w:w="1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2880" w:type="dxa"/>
            <w:vAlign w:val="bottom"/>
          </w:tcPr>
          <w:p>
            <w:pPr>
              <w:spacing w:after="0"/>
              <w:rPr>
                <w:sz w:val="12"/>
                <w:szCs w:val="12"/>
                <w:color w:val="auto"/>
              </w:rPr>
            </w:pPr>
          </w:p>
        </w:tc>
        <w:tc>
          <w:tcPr>
            <w:tcW w:w="4240" w:type="dxa"/>
            <w:vAlign w:val="bottom"/>
            <w:gridSpan w:val="2"/>
          </w:tcPr>
          <w:p>
            <w:pPr>
              <w:jc w:val="center"/>
              <w:ind w:right="275"/>
              <w:spacing w:after="0"/>
              <w:rPr>
                <w:sz w:val="20"/>
                <w:szCs w:val="20"/>
                <w:color w:val="auto"/>
              </w:rPr>
            </w:pPr>
            <w:r>
              <w:rPr>
                <w:rFonts w:ascii="Arial" w:cs="Arial" w:eastAsia="Arial" w:hAnsi="Arial"/>
                <w:sz w:val="11"/>
                <w:szCs w:val="11"/>
                <w:color w:val="auto"/>
                <w:w w:val="93"/>
              </w:rPr>
              <w:t>Registrant's telephone number, including area code</w:t>
            </w:r>
          </w:p>
        </w:tc>
        <w:tc>
          <w:tcPr>
            <w:tcW w:w="18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426" w:right="1440" w:bottom="1440" w:gutter="0" w:footer="0" w:header="0"/>
        </w:sectPr>
      </w:pPr>
    </w:p>
    <w:bookmarkStart w:id="1" w:name="page2"/>
    <w:bookmarkEnd w:id="1"/>
    <w:p>
      <w:pPr>
        <w:jc w:val="center"/>
        <w:spacing w:after="0"/>
        <w:rPr>
          <w:sz w:val="20"/>
          <w:szCs w:val="20"/>
          <w:color w:val="auto"/>
        </w:rPr>
      </w:pPr>
      <w:r>
        <w:rPr>
          <w:rFonts w:ascii="Arial" w:cs="Arial" w:eastAsia="Arial" w:hAnsi="Arial"/>
          <w:sz w:val="13"/>
          <w:szCs w:val="13"/>
          <w:b w:val="1"/>
          <w:bCs w:val="1"/>
          <w:color w:val="auto"/>
        </w:rPr>
        <w:t>Securities registered pursuant to Section 12(b) of the Act:</w:t>
      </w:r>
    </w:p>
    <w:p>
      <w:pPr>
        <w:spacing w:after="0" w:line="49" w:lineRule="exact"/>
        <w:rPr>
          <w:sz w:val="20"/>
          <w:szCs w:val="20"/>
          <w:color w:val="auto"/>
        </w:rPr>
      </w:pPr>
    </w:p>
    <w:tbl>
      <w:tblPr>
        <w:tblLayout w:type="fixed"/>
        <w:tblInd w:w="800" w:type="dxa"/>
        <w:tblCellMar>
          <w:top w:w="0" w:type="dxa"/>
          <w:left w:w="0" w:type="dxa"/>
          <w:bottom w:w="0" w:type="dxa"/>
          <w:right w:w="0" w:type="dxa"/>
        </w:tblCellMar>
      </w:tblPr>
      <w:tr>
        <w:trPr>
          <w:trHeight w:val="103"/>
        </w:trPr>
        <w:tc>
          <w:tcPr>
            <w:tcW w:w="800" w:type="dxa"/>
            <w:vAlign w:val="bottom"/>
          </w:tcPr>
          <w:p>
            <w:pPr>
              <w:spacing w:after="0"/>
              <w:rPr>
                <w:sz w:val="8"/>
                <w:szCs w:val="8"/>
                <w:color w:val="auto"/>
              </w:rPr>
            </w:pPr>
          </w:p>
        </w:tc>
        <w:tc>
          <w:tcPr>
            <w:tcW w:w="38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85"/>
              </w:rPr>
              <w:t>Registrant</w:t>
            </w:r>
          </w:p>
        </w:tc>
        <w:tc>
          <w:tcPr>
            <w:tcW w:w="1220" w:type="dxa"/>
            <w:vAlign w:val="bottom"/>
          </w:tcPr>
          <w:p>
            <w:pPr>
              <w:spacing w:after="0"/>
              <w:rPr>
                <w:sz w:val="8"/>
                <w:szCs w:val="8"/>
                <w:color w:val="auto"/>
              </w:rPr>
            </w:pPr>
          </w:p>
        </w:tc>
        <w:tc>
          <w:tcPr>
            <w:tcW w:w="1940" w:type="dxa"/>
            <w:vAlign w:val="bottom"/>
          </w:tcPr>
          <w:p>
            <w:pPr>
              <w:spacing w:after="0"/>
              <w:rPr>
                <w:sz w:val="8"/>
                <w:szCs w:val="8"/>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82"/>
              </w:rPr>
              <w:t>Title of each class</w:t>
            </w:r>
          </w:p>
        </w:tc>
        <w:tc>
          <w:tcPr>
            <w:tcW w:w="1740" w:type="dxa"/>
            <w:vAlign w:val="bottom"/>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88"/>
              </w:rPr>
              <w:t>Trading Symbol(s)</w:t>
            </w:r>
          </w:p>
        </w:tc>
        <w:tc>
          <w:tcPr>
            <w:tcW w:w="900" w:type="dxa"/>
            <w:vAlign w:val="bottom"/>
          </w:tcPr>
          <w:p>
            <w:pPr>
              <w:spacing w:after="0"/>
              <w:rPr>
                <w:sz w:val="8"/>
                <w:szCs w:val="8"/>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84"/>
              </w:rPr>
              <w:t>Name of each exchange on which registered</w:t>
            </w:r>
          </w:p>
        </w:tc>
      </w:tr>
      <w:tr>
        <w:trPr>
          <w:trHeight w:val="165"/>
        </w:trPr>
        <w:tc>
          <w:tcPr>
            <w:tcW w:w="2400" w:type="dxa"/>
            <w:vAlign w:val="bottom"/>
            <w:gridSpan w:val="3"/>
          </w:tcPr>
          <w:p>
            <w:pPr>
              <w:jc w:val="center"/>
              <w:ind w:right="420"/>
              <w:spacing w:after="0"/>
              <w:rPr>
                <w:sz w:val="20"/>
                <w:szCs w:val="20"/>
                <w:color w:val="auto"/>
              </w:rPr>
            </w:pPr>
            <w:r>
              <w:rPr>
                <w:rFonts w:ascii="Arial" w:cs="Arial" w:eastAsia="Arial" w:hAnsi="Arial"/>
                <w:sz w:val="11"/>
                <w:szCs w:val="11"/>
                <w:color w:val="auto"/>
                <w:w w:val="95"/>
              </w:rPr>
              <w:t>CenterPoint Energy, Inc.</w:t>
            </w:r>
          </w:p>
        </w:tc>
        <w:tc>
          <w:tcPr>
            <w:tcW w:w="4320" w:type="dxa"/>
            <w:vAlign w:val="bottom"/>
            <w:gridSpan w:val="3"/>
          </w:tcPr>
          <w:p>
            <w:pPr>
              <w:jc w:val="center"/>
              <w:ind w:left="143"/>
              <w:spacing w:after="0"/>
              <w:rPr>
                <w:sz w:val="20"/>
                <w:szCs w:val="20"/>
                <w:color w:val="auto"/>
              </w:rPr>
            </w:pPr>
            <w:r>
              <w:rPr>
                <w:rFonts w:ascii="Arial" w:cs="Arial" w:eastAsia="Arial" w:hAnsi="Arial"/>
                <w:sz w:val="11"/>
                <w:szCs w:val="11"/>
                <w:color w:val="auto"/>
                <w:w w:val="94"/>
              </w:rPr>
              <w:t>Common Stock, $0.01 par value</w:t>
            </w:r>
          </w:p>
        </w:tc>
        <w:tc>
          <w:tcPr>
            <w:tcW w:w="220" w:type="dxa"/>
            <w:vAlign w:val="bottom"/>
          </w:tcPr>
          <w:p>
            <w:pPr>
              <w:spacing w:after="0"/>
              <w:rPr>
                <w:sz w:val="14"/>
                <w:szCs w:val="14"/>
                <w:color w:val="auto"/>
              </w:rPr>
            </w:pPr>
          </w:p>
        </w:tc>
        <w:tc>
          <w:tcPr>
            <w:tcW w:w="1600" w:type="dxa"/>
            <w:vAlign w:val="bottom"/>
            <w:gridSpan w:val="2"/>
          </w:tcPr>
          <w:p>
            <w:pPr>
              <w:jc w:val="center"/>
              <w:ind w:right="900"/>
              <w:spacing w:after="0"/>
              <w:rPr>
                <w:sz w:val="20"/>
                <w:szCs w:val="20"/>
                <w:color w:val="auto"/>
              </w:rPr>
            </w:pPr>
            <w:r>
              <w:rPr>
                <w:rFonts w:ascii="Arial" w:cs="Arial" w:eastAsia="Arial" w:hAnsi="Arial"/>
                <w:sz w:val="11"/>
                <w:szCs w:val="11"/>
                <w:color w:val="auto"/>
                <w:w w:val="94"/>
              </w:rPr>
              <w:t>CNP</w:t>
            </w:r>
          </w:p>
        </w:tc>
        <w:tc>
          <w:tcPr>
            <w:tcW w:w="1600" w:type="dxa"/>
            <w:vAlign w:val="bottom"/>
          </w:tcPr>
          <w:p>
            <w:pPr>
              <w:jc w:val="center"/>
              <w:spacing w:after="0"/>
              <w:rPr>
                <w:sz w:val="20"/>
                <w:szCs w:val="20"/>
                <w:color w:val="auto"/>
              </w:rPr>
            </w:pPr>
            <w:r>
              <w:rPr>
                <w:rFonts w:ascii="Arial" w:cs="Arial" w:eastAsia="Arial" w:hAnsi="Arial"/>
                <w:sz w:val="11"/>
                <w:szCs w:val="11"/>
                <w:color w:val="auto"/>
                <w:w w:val="95"/>
              </w:rPr>
              <w:t>The New York Stock Exchange</w:t>
            </w:r>
          </w:p>
        </w:tc>
      </w:tr>
      <w:tr>
        <w:trPr>
          <w:trHeight w:val="162"/>
        </w:trPr>
        <w:tc>
          <w:tcPr>
            <w:tcW w:w="8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0" w:type="dxa"/>
            <w:vAlign w:val="bottom"/>
          </w:tcPr>
          <w:p>
            <w:pPr>
              <w:jc w:val="center"/>
              <w:spacing w:after="0"/>
              <w:rPr>
                <w:sz w:val="20"/>
                <w:szCs w:val="20"/>
                <w:color w:val="auto"/>
              </w:rPr>
            </w:pPr>
            <w:r>
              <w:rPr>
                <w:rFonts w:ascii="Arial" w:cs="Arial" w:eastAsia="Arial" w:hAnsi="Arial"/>
                <w:sz w:val="11"/>
                <w:szCs w:val="11"/>
                <w:color w:val="auto"/>
                <w:w w:val="94"/>
              </w:rPr>
              <w:t>Chicago Stock Exchange, Inc.</w:t>
            </w:r>
          </w:p>
        </w:tc>
      </w:tr>
      <w:tr>
        <w:trPr>
          <w:trHeight w:val="188"/>
        </w:trPr>
        <w:tc>
          <w:tcPr>
            <w:tcW w:w="2400" w:type="dxa"/>
            <w:vAlign w:val="bottom"/>
            <w:gridSpan w:val="3"/>
          </w:tcPr>
          <w:p>
            <w:pPr>
              <w:jc w:val="center"/>
              <w:ind w:right="420"/>
              <w:spacing w:after="0"/>
              <w:rPr>
                <w:sz w:val="20"/>
                <w:szCs w:val="20"/>
                <w:color w:val="auto"/>
              </w:rPr>
            </w:pPr>
            <w:r>
              <w:rPr>
                <w:rFonts w:ascii="Arial" w:cs="Arial" w:eastAsia="Arial" w:hAnsi="Arial"/>
                <w:sz w:val="11"/>
                <w:szCs w:val="11"/>
                <w:color w:val="auto"/>
                <w:w w:val="95"/>
              </w:rPr>
              <w:t>CenterPoint Energy, Inc.</w:t>
            </w:r>
          </w:p>
        </w:tc>
        <w:tc>
          <w:tcPr>
            <w:tcW w:w="4320" w:type="dxa"/>
            <w:vAlign w:val="bottom"/>
            <w:gridSpan w:val="3"/>
          </w:tcPr>
          <w:p>
            <w:pPr>
              <w:jc w:val="center"/>
              <w:ind w:left="123"/>
              <w:spacing w:after="0"/>
              <w:rPr>
                <w:sz w:val="20"/>
                <w:szCs w:val="20"/>
                <w:color w:val="auto"/>
              </w:rPr>
            </w:pPr>
            <w:r>
              <w:rPr>
                <w:rFonts w:ascii="Arial" w:cs="Arial" w:eastAsia="Arial" w:hAnsi="Arial"/>
                <w:sz w:val="11"/>
                <w:szCs w:val="11"/>
                <w:color w:val="auto"/>
                <w:w w:val="95"/>
              </w:rPr>
              <w:t>Depositary Shares for 1/20 of 7.00% Series B Mandatory Convertible Preferred</w:t>
            </w:r>
          </w:p>
        </w:tc>
        <w:tc>
          <w:tcPr>
            <w:tcW w:w="220" w:type="dxa"/>
            <w:vAlign w:val="bottom"/>
          </w:tcPr>
          <w:p>
            <w:pPr>
              <w:spacing w:after="0"/>
              <w:rPr>
                <w:sz w:val="16"/>
                <w:szCs w:val="16"/>
                <w:color w:val="auto"/>
              </w:rPr>
            </w:pPr>
          </w:p>
        </w:tc>
        <w:tc>
          <w:tcPr>
            <w:tcW w:w="1600" w:type="dxa"/>
            <w:vAlign w:val="bottom"/>
            <w:gridSpan w:val="2"/>
          </w:tcPr>
          <w:p>
            <w:pPr>
              <w:jc w:val="center"/>
              <w:ind w:right="900"/>
              <w:spacing w:after="0"/>
              <w:rPr>
                <w:sz w:val="20"/>
                <w:szCs w:val="20"/>
                <w:color w:val="auto"/>
              </w:rPr>
            </w:pPr>
            <w:r>
              <w:rPr>
                <w:rFonts w:ascii="Arial" w:cs="Arial" w:eastAsia="Arial" w:hAnsi="Arial"/>
                <w:sz w:val="11"/>
                <w:szCs w:val="11"/>
                <w:color w:val="auto"/>
                <w:w w:val="92"/>
              </w:rPr>
              <w:t>CNP/PB</w:t>
            </w:r>
          </w:p>
        </w:tc>
        <w:tc>
          <w:tcPr>
            <w:tcW w:w="1600" w:type="dxa"/>
            <w:vAlign w:val="bottom"/>
          </w:tcPr>
          <w:p>
            <w:pPr>
              <w:jc w:val="center"/>
              <w:spacing w:after="0"/>
              <w:rPr>
                <w:sz w:val="20"/>
                <w:szCs w:val="20"/>
                <w:color w:val="auto"/>
              </w:rPr>
            </w:pPr>
            <w:r>
              <w:rPr>
                <w:rFonts w:ascii="Arial" w:cs="Arial" w:eastAsia="Arial" w:hAnsi="Arial"/>
                <w:sz w:val="11"/>
                <w:szCs w:val="11"/>
                <w:color w:val="auto"/>
                <w:w w:val="95"/>
              </w:rPr>
              <w:t>The New York Stock Exchange</w:t>
            </w:r>
          </w:p>
        </w:tc>
      </w:tr>
      <w:tr>
        <w:trPr>
          <w:trHeight w:val="146"/>
        </w:trPr>
        <w:tc>
          <w:tcPr>
            <w:tcW w:w="8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4320" w:type="dxa"/>
            <w:vAlign w:val="bottom"/>
            <w:gridSpan w:val="3"/>
          </w:tcPr>
          <w:p>
            <w:pPr>
              <w:jc w:val="center"/>
              <w:ind w:left="123"/>
              <w:spacing w:after="0"/>
              <w:rPr>
                <w:sz w:val="20"/>
                <w:szCs w:val="20"/>
                <w:color w:val="auto"/>
              </w:rPr>
            </w:pPr>
            <w:r>
              <w:rPr>
                <w:rFonts w:ascii="Arial" w:cs="Arial" w:eastAsia="Arial" w:hAnsi="Arial"/>
                <w:sz w:val="11"/>
                <w:szCs w:val="11"/>
                <w:color w:val="auto"/>
                <w:w w:val="93"/>
              </w:rPr>
              <w:t>Stock, $0.01 par value</w:t>
            </w: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0" w:type="dxa"/>
            <w:vAlign w:val="bottom"/>
          </w:tcPr>
          <w:p>
            <w:pPr>
              <w:spacing w:after="0"/>
              <w:rPr>
                <w:sz w:val="12"/>
                <w:szCs w:val="12"/>
                <w:color w:val="auto"/>
              </w:rPr>
            </w:pPr>
          </w:p>
        </w:tc>
      </w:tr>
      <w:tr>
        <w:trPr>
          <w:trHeight w:val="162"/>
        </w:trPr>
        <w:tc>
          <w:tcPr>
            <w:tcW w:w="2400" w:type="dxa"/>
            <w:vAlign w:val="bottom"/>
            <w:gridSpan w:val="3"/>
          </w:tcPr>
          <w:p>
            <w:pPr>
              <w:jc w:val="center"/>
              <w:ind w:right="420"/>
              <w:spacing w:after="0"/>
              <w:rPr>
                <w:sz w:val="20"/>
                <w:szCs w:val="20"/>
                <w:color w:val="auto"/>
              </w:rPr>
            </w:pPr>
            <w:r>
              <w:rPr>
                <w:rFonts w:ascii="Arial" w:cs="Arial" w:eastAsia="Arial" w:hAnsi="Arial"/>
                <w:sz w:val="11"/>
                <w:szCs w:val="11"/>
                <w:color w:val="auto"/>
                <w:w w:val="96"/>
              </w:rPr>
              <w:t>CenterPoint Energy Houston Electric, LLC</w:t>
            </w:r>
          </w:p>
        </w:tc>
        <w:tc>
          <w:tcPr>
            <w:tcW w:w="4320" w:type="dxa"/>
            <w:vAlign w:val="bottom"/>
            <w:gridSpan w:val="3"/>
          </w:tcPr>
          <w:p>
            <w:pPr>
              <w:jc w:val="center"/>
              <w:ind w:left="123"/>
              <w:spacing w:after="0"/>
              <w:rPr>
                <w:sz w:val="20"/>
                <w:szCs w:val="20"/>
                <w:color w:val="auto"/>
              </w:rPr>
            </w:pPr>
            <w:r>
              <w:rPr>
                <w:rFonts w:ascii="Arial" w:cs="Arial" w:eastAsia="Arial" w:hAnsi="Arial"/>
                <w:sz w:val="11"/>
                <w:szCs w:val="11"/>
                <w:color w:val="auto"/>
                <w:w w:val="94"/>
              </w:rPr>
              <w:t>9.15% First Mortgage Bonds due 2021</w:t>
            </w:r>
          </w:p>
        </w:tc>
        <w:tc>
          <w:tcPr>
            <w:tcW w:w="220" w:type="dxa"/>
            <w:vAlign w:val="bottom"/>
          </w:tcPr>
          <w:p>
            <w:pPr>
              <w:spacing w:after="0"/>
              <w:rPr>
                <w:sz w:val="14"/>
                <w:szCs w:val="14"/>
                <w:color w:val="auto"/>
              </w:rPr>
            </w:pPr>
          </w:p>
        </w:tc>
        <w:tc>
          <w:tcPr>
            <w:tcW w:w="1600" w:type="dxa"/>
            <w:vAlign w:val="bottom"/>
            <w:gridSpan w:val="2"/>
          </w:tcPr>
          <w:p>
            <w:pPr>
              <w:jc w:val="center"/>
              <w:ind w:right="900"/>
              <w:spacing w:after="0"/>
              <w:rPr>
                <w:sz w:val="20"/>
                <w:szCs w:val="20"/>
                <w:color w:val="auto"/>
              </w:rPr>
            </w:pPr>
            <w:r>
              <w:rPr>
                <w:rFonts w:ascii="Arial" w:cs="Arial" w:eastAsia="Arial" w:hAnsi="Arial"/>
                <w:sz w:val="11"/>
                <w:szCs w:val="11"/>
                <w:color w:val="auto"/>
                <w:w w:val="91"/>
              </w:rPr>
              <w:t>n/a</w:t>
            </w:r>
          </w:p>
        </w:tc>
        <w:tc>
          <w:tcPr>
            <w:tcW w:w="1600" w:type="dxa"/>
            <w:vAlign w:val="bottom"/>
          </w:tcPr>
          <w:p>
            <w:pPr>
              <w:jc w:val="center"/>
              <w:spacing w:after="0"/>
              <w:rPr>
                <w:sz w:val="20"/>
                <w:szCs w:val="20"/>
                <w:color w:val="auto"/>
              </w:rPr>
            </w:pPr>
            <w:r>
              <w:rPr>
                <w:rFonts w:ascii="Arial" w:cs="Arial" w:eastAsia="Arial" w:hAnsi="Arial"/>
                <w:sz w:val="11"/>
                <w:szCs w:val="11"/>
                <w:color w:val="auto"/>
                <w:w w:val="95"/>
              </w:rPr>
              <w:t>The New York Stock Exchange</w:t>
            </w:r>
          </w:p>
        </w:tc>
      </w:tr>
      <w:tr>
        <w:trPr>
          <w:trHeight w:val="162"/>
        </w:trPr>
        <w:tc>
          <w:tcPr>
            <w:tcW w:w="2400" w:type="dxa"/>
            <w:vAlign w:val="bottom"/>
            <w:gridSpan w:val="3"/>
          </w:tcPr>
          <w:p>
            <w:pPr>
              <w:jc w:val="center"/>
              <w:ind w:right="420"/>
              <w:spacing w:after="0"/>
              <w:rPr>
                <w:sz w:val="20"/>
                <w:szCs w:val="20"/>
                <w:color w:val="auto"/>
              </w:rPr>
            </w:pPr>
            <w:r>
              <w:rPr>
                <w:rFonts w:ascii="Arial" w:cs="Arial" w:eastAsia="Arial" w:hAnsi="Arial"/>
                <w:sz w:val="11"/>
                <w:szCs w:val="11"/>
                <w:color w:val="auto"/>
                <w:w w:val="96"/>
              </w:rPr>
              <w:t>CenterPoint Energy Houston Electric, LLC</w:t>
            </w:r>
          </w:p>
        </w:tc>
        <w:tc>
          <w:tcPr>
            <w:tcW w:w="4320" w:type="dxa"/>
            <w:vAlign w:val="bottom"/>
            <w:gridSpan w:val="3"/>
          </w:tcPr>
          <w:p>
            <w:pPr>
              <w:jc w:val="center"/>
              <w:ind w:left="123"/>
              <w:spacing w:after="0"/>
              <w:rPr>
                <w:sz w:val="20"/>
                <w:szCs w:val="20"/>
                <w:color w:val="auto"/>
              </w:rPr>
            </w:pPr>
            <w:r>
              <w:rPr>
                <w:rFonts w:ascii="Arial" w:cs="Arial" w:eastAsia="Arial" w:hAnsi="Arial"/>
                <w:sz w:val="11"/>
                <w:szCs w:val="11"/>
                <w:color w:val="auto"/>
                <w:w w:val="94"/>
              </w:rPr>
              <w:t>6.95% General Mortgage Bonds due 2033</w:t>
            </w:r>
          </w:p>
        </w:tc>
        <w:tc>
          <w:tcPr>
            <w:tcW w:w="220" w:type="dxa"/>
            <w:vAlign w:val="bottom"/>
          </w:tcPr>
          <w:p>
            <w:pPr>
              <w:spacing w:after="0"/>
              <w:rPr>
                <w:sz w:val="14"/>
                <w:szCs w:val="14"/>
                <w:color w:val="auto"/>
              </w:rPr>
            </w:pPr>
          </w:p>
        </w:tc>
        <w:tc>
          <w:tcPr>
            <w:tcW w:w="1600" w:type="dxa"/>
            <w:vAlign w:val="bottom"/>
            <w:gridSpan w:val="2"/>
          </w:tcPr>
          <w:p>
            <w:pPr>
              <w:jc w:val="center"/>
              <w:ind w:right="900"/>
              <w:spacing w:after="0"/>
              <w:rPr>
                <w:sz w:val="20"/>
                <w:szCs w:val="20"/>
                <w:color w:val="auto"/>
              </w:rPr>
            </w:pPr>
            <w:r>
              <w:rPr>
                <w:rFonts w:ascii="Arial" w:cs="Arial" w:eastAsia="Arial" w:hAnsi="Arial"/>
                <w:sz w:val="11"/>
                <w:szCs w:val="11"/>
                <w:color w:val="auto"/>
                <w:w w:val="91"/>
              </w:rPr>
              <w:t>n/a</w:t>
            </w:r>
          </w:p>
        </w:tc>
        <w:tc>
          <w:tcPr>
            <w:tcW w:w="1600" w:type="dxa"/>
            <w:vAlign w:val="bottom"/>
          </w:tcPr>
          <w:p>
            <w:pPr>
              <w:jc w:val="center"/>
              <w:spacing w:after="0"/>
              <w:rPr>
                <w:sz w:val="20"/>
                <w:szCs w:val="20"/>
                <w:color w:val="auto"/>
              </w:rPr>
            </w:pPr>
            <w:r>
              <w:rPr>
                <w:rFonts w:ascii="Arial" w:cs="Arial" w:eastAsia="Arial" w:hAnsi="Arial"/>
                <w:sz w:val="11"/>
                <w:szCs w:val="11"/>
                <w:color w:val="auto"/>
                <w:w w:val="95"/>
              </w:rPr>
              <w:t>The New York Stock Exchange</w:t>
            </w:r>
          </w:p>
        </w:tc>
      </w:tr>
      <w:tr>
        <w:trPr>
          <w:trHeight w:val="162"/>
        </w:trPr>
        <w:tc>
          <w:tcPr>
            <w:tcW w:w="2400" w:type="dxa"/>
            <w:vAlign w:val="bottom"/>
            <w:gridSpan w:val="3"/>
          </w:tcPr>
          <w:p>
            <w:pPr>
              <w:jc w:val="center"/>
              <w:ind w:right="420"/>
              <w:spacing w:after="0"/>
              <w:rPr>
                <w:sz w:val="20"/>
                <w:szCs w:val="20"/>
                <w:color w:val="auto"/>
              </w:rPr>
            </w:pPr>
            <w:r>
              <w:rPr>
                <w:rFonts w:ascii="Arial" w:cs="Arial" w:eastAsia="Arial" w:hAnsi="Arial"/>
                <w:sz w:val="11"/>
                <w:szCs w:val="11"/>
                <w:color w:val="auto"/>
                <w:w w:val="93"/>
              </w:rPr>
              <w:t>CenterPoint Energy Resources Corp.</w:t>
            </w:r>
          </w:p>
        </w:tc>
        <w:tc>
          <w:tcPr>
            <w:tcW w:w="4320" w:type="dxa"/>
            <w:vAlign w:val="bottom"/>
            <w:gridSpan w:val="3"/>
          </w:tcPr>
          <w:p>
            <w:pPr>
              <w:jc w:val="center"/>
              <w:ind w:left="123"/>
              <w:spacing w:after="0"/>
              <w:rPr>
                <w:sz w:val="20"/>
                <w:szCs w:val="20"/>
                <w:color w:val="auto"/>
              </w:rPr>
            </w:pPr>
            <w:r>
              <w:rPr>
                <w:rFonts w:ascii="Arial" w:cs="Arial" w:eastAsia="Arial" w:hAnsi="Arial"/>
                <w:sz w:val="11"/>
                <w:szCs w:val="11"/>
                <w:color w:val="auto"/>
                <w:w w:val="92"/>
              </w:rPr>
              <w:t>6.625% Senior Notes due 2037</w:t>
            </w:r>
          </w:p>
        </w:tc>
        <w:tc>
          <w:tcPr>
            <w:tcW w:w="220" w:type="dxa"/>
            <w:vAlign w:val="bottom"/>
          </w:tcPr>
          <w:p>
            <w:pPr>
              <w:spacing w:after="0"/>
              <w:rPr>
                <w:sz w:val="14"/>
                <w:szCs w:val="14"/>
                <w:color w:val="auto"/>
              </w:rPr>
            </w:pPr>
          </w:p>
        </w:tc>
        <w:tc>
          <w:tcPr>
            <w:tcW w:w="1600" w:type="dxa"/>
            <w:vAlign w:val="bottom"/>
            <w:gridSpan w:val="2"/>
          </w:tcPr>
          <w:p>
            <w:pPr>
              <w:jc w:val="center"/>
              <w:ind w:right="900"/>
              <w:spacing w:after="0"/>
              <w:rPr>
                <w:sz w:val="20"/>
                <w:szCs w:val="20"/>
                <w:color w:val="auto"/>
              </w:rPr>
            </w:pPr>
            <w:r>
              <w:rPr>
                <w:rFonts w:ascii="Arial" w:cs="Arial" w:eastAsia="Arial" w:hAnsi="Arial"/>
                <w:sz w:val="11"/>
                <w:szCs w:val="11"/>
                <w:color w:val="auto"/>
                <w:w w:val="91"/>
              </w:rPr>
              <w:t>n/a</w:t>
            </w:r>
          </w:p>
        </w:tc>
        <w:tc>
          <w:tcPr>
            <w:tcW w:w="1600" w:type="dxa"/>
            <w:vAlign w:val="bottom"/>
          </w:tcPr>
          <w:p>
            <w:pPr>
              <w:jc w:val="center"/>
              <w:spacing w:after="0"/>
              <w:rPr>
                <w:sz w:val="20"/>
                <w:szCs w:val="20"/>
                <w:color w:val="auto"/>
              </w:rPr>
            </w:pPr>
            <w:r>
              <w:rPr>
                <w:rFonts w:ascii="Arial" w:cs="Arial" w:eastAsia="Arial" w:hAnsi="Arial"/>
                <w:sz w:val="11"/>
                <w:szCs w:val="11"/>
                <w:color w:val="auto"/>
                <w:w w:val="95"/>
              </w:rPr>
              <w:t>The New York Stock Exchange</w:t>
            </w:r>
          </w:p>
        </w:tc>
      </w:tr>
    </w:tbl>
    <w:p>
      <w:pPr>
        <w:spacing w:after="0" w:line="132" w:lineRule="exact"/>
        <w:rPr>
          <w:sz w:val="20"/>
          <w:szCs w:val="20"/>
          <w:color w:val="auto"/>
        </w:rPr>
      </w:pPr>
    </w:p>
    <w:p>
      <w:pPr>
        <w:spacing w:after="0" w:line="264" w:lineRule="auto"/>
        <w:rPr>
          <w:sz w:val="20"/>
          <w:szCs w:val="20"/>
          <w:color w:val="auto"/>
        </w:rPr>
      </w:pPr>
      <w:r>
        <w:rPr>
          <w:rFonts w:ascii="Arial" w:cs="Arial" w:eastAsia="Arial" w:hAnsi="Arial"/>
          <w:sz w:val="13"/>
          <w:szCs w:val="13"/>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16" w:lineRule="exact"/>
        <w:rPr>
          <w:sz w:val="20"/>
          <w:szCs w:val="20"/>
          <w:color w:val="auto"/>
        </w:rPr>
      </w:pPr>
    </w:p>
    <w:tbl>
      <w:tblPr>
        <w:tblLayout w:type="fixed"/>
        <w:tblInd w:w="1880" w:type="dxa"/>
        <w:tblCellMar>
          <w:top w:w="0" w:type="dxa"/>
          <w:left w:w="0" w:type="dxa"/>
          <w:bottom w:w="0" w:type="dxa"/>
          <w:right w:w="0" w:type="dxa"/>
        </w:tblCellMar>
      </w:tblPr>
      <w:tr>
        <w:trPr>
          <w:trHeight w:val="179"/>
        </w:trPr>
        <w:tc>
          <w:tcPr>
            <w:tcW w:w="3700" w:type="dxa"/>
            <w:vAlign w:val="bottom"/>
          </w:tcPr>
          <w:p>
            <w:pPr>
              <w:spacing w:after="0"/>
              <w:rPr>
                <w:sz w:val="20"/>
                <w:szCs w:val="20"/>
                <w:color w:val="auto"/>
              </w:rPr>
            </w:pPr>
            <w:r>
              <w:rPr>
                <w:rFonts w:ascii="Arial" w:cs="Arial" w:eastAsia="Arial" w:hAnsi="Arial"/>
                <w:sz w:val="11"/>
                <w:szCs w:val="11"/>
                <w:color w:val="auto"/>
              </w:rPr>
              <w:t>CenterPoint Energy, Inc.</w:t>
            </w:r>
          </w:p>
        </w:tc>
        <w:tc>
          <w:tcPr>
            <w:tcW w:w="2100" w:type="dxa"/>
            <w:vAlign w:val="bottom"/>
          </w:tcPr>
          <w:p>
            <w:pPr>
              <w:ind w:left="1720"/>
              <w:spacing w:after="0"/>
              <w:rPr>
                <w:sz w:val="20"/>
                <w:szCs w:val="20"/>
                <w:color w:val="auto"/>
              </w:rPr>
            </w:pPr>
            <w:r>
              <w:rPr>
                <w:rFonts w:ascii="Arial" w:cs="Arial" w:eastAsia="Arial" w:hAnsi="Arial"/>
                <w:sz w:val="11"/>
                <w:szCs w:val="11"/>
                <w:color w:val="auto"/>
              </w:rPr>
              <w:t>Yes</w:t>
            </w:r>
          </w:p>
        </w:tc>
        <w:tc>
          <w:tcPr>
            <w:tcW w:w="660" w:type="dxa"/>
            <w:vAlign w:val="bottom"/>
          </w:tcPr>
          <w:p>
            <w:pPr>
              <w:ind w:left="220"/>
              <w:spacing w:after="0" w:line="111" w:lineRule="exact"/>
              <w:rPr>
                <w:sz w:val="20"/>
                <w:szCs w:val="20"/>
                <w:color w:val="auto"/>
              </w:rPr>
            </w:pPr>
            <w:r>
              <w:rPr>
                <w:rFonts w:ascii="MS PGothic" w:cs="MS PGothic" w:eastAsia="MS PGothic" w:hAnsi="MS PGothic"/>
                <w:sz w:val="11"/>
                <w:szCs w:val="11"/>
                <w:color w:val="auto"/>
              </w:rPr>
              <w:t>☑</w:t>
            </w:r>
          </w:p>
        </w:tc>
        <w:tc>
          <w:tcPr>
            <w:tcW w:w="700" w:type="dxa"/>
            <w:vAlign w:val="bottom"/>
          </w:tcPr>
          <w:p>
            <w:pPr>
              <w:ind w:left="340"/>
              <w:spacing w:after="0"/>
              <w:rPr>
                <w:sz w:val="20"/>
                <w:szCs w:val="20"/>
                <w:color w:val="auto"/>
              </w:rPr>
            </w:pPr>
            <w:r>
              <w:rPr>
                <w:rFonts w:ascii="Arial" w:cs="Arial" w:eastAsia="Arial" w:hAnsi="Arial"/>
                <w:sz w:val="11"/>
                <w:szCs w:val="11"/>
                <w:color w:val="auto"/>
              </w:rPr>
              <w:t>No</w:t>
            </w:r>
          </w:p>
        </w:tc>
        <w:tc>
          <w:tcPr>
            <w:tcW w:w="300" w:type="dxa"/>
            <w:vAlign w:val="bottom"/>
          </w:tcPr>
          <w:p>
            <w:pPr>
              <w:ind w:left="240"/>
              <w:spacing w:after="0"/>
              <w:rPr>
                <w:sz w:val="20"/>
                <w:szCs w:val="20"/>
                <w:color w:val="auto"/>
              </w:rPr>
            </w:pPr>
            <w:r>
              <w:rPr>
                <w:rFonts w:ascii="Arial" w:cs="Arial" w:eastAsia="Arial" w:hAnsi="Arial"/>
                <w:sz w:val="10"/>
                <w:szCs w:val="10"/>
                <w:color w:val="auto"/>
                <w:w w:val="71"/>
              </w:rPr>
              <w:t>o</w:t>
            </w:r>
          </w:p>
        </w:tc>
      </w:tr>
      <w:tr>
        <w:trPr>
          <w:trHeight w:val="216"/>
        </w:trPr>
        <w:tc>
          <w:tcPr>
            <w:tcW w:w="3700" w:type="dxa"/>
            <w:vAlign w:val="bottom"/>
          </w:tcPr>
          <w:p>
            <w:pPr>
              <w:spacing w:after="0"/>
              <w:rPr>
                <w:sz w:val="20"/>
                <w:szCs w:val="20"/>
                <w:color w:val="auto"/>
              </w:rPr>
            </w:pPr>
            <w:r>
              <w:rPr>
                <w:rFonts w:ascii="Arial" w:cs="Arial" w:eastAsia="Arial" w:hAnsi="Arial"/>
                <w:sz w:val="11"/>
                <w:szCs w:val="11"/>
                <w:color w:val="auto"/>
              </w:rPr>
              <w:t>CenterPoint Energy Houston Electric, LLC</w:t>
            </w:r>
          </w:p>
        </w:tc>
        <w:tc>
          <w:tcPr>
            <w:tcW w:w="2100" w:type="dxa"/>
            <w:vAlign w:val="bottom"/>
          </w:tcPr>
          <w:p>
            <w:pPr>
              <w:ind w:left="1720"/>
              <w:spacing w:after="0"/>
              <w:rPr>
                <w:sz w:val="20"/>
                <w:szCs w:val="20"/>
                <w:color w:val="auto"/>
              </w:rPr>
            </w:pPr>
            <w:r>
              <w:rPr>
                <w:rFonts w:ascii="Arial" w:cs="Arial" w:eastAsia="Arial" w:hAnsi="Arial"/>
                <w:sz w:val="11"/>
                <w:szCs w:val="11"/>
                <w:color w:val="auto"/>
              </w:rPr>
              <w:t>Yes</w:t>
            </w:r>
          </w:p>
        </w:tc>
        <w:tc>
          <w:tcPr>
            <w:tcW w:w="660" w:type="dxa"/>
            <w:vAlign w:val="bottom"/>
          </w:tcPr>
          <w:p>
            <w:pPr>
              <w:ind w:left="220"/>
              <w:spacing w:after="0" w:line="111" w:lineRule="exact"/>
              <w:rPr>
                <w:sz w:val="20"/>
                <w:szCs w:val="20"/>
                <w:color w:val="auto"/>
              </w:rPr>
            </w:pPr>
            <w:r>
              <w:rPr>
                <w:rFonts w:ascii="MS PGothic" w:cs="MS PGothic" w:eastAsia="MS PGothic" w:hAnsi="MS PGothic"/>
                <w:sz w:val="11"/>
                <w:szCs w:val="11"/>
                <w:color w:val="auto"/>
              </w:rPr>
              <w:t>☑</w:t>
            </w:r>
          </w:p>
        </w:tc>
        <w:tc>
          <w:tcPr>
            <w:tcW w:w="700" w:type="dxa"/>
            <w:vAlign w:val="bottom"/>
          </w:tcPr>
          <w:p>
            <w:pPr>
              <w:ind w:left="340"/>
              <w:spacing w:after="0"/>
              <w:rPr>
                <w:sz w:val="20"/>
                <w:szCs w:val="20"/>
                <w:color w:val="auto"/>
              </w:rPr>
            </w:pPr>
            <w:r>
              <w:rPr>
                <w:rFonts w:ascii="Arial" w:cs="Arial" w:eastAsia="Arial" w:hAnsi="Arial"/>
                <w:sz w:val="11"/>
                <w:szCs w:val="11"/>
                <w:color w:val="auto"/>
              </w:rPr>
              <w:t>No</w:t>
            </w:r>
          </w:p>
        </w:tc>
        <w:tc>
          <w:tcPr>
            <w:tcW w:w="300" w:type="dxa"/>
            <w:vAlign w:val="bottom"/>
          </w:tcPr>
          <w:p>
            <w:pPr>
              <w:ind w:left="240"/>
              <w:spacing w:after="0"/>
              <w:rPr>
                <w:sz w:val="20"/>
                <w:szCs w:val="20"/>
                <w:color w:val="auto"/>
              </w:rPr>
            </w:pPr>
            <w:r>
              <w:rPr>
                <w:rFonts w:ascii="Arial" w:cs="Arial" w:eastAsia="Arial" w:hAnsi="Arial"/>
                <w:sz w:val="10"/>
                <w:szCs w:val="10"/>
                <w:color w:val="auto"/>
                <w:w w:val="71"/>
              </w:rPr>
              <w:t>o</w:t>
            </w:r>
          </w:p>
        </w:tc>
      </w:tr>
      <w:tr>
        <w:trPr>
          <w:trHeight w:val="216"/>
        </w:trPr>
        <w:tc>
          <w:tcPr>
            <w:tcW w:w="3700" w:type="dxa"/>
            <w:vAlign w:val="bottom"/>
          </w:tcPr>
          <w:p>
            <w:pPr>
              <w:spacing w:after="0"/>
              <w:rPr>
                <w:sz w:val="20"/>
                <w:szCs w:val="20"/>
                <w:color w:val="auto"/>
              </w:rPr>
            </w:pPr>
            <w:r>
              <w:rPr>
                <w:rFonts w:ascii="Arial" w:cs="Arial" w:eastAsia="Arial" w:hAnsi="Arial"/>
                <w:sz w:val="11"/>
                <w:szCs w:val="11"/>
                <w:color w:val="auto"/>
              </w:rPr>
              <w:t>CenterPoint Energy Resources Corp.</w:t>
            </w:r>
          </w:p>
        </w:tc>
        <w:tc>
          <w:tcPr>
            <w:tcW w:w="2100" w:type="dxa"/>
            <w:vAlign w:val="bottom"/>
          </w:tcPr>
          <w:p>
            <w:pPr>
              <w:ind w:left="1720"/>
              <w:spacing w:after="0"/>
              <w:rPr>
                <w:sz w:val="20"/>
                <w:szCs w:val="20"/>
                <w:color w:val="auto"/>
              </w:rPr>
            </w:pPr>
            <w:r>
              <w:rPr>
                <w:rFonts w:ascii="Arial" w:cs="Arial" w:eastAsia="Arial" w:hAnsi="Arial"/>
                <w:sz w:val="11"/>
                <w:szCs w:val="11"/>
                <w:color w:val="auto"/>
              </w:rPr>
              <w:t>Yes</w:t>
            </w:r>
          </w:p>
        </w:tc>
        <w:tc>
          <w:tcPr>
            <w:tcW w:w="660" w:type="dxa"/>
            <w:vAlign w:val="bottom"/>
          </w:tcPr>
          <w:p>
            <w:pPr>
              <w:ind w:left="220"/>
              <w:spacing w:after="0" w:line="111" w:lineRule="exact"/>
              <w:rPr>
                <w:sz w:val="20"/>
                <w:szCs w:val="20"/>
                <w:color w:val="auto"/>
              </w:rPr>
            </w:pPr>
            <w:r>
              <w:rPr>
                <w:rFonts w:ascii="MS PGothic" w:cs="MS PGothic" w:eastAsia="MS PGothic" w:hAnsi="MS PGothic"/>
                <w:sz w:val="11"/>
                <w:szCs w:val="11"/>
                <w:color w:val="auto"/>
              </w:rPr>
              <w:t>☑</w:t>
            </w:r>
          </w:p>
        </w:tc>
        <w:tc>
          <w:tcPr>
            <w:tcW w:w="700" w:type="dxa"/>
            <w:vAlign w:val="bottom"/>
          </w:tcPr>
          <w:p>
            <w:pPr>
              <w:ind w:left="340"/>
              <w:spacing w:after="0"/>
              <w:rPr>
                <w:sz w:val="20"/>
                <w:szCs w:val="20"/>
                <w:color w:val="auto"/>
              </w:rPr>
            </w:pPr>
            <w:r>
              <w:rPr>
                <w:rFonts w:ascii="Arial" w:cs="Arial" w:eastAsia="Arial" w:hAnsi="Arial"/>
                <w:sz w:val="11"/>
                <w:szCs w:val="11"/>
                <w:color w:val="auto"/>
              </w:rPr>
              <w:t>No</w:t>
            </w:r>
          </w:p>
        </w:tc>
        <w:tc>
          <w:tcPr>
            <w:tcW w:w="300" w:type="dxa"/>
            <w:vAlign w:val="bottom"/>
          </w:tcPr>
          <w:p>
            <w:pPr>
              <w:ind w:left="240"/>
              <w:spacing w:after="0"/>
              <w:rPr>
                <w:sz w:val="20"/>
                <w:szCs w:val="20"/>
                <w:color w:val="auto"/>
              </w:rPr>
            </w:pPr>
            <w:r>
              <w:rPr>
                <w:rFonts w:ascii="Arial" w:cs="Arial" w:eastAsia="Arial" w:hAnsi="Arial"/>
                <w:sz w:val="10"/>
                <w:szCs w:val="10"/>
                <w:color w:val="auto"/>
                <w:w w:val="71"/>
              </w:rPr>
              <w:t>o</w:t>
            </w:r>
          </w:p>
        </w:tc>
      </w:tr>
    </w:tbl>
    <w:p>
      <w:pPr>
        <w:spacing w:after="0" w:line="152" w:lineRule="exact"/>
        <w:rPr>
          <w:sz w:val="20"/>
          <w:szCs w:val="20"/>
          <w:color w:val="auto"/>
        </w:rPr>
      </w:pPr>
    </w:p>
    <w:p>
      <w:pPr>
        <w:spacing w:after="0" w:line="264" w:lineRule="auto"/>
        <w:rPr>
          <w:sz w:val="20"/>
          <w:szCs w:val="20"/>
          <w:color w:val="auto"/>
        </w:rPr>
      </w:pPr>
      <w:r>
        <w:rPr>
          <w:rFonts w:ascii="Arial" w:cs="Arial" w:eastAsia="Arial" w:hAnsi="Arial"/>
          <w:sz w:val="13"/>
          <w:szCs w:val="13"/>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16" w:lineRule="exact"/>
        <w:rPr>
          <w:sz w:val="20"/>
          <w:szCs w:val="20"/>
          <w:color w:val="auto"/>
        </w:rPr>
      </w:pPr>
    </w:p>
    <w:tbl>
      <w:tblPr>
        <w:tblLayout w:type="fixed"/>
        <w:tblInd w:w="20" w:type="dxa"/>
        <w:tblCellMar>
          <w:top w:w="0" w:type="dxa"/>
          <w:left w:w="0" w:type="dxa"/>
          <w:bottom w:w="0" w:type="dxa"/>
          <w:right w:w="0" w:type="dxa"/>
        </w:tblCellMar>
      </w:tblPr>
      <w:tr>
        <w:trPr>
          <w:trHeight w:val="179"/>
        </w:trPr>
        <w:tc>
          <w:tcPr>
            <w:tcW w:w="3700" w:type="dxa"/>
            <w:vAlign w:val="bottom"/>
          </w:tcPr>
          <w:p>
            <w:pPr>
              <w:spacing w:after="0"/>
              <w:rPr>
                <w:sz w:val="20"/>
                <w:szCs w:val="20"/>
                <w:color w:val="auto"/>
              </w:rPr>
            </w:pPr>
            <w:r>
              <w:rPr>
                <w:rFonts w:ascii="Arial" w:cs="Arial" w:eastAsia="Arial" w:hAnsi="Arial"/>
                <w:sz w:val="11"/>
                <w:szCs w:val="11"/>
                <w:color w:val="auto"/>
              </w:rPr>
              <w:t>CenterPoint Energy, Inc.</w:t>
            </w:r>
          </w:p>
        </w:tc>
        <w:tc>
          <w:tcPr>
            <w:tcW w:w="2100" w:type="dxa"/>
            <w:vAlign w:val="bottom"/>
          </w:tcPr>
          <w:p>
            <w:pPr>
              <w:ind w:left="1720"/>
              <w:spacing w:after="0"/>
              <w:rPr>
                <w:sz w:val="20"/>
                <w:szCs w:val="20"/>
                <w:color w:val="auto"/>
              </w:rPr>
            </w:pPr>
            <w:r>
              <w:rPr>
                <w:rFonts w:ascii="Arial" w:cs="Arial" w:eastAsia="Arial" w:hAnsi="Arial"/>
                <w:sz w:val="11"/>
                <w:szCs w:val="11"/>
                <w:color w:val="auto"/>
              </w:rPr>
              <w:t>Yes</w:t>
            </w:r>
          </w:p>
        </w:tc>
        <w:tc>
          <w:tcPr>
            <w:tcW w:w="660" w:type="dxa"/>
            <w:vAlign w:val="bottom"/>
          </w:tcPr>
          <w:p>
            <w:pPr>
              <w:ind w:left="220"/>
              <w:spacing w:after="0" w:line="111" w:lineRule="exact"/>
              <w:rPr>
                <w:sz w:val="20"/>
                <w:szCs w:val="20"/>
                <w:color w:val="auto"/>
              </w:rPr>
            </w:pPr>
            <w:r>
              <w:rPr>
                <w:rFonts w:ascii="MS PGothic" w:cs="MS PGothic" w:eastAsia="MS PGothic" w:hAnsi="MS PGothic"/>
                <w:sz w:val="11"/>
                <w:szCs w:val="11"/>
                <w:color w:val="auto"/>
              </w:rPr>
              <w:t>☑</w:t>
            </w:r>
          </w:p>
        </w:tc>
        <w:tc>
          <w:tcPr>
            <w:tcW w:w="720" w:type="dxa"/>
            <w:vAlign w:val="bottom"/>
          </w:tcPr>
          <w:p>
            <w:pPr>
              <w:ind w:left="340"/>
              <w:spacing w:after="0"/>
              <w:rPr>
                <w:sz w:val="20"/>
                <w:szCs w:val="20"/>
                <w:color w:val="auto"/>
              </w:rPr>
            </w:pPr>
            <w:r>
              <w:rPr>
                <w:rFonts w:ascii="Arial" w:cs="Arial" w:eastAsia="Arial" w:hAnsi="Arial"/>
                <w:sz w:val="11"/>
                <w:szCs w:val="11"/>
                <w:color w:val="auto"/>
              </w:rPr>
              <w:t>No</w:t>
            </w:r>
          </w:p>
        </w:tc>
        <w:tc>
          <w:tcPr>
            <w:tcW w:w="300" w:type="dxa"/>
            <w:vAlign w:val="bottom"/>
          </w:tcPr>
          <w:p>
            <w:pPr>
              <w:ind w:left="240"/>
              <w:spacing w:after="0"/>
              <w:rPr>
                <w:sz w:val="20"/>
                <w:szCs w:val="20"/>
                <w:color w:val="auto"/>
              </w:rPr>
            </w:pPr>
            <w:r>
              <w:rPr>
                <w:rFonts w:ascii="Arial" w:cs="Arial" w:eastAsia="Arial" w:hAnsi="Arial"/>
                <w:sz w:val="10"/>
                <w:szCs w:val="10"/>
                <w:color w:val="auto"/>
                <w:w w:val="71"/>
              </w:rPr>
              <w:t>o</w:t>
            </w:r>
          </w:p>
        </w:tc>
      </w:tr>
      <w:tr>
        <w:trPr>
          <w:trHeight w:val="216"/>
        </w:trPr>
        <w:tc>
          <w:tcPr>
            <w:tcW w:w="3700" w:type="dxa"/>
            <w:vAlign w:val="bottom"/>
          </w:tcPr>
          <w:p>
            <w:pPr>
              <w:spacing w:after="0"/>
              <w:rPr>
                <w:sz w:val="20"/>
                <w:szCs w:val="20"/>
                <w:color w:val="auto"/>
              </w:rPr>
            </w:pPr>
            <w:r>
              <w:rPr>
                <w:rFonts w:ascii="Arial" w:cs="Arial" w:eastAsia="Arial" w:hAnsi="Arial"/>
                <w:sz w:val="11"/>
                <w:szCs w:val="11"/>
                <w:color w:val="auto"/>
              </w:rPr>
              <w:t>CenterPoint Energy Houston Electric, LLC</w:t>
            </w:r>
          </w:p>
        </w:tc>
        <w:tc>
          <w:tcPr>
            <w:tcW w:w="2100" w:type="dxa"/>
            <w:vAlign w:val="bottom"/>
          </w:tcPr>
          <w:p>
            <w:pPr>
              <w:ind w:left="1720"/>
              <w:spacing w:after="0"/>
              <w:rPr>
                <w:sz w:val="20"/>
                <w:szCs w:val="20"/>
                <w:color w:val="auto"/>
              </w:rPr>
            </w:pPr>
            <w:r>
              <w:rPr>
                <w:rFonts w:ascii="Arial" w:cs="Arial" w:eastAsia="Arial" w:hAnsi="Arial"/>
                <w:sz w:val="11"/>
                <w:szCs w:val="11"/>
                <w:color w:val="auto"/>
              </w:rPr>
              <w:t>Yes</w:t>
            </w:r>
          </w:p>
        </w:tc>
        <w:tc>
          <w:tcPr>
            <w:tcW w:w="660" w:type="dxa"/>
            <w:vAlign w:val="bottom"/>
          </w:tcPr>
          <w:p>
            <w:pPr>
              <w:ind w:left="220"/>
              <w:spacing w:after="0" w:line="111" w:lineRule="exact"/>
              <w:rPr>
                <w:sz w:val="20"/>
                <w:szCs w:val="20"/>
                <w:color w:val="auto"/>
              </w:rPr>
            </w:pPr>
            <w:r>
              <w:rPr>
                <w:rFonts w:ascii="MS PGothic" w:cs="MS PGothic" w:eastAsia="MS PGothic" w:hAnsi="MS PGothic"/>
                <w:sz w:val="11"/>
                <w:szCs w:val="11"/>
                <w:color w:val="auto"/>
              </w:rPr>
              <w:t>☑</w:t>
            </w:r>
          </w:p>
        </w:tc>
        <w:tc>
          <w:tcPr>
            <w:tcW w:w="720" w:type="dxa"/>
            <w:vAlign w:val="bottom"/>
          </w:tcPr>
          <w:p>
            <w:pPr>
              <w:ind w:left="340"/>
              <w:spacing w:after="0"/>
              <w:rPr>
                <w:sz w:val="20"/>
                <w:szCs w:val="20"/>
                <w:color w:val="auto"/>
              </w:rPr>
            </w:pPr>
            <w:r>
              <w:rPr>
                <w:rFonts w:ascii="Arial" w:cs="Arial" w:eastAsia="Arial" w:hAnsi="Arial"/>
                <w:sz w:val="11"/>
                <w:szCs w:val="11"/>
                <w:color w:val="auto"/>
              </w:rPr>
              <w:t>No</w:t>
            </w:r>
          </w:p>
        </w:tc>
        <w:tc>
          <w:tcPr>
            <w:tcW w:w="300" w:type="dxa"/>
            <w:vAlign w:val="bottom"/>
          </w:tcPr>
          <w:p>
            <w:pPr>
              <w:ind w:left="240"/>
              <w:spacing w:after="0"/>
              <w:rPr>
                <w:sz w:val="20"/>
                <w:szCs w:val="20"/>
                <w:color w:val="auto"/>
              </w:rPr>
            </w:pPr>
            <w:r>
              <w:rPr>
                <w:rFonts w:ascii="Arial" w:cs="Arial" w:eastAsia="Arial" w:hAnsi="Arial"/>
                <w:sz w:val="10"/>
                <w:szCs w:val="10"/>
                <w:color w:val="auto"/>
                <w:w w:val="71"/>
              </w:rPr>
              <w:t>o</w:t>
            </w:r>
          </w:p>
        </w:tc>
      </w:tr>
      <w:tr>
        <w:trPr>
          <w:trHeight w:val="216"/>
        </w:trPr>
        <w:tc>
          <w:tcPr>
            <w:tcW w:w="3700" w:type="dxa"/>
            <w:vAlign w:val="bottom"/>
          </w:tcPr>
          <w:p>
            <w:pPr>
              <w:spacing w:after="0"/>
              <w:rPr>
                <w:sz w:val="20"/>
                <w:szCs w:val="20"/>
                <w:color w:val="auto"/>
              </w:rPr>
            </w:pPr>
            <w:r>
              <w:rPr>
                <w:rFonts w:ascii="Arial" w:cs="Arial" w:eastAsia="Arial" w:hAnsi="Arial"/>
                <w:sz w:val="11"/>
                <w:szCs w:val="11"/>
                <w:color w:val="auto"/>
              </w:rPr>
              <w:t>CenterPoint Energy Resources Corp.</w:t>
            </w:r>
          </w:p>
        </w:tc>
        <w:tc>
          <w:tcPr>
            <w:tcW w:w="2100" w:type="dxa"/>
            <w:vAlign w:val="bottom"/>
          </w:tcPr>
          <w:p>
            <w:pPr>
              <w:ind w:left="1720"/>
              <w:spacing w:after="0"/>
              <w:rPr>
                <w:sz w:val="20"/>
                <w:szCs w:val="20"/>
                <w:color w:val="auto"/>
              </w:rPr>
            </w:pPr>
            <w:r>
              <w:rPr>
                <w:rFonts w:ascii="Arial" w:cs="Arial" w:eastAsia="Arial" w:hAnsi="Arial"/>
                <w:sz w:val="11"/>
                <w:szCs w:val="11"/>
                <w:color w:val="auto"/>
              </w:rPr>
              <w:t>Yes</w:t>
            </w:r>
          </w:p>
        </w:tc>
        <w:tc>
          <w:tcPr>
            <w:tcW w:w="660" w:type="dxa"/>
            <w:vAlign w:val="bottom"/>
          </w:tcPr>
          <w:p>
            <w:pPr>
              <w:ind w:left="220"/>
              <w:spacing w:after="0" w:line="111" w:lineRule="exact"/>
              <w:rPr>
                <w:sz w:val="20"/>
                <w:szCs w:val="20"/>
                <w:color w:val="auto"/>
              </w:rPr>
            </w:pPr>
            <w:r>
              <w:rPr>
                <w:rFonts w:ascii="MS PGothic" w:cs="MS PGothic" w:eastAsia="MS PGothic" w:hAnsi="MS PGothic"/>
                <w:sz w:val="11"/>
                <w:szCs w:val="11"/>
                <w:color w:val="auto"/>
              </w:rPr>
              <w:t>☑</w:t>
            </w:r>
          </w:p>
        </w:tc>
        <w:tc>
          <w:tcPr>
            <w:tcW w:w="720" w:type="dxa"/>
            <w:vAlign w:val="bottom"/>
          </w:tcPr>
          <w:p>
            <w:pPr>
              <w:ind w:left="340"/>
              <w:spacing w:after="0"/>
              <w:rPr>
                <w:sz w:val="20"/>
                <w:szCs w:val="20"/>
                <w:color w:val="auto"/>
              </w:rPr>
            </w:pPr>
            <w:r>
              <w:rPr>
                <w:rFonts w:ascii="Arial" w:cs="Arial" w:eastAsia="Arial" w:hAnsi="Arial"/>
                <w:sz w:val="11"/>
                <w:szCs w:val="11"/>
                <w:color w:val="auto"/>
              </w:rPr>
              <w:t>No</w:t>
            </w:r>
          </w:p>
        </w:tc>
        <w:tc>
          <w:tcPr>
            <w:tcW w:w="300" w:type="dxa"/>
            <w:vAlign w:val="bottom"/>
          </w:tcPr>
          <w:p>
            <w:pPr>
              <w:ind w:left="240"/>
              <w:spacing w:after="0"/>
              <w:rPr>
                <w:sz w:val="20"/>
                <w:szCs w:val="20"/>
                <w:color w:val="auto"/>
              </w:rPr>
            </w:pPr>
            <w:r>
              <w:rPr>
                <w:rFonts w:ascii="Arial" w:cs="Arial" w:eastAsia="Arial" w:hAnsi="Arial"/>
                <w:sz w:val="10"/>
                <w:szCs w:val="10"/>
                <w:color w:val="auto"/>
                <w:w w:val="71"/>
              </w:rPr>
              <w:t>o</w:t>
            </w:r>
          </w:p>
        </w:tc>
      </w:tr>
    </w:tbl>
    <w:p>
      <w:pPr>
        <w:spacing w:after="0" w:line="152" w:lineRule="exact"/>
        <w:rPr>
          <w:sz w:val="20"/>
          <w:szCs w:val="20"/>
          <w:color w:val="auto"/>
        </w:rPr>
      </w:pPr>
    </w:p>
    <w:p>
      <w:pPr>
        <w:spacing w:after="0" w:line="264"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84" w:lineRule="exact"/>
        <w:rPr>
          <w:sz w:val="20"/>
          <w:szCs w:val="20"/>
          <w:color w:val="auto"/>
        </w:rPr>
      </w:pPr>
    </w:p>
    <w:tbl>
      <w:tblPr>
        <w:tblLayout w:type="fixed"/>
        <w:tblInd w:w="20" w:type="dxa"/>
        <w:tblCellMar>
          <w:top w:w="0" w:type="dxa"/>
          <w:left w:w="0" w:type="dxa"/>
          <w:bottom w:w="0" w:type="dxa"/>
          <w:right w:w="0" w:type="dxa"/>
        </w:tblCellMar>
      </w:tblPr>
      <w:tr>
        <w:trPr>
          <w:trHeight w:val="126"/>
        </w:trPr>
        <w:tc>
          <w:tcPr>
            <w:tcW w:w="3600" w:type="dxa"/>
            <w:vAlign w:val="bottom"/>
          </w:tcPr>
          <w:p>
            <w:pPr>
              <w:spacing w:after="0"/>
              <w:rPr>
                <w:sz w:val="10"/>
                <w:szCs w:val="10"/>
                <w:color w:val="auto"/>
              </w:rPr>
            </w:pPr>
          </w:p>
        </w:tc>
        <w:tc>
          <w:tcPr>
            <w:tcW w:w="2880" w:type="dxa"/>
            <w:vAlign w:val="bottom"/>
            <w:vMerge w:val="restart"/>
          </w:tcPr>
          <w:p>
            <w:pPr>
              <w:jc w:val="center"/>
              <w:ind w:left="1423"/>
              <w:spacing w:after="0"/>
              <w:rPr>
                <w:sz w:val="20"/>
                <w:szCs w:val="20"/>
                <w:color w:val="auto"/>
              </w:rPr>
            </w:pPr>
            <w:r>
              <w:rPr>
                <w:rFonts w:ascii="Arial" w:cs="Arial" w:eastAsia="Arial" w:hAnsi="Arial"/>
                <w:sz w:val="11"/>
                <w:szCs w:val="11"/>
                <w:b w:val="1"/>
                <w:bCs w:val="1"/>
                <w:color w:val="auto"/>
                <w:w w:val="95"/>
              </w:rPr>
              <w:t>Large accelerated filer</w:t>
            </w:r>
          </w:p>
        </w:tc>
        <w:tc>
          <w:tcPr>
            <w:tcW w:w="114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3"/>
              </w:rPr>
              <w:t>Accelerated filer</w:t>
            </w:r>
          </w:p>
        </w:tc>
        <w:tc>
          <w:tcPr>
            <w:tcW w:w="134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5"/>
              </w:rPr>
              <w:t>Non-accelerated filer</w:t>
            </w:r>
          </w:p>
        </w:tc>
        <w:tc>
          <w:tcPr>
            <w:tcW w:w="1240" w:type="dxa"/>
            <w:vAlign w:val="bottom"/>
          </w:tcPr>
          <w:p>
            <w:pPr>
              <w:jc w:val="center"/>
              <w:spacing w:after="0"/>
              <w:rPr>
                <w:sz w:val="20"/>
                <w:szCs w:val="20"/>
                <w:color w:val="auto"/>
              </w:rPr>
            </w:pPr>
            <w:r>
              <w:rPr>
                <w:rFonts w:ascii="Arial" w:cs="Arial" w:eastAsia="Arial" w:hAnsi="Arial"/>
                <w:sz w:val="11"/>
                <w:szCs w:val="11"/>
                <w:b w:val="1"/>
                <w:bCs w:val="1"/>
                <w:color w:val="auto"/>
                <w:w w:val="96"/>
              </w:rPr>
              <w:t>Smaller reporting</w:t>
            </w:r>
          </w:p>
        </w:tc>
        <w:tc>
          <w:tcPr>
            <w:tcW w:w="1040" w:type="dxa"/>
            <w:vAlign w:val="bottom"/>
          </w:tcPr>
          <w:p>
            <w:pPr>
              <w:jc w:val="center"/>
              <w:ind w:left="123"/>
              <w:spacing w:after="0"/>
              <w:rPr>
                <w:sz w:val="20"/>
                <w:szCs w:val="20"/>
                <w:color w:val="auto"/>
              </w:rPr>
            </w:pPr>
            <w:r>
              <w:rPr>
                <w:rFonts w:ascii="Arial" w:cs="Arial" w:eastAsia="Arial" w:hAnsi="Arial"/>
                <w:sz w:val="11"/>
                <w:szCs w:val="11"/>
                <w:b w:val="1"/>
                <w:bCs w:val="1"/>
                <w:color w:val="auto"/>
                <w:w w:val="95"/>
              </w:rPr>
              <w:t>Emerging growth</w:t>
            </w:r>
          </w:p>
        </w:tc>
        <w:tc>
          <w:tcPr>
            <w:tcW w:w="0" w:type="dxa"/>
            <w:vAlign w:val="bottom"/>
          </w:tcPr>
          <w:p>
            <w:pPr>
              <w:spacing w:after="0"/>
              <w:rPr>
                <w:sz w:val="1"/>
                <w:szCs w:val="1"/>
                <w:color w:val="auto"/>
              </w:rPr>
            </w:pPr>
          </w:p>
        </w:tc>
      </w:tr>
      <w:tr>
        <w:trPr>
          <w:trHeight w:val="148"/>
        </w:trPr>
        <w:tc>
          <w:tcPr>
            <w:tcW w:w="3600" w:type="dxa"/>
            <w:vAlign w:val="bottom"/>
          </w:tcPr>
          <w:p>
            <w:pPr>
              <w:spacing w:after="0"/>
              <w:rPr>
                <w:sz w:val="12"/>
                <w:szCs w:val="12"/>
                <w:color w:val="auto"/>
              </w:rPr>
            </w:pPr>
          </w:p>
        </w:tc>
        <w:tc>
          <w:tcPr>
            <w:tcW w:w="2880" w:type="dxa"/>
            <w:vAlign w:val="bottom"/>
            <w:vMerge w:val="continue"/>
          </w:tcPr>
          <w:p>
            <w:pPr>
              <w:spacing w:after="0"/>
              <w:rPr>
                <w:sz w:val="12"/>
                <w:szCs w:val="12"/>
                <w:color w:val="auto"/>
              </w:rPr>
            </w:pPr>
          </w:p>
        </w:tc>
        <w:tc>
          <w:tcPr>
            <w:tcW w:w="1140" w:type="dxa"/>
            <w:vAlign w:val="bottom"/>
            <w:vMerge w:val="continue"/>
          </w:tcPr>
          <w:p>
            <w:pPr>
              <w:spacing w:after="0"/>
              <w:rPr>
                <w:sz w:val="12"/>
                <w:szCs w:val="12"/>
                <w:color w:val="auto"/>
              </w:rPr>
            </w:pPr>
          </w:p>
        </w:tc>
        <w:tc>
          <w:tcPr>
            <w:tcW w:w="1340" w:type="dxa"/>
            <w:vAlign w:val="bottom"/>
            <w:vMerge w:val="continue"/>
          </w:tcPr>
          <w:p>
            <w:pPr>
              <w:spacing w:after="0"/>
              <w:rPr>
                <w:sz w:val="12"/>
                <w:szCs w:val="12"/>
                <w:color w:val="auto"/>
              </w:rPr>
            </w:pPr>
          </w:p>
        </w:tc>
        <w:tc>
          <w:tcPr>
            <w:tcW w:w="1240" w:type="dxa"/>
            <w:vAlign w:val="bottom"/>
          </w:tcPr>
          <w:p>
            <w:pPr>
              <w:jc w:val="center"/>
              <w:spacing w:after="0"/>
              <w:rPr>
                <w:sz w:val="20"/>
                <w:szCs w:val="20"/>
                <w:color w:val="auto"/>
              </w:rPr>
            </w:pPr>
            <w:r>
              <w:rPr>
                <w:rFonts w:ascii="Arial" w:cs="Arial" w:eastAsia="Arial" w:hAnsi="Arial"/>
                <w:sz w:val="11"/>
                <w:szCs w:val="11"/>
                <w:b w:val="1"/>
                <w:bCs w:val="1"/>
                <w:color w:val="auto"/>
                <w:w w:val="91"/>
              </w:rPr>
              <w:t>company</w:t>
            </w:r>
          </w:p>
        </w:tc>
        <w:tc>
          <w:tcPr>
            <w:tcW w:w="1040" w:type="dxa"/>
            <w:vAlign w:val="bottom"/>
          </w:tcPr>
          <w:p>
            <w:pPr>
              <w:jc w:val="center"/>
              <w:ind w:left="143"/>
              <w:spacing w:after="0"/>
              <w:rPr>
                <w:sz w:val="20"/>
                <w:szCs w:val="20"/>
                <w:color w:val="auto"/>
              </w:rPr>
            </w:pPr>
            <w:r>
              <w:rPr>
                <w:rFonts w:ascii="Arial" w:cs="Arial" w:eastAsia="Arial" w:hAnsi="Arial"/>
                <w:sz w:val="11"/>
                <w:szCs w:val="11"/>
                <w:b w:val="1"/>
                <w:bCs w:val="1"/>
                <w:color w:val="auto"/>
                <w:w w:val="91"/>
              </w:rPr>
              <w:t>company</w:t>
            </w:r>
          </w:p>
        </w:tc>
        <w:tc>
          <w:tcPr>
            <w:tcW w:w="0" w:type="dxa"/>
            <w:vAlign w:val="bottom"/>
          </w:tcPr>
          <w:p>
            <w:pPr>
              <w:spacing w:after="0"/>
              <w:rPr>
                <w:sz w:val="1"/>
                <w:szCs w:val="1"/>
                <w:color w:val="auto"/>
              </w:rPr>
            </w:pPr>
          </w:p>
        </w:tc>
      </w:tr>
      <w:tr>
        <w:trPr>
          <w:trHeight w:val="271"/>
        </w:trPr>
        <w:tc>
          <w:tcPr>
            <w:tcW w:w="3600" w:type="dxa"/>
            <w:vAlign w:val="bottom"/>
          </w:tcPr>
          <w:p>
            <w:pPr>
              <w:spacing w:after="0"/>
              <w:rPr>
                <w:sz w:val="20"/>
                <w:szCs w:val="20"/>
                <w:color w:val="auto"/>
              </w:rPr>
            </w:pPr>
            <w:r>
              <w:rPr>
                <w:rFonts w:ascii="Arial" w:cs="Arial" w:eastAsia="Arial" w:hAnsi="Arial"/>
                <w:sz w:val="11"/>
                <w:szCs w:val="11"/>
                <w:color w:val="auto"/>
              </w:rPr>
              <w:t>CenterPoint Energy, Inc.</w:t>
            </w:r>
          </w:p>
        </w:tc>
        <w:tc>
          <w:tcPr>
            <w:tcW w:w="2880" w:type="dxa"/>
            <w:vAlign w:val="bottom"/>
          </w:tcPr>
          <w:p>
            <w:pPr>
              <w:jc w:val="center"/>
              <w:ind w:left="1403"/>
              <w:spacing w:after="0" w:line="111" w:lineRule="exact"/>
              <w:rPr>
                <w:sz w:val="20"/>
                <w:szCs w:val="20"/>
                <w:color w:val="auto"/>
              </w:rPr>
            </w:pPr>
            <w:r>
              <w:rPr>
                <w:rFonts w:ascii="MS PGothic" w:cs="MS PGothic" w:eastAsia="MS PGothic" w:hAnsi="MS PGothic"/>
                <w:sz w:val="11"/>
                <w:szCs w:val="11"/>
                <w:color w:val="auto"/>
                <w:w w:val="90"/>
              </w:rPr>
              <w:t>☑</w:t>
            </w:r>
          </w:p>
        </w:tc>
        <w:tc>
          <w:tcPr>
            <w:tcW w:w="1140" w:type="dxa"/>
            <w:vAlign w:val="bottom"/>
          </w:tcPr>
          <w:p>
            <w:pPr>
              <w:jc w:val="center"/>
              <w:spacing w:after="0"/>
              <w:rPr>
                <w:sz w:val="20"/>
                <w:szCs w:val="20"/>
                <w:color w:val="auto"/>
              </w:rPr>
            </w:pPr>
            <w:r>
              <w:rPr>
                <w:rFonts w:ascii="Arial" w:cs="Arial" w:eastAsia="Arial" w:hAnsi="Arial"/>
                <w:sz w:val="10"/>
                <w:szCs w:val="10"/>
                <w:color w:val="auto"/>
                <w:w w:val="71"/>
              </w:rPr>
              <w:t>o</w:t>
            </w:r>
          </w:p>
        </w:tc>
        <w:tc>
          <w:tcPr>
            <w:tcW w:w="1340" w:type="dxa"/>
            <w:vAlign w:val="bottom"/>
          </w:tcPr>
          <w:p>
            <w:pPr>
              <w:jc w:val="center"/>
              <w:spacing w:after="0"/>
              <w:rPr>
                <w:sz w:val="20"/>
                <w:szCs w:val="20"/>
                <w:color w:val="auto"/>
              </w:rPr>
            </w:pPr>
            <w:r>
              <w:rPr>
                <w:rFonts w:ascii="Arial" w:cs="Arial" w:eastAsia="Arial" w:hAnsi="Arial"/>
                <w:sz w:val="10"/>
                <w:szCs w:val="10"/>
                <w:color w:val="auto"/>
                <w:w w:val="71"/>
              </w:rPr>
              <w:t>o</w:t>
            </w:r>
          </w:p>
        </w:tc>
        <w:tc>
          <w:tcPr>
            <w:tcW w:w="1240" w:type="dxa"/>
            <w:vAlign w:val="bottom"/>
          </w:tcPr>
          <w:p>
            <w:pPr>
              <w:jc w:val="center"/>
              <w:spacing w:after="0" w:line="111" w:lineRule="exact"/>
              <w:rPr>
                <w:sz w:val="20"/>
                <w:szCs w:val="20"/>
                <w:color w:val="auto"/>
              </w:rPr>
            </w:pPr>
            <w:r>
              <w:rPr>
                <w:rFonts w:ascii="MS PGothic" w:cs="MS PGothic" w:eastAsia="MS PGothic" w:hAnsi="MS PGothic"/>
                <w:sz w:val="11"/>
                <w:szCs w:val="11"/>
                <w:color w:val="auto"/>
              </w:rPr>
              <w:t>☐</w:t>
            </w:r>
          </w:p>
        </w:tc>
        <w:tc>
          <w:tcPr>
            <w:tcW w:w="1040" w:type="dxa"/>
            <w:vAlign w:val="bottom"/>
          </w:tcPr>
          <w:p>
            <w:pPr>
              <w:jc w:val="center"/>
              <w:ind w:left="123"/>
              <w:spacing w:after="0" w:line="111" w:lineRule="exact"/>
              <w:rPr>
                <w:sz w:val="20"/>
                <w:szCs w:val="20"/>
                <w:color w:val="auto"/>
              </w:rPr>
            </w:pPr>
            <w:r>
              <w:rPr>
                <w:rFonts w:ascii="MS PGothic" w:cs="MS PGothic" w:eastAsia="MS PGothic" w:hAnsi="MS PGothic"/>
                <w:sz w:val="11"/>
                <w:szCs w:val="11"/>
                <w:color w:val="auto"/>
                <w:w w:val="90"/>
              </w:rPr>
              <w:t>☐</w:t>
            </w:r>
          </w:p>
        </w:tc>
        <w:tc>
          <w:tcPr>
            <w:tcW w:w="0" w:type="dxa"/>
            <w:vAlign w:val="bottom"/>
          </w:tcPr>
          <w:p>
            <w:pPr>
              <w:spacing w:after="0"/>
              <w:rPr>
                <w:sz w:val="1"/>
                <w:szCs w:val="1"/>
                <w:color w:val="auto"/>
              </w:rPr>
            </w:pPr>
          </w:p>
        </w:tc>
      </w:tr>
      <w:tr>
        <w:trPr>
          <w:trHeight w:val="269"/>
        </w:trPr>
        <w:tc>
          <w:tcPr>
            <w:tcW w:w="3600" w:type="dxa"/>
            <w:vAlign w:val="bottom"/>
          </w:tcPr>
          <w:p>
            <w:pPr>
              <w:spacing w:after="0"/>
              <w:rPr>
                <w:sz w:val="20"/>
                <w:szCs w:val="20"/>
                <w:color w:val="auto"/>
              </w:rPr>
            </w:pPr>
            <w:r>
              <w:rPr>
                <w:rFonts w:ascii="Arial" w:cs="Arial" w:eastAsia="Arial" w:hAnsi="Arial"/>
                <w:sz w:val="11"/>
                <w:szCs w:val="11"/>
                <w:color w:val="auto"/>
              </w:rPr>
              <w:t>CenterPoint Energy Houston Electric, LLC</w:t>
            </w:r>
          </w:p>
        </w:tc>
        <w:tc>
          <w:tcPr>
            <w:tcW w:w="2880" w:type="dxa"/>
            <w:vAlign w:val="bottom"/>
          </w:tcPr>
          <w:p>
            <w:pPr>
              <w:jc w:val="center"/>
              <w:ind w:left="1403"/>
              <w:spacing w:after="0"/>
              <w:rPr>
                <w:sz w:val="20"/>
                <w:szCs w:val="20"/>
                <w:color w:val="auto"/>
              </w:rPr>
            </w:pPr>
            <w:r>
              <w:rPr>
                <w:rFonts w:ascii="Arial" w:cs="Arial" w:eastAsia="Arial" w:hAnsi="Arial"/>
                <w:sz w:val="11"/>
                <w:szCs w:val="11"/>
                <w:color w:val="auto"/>
                <w:w w:val="97"/>
              </w:rPr>
              <w:t>o</w:t>
            </w:r>
          </w:p>
        </w:tc>
        <w:tc>
          <w:tcPr>
            <w:tcW w:w="1140" w:type="dxa"/>
            <w:vAlign w:val="bottom"/>
          </w:tcPr>
          <w:p>
            <w:pPr>
              <w:jc w:val="center"/>
              <w:spacing w:after="0"/>
              <w:rPr>
                <w:sz w:val="20"/>
                <w:szCs w:val="20"/>
                <w:color w:val="auto"/>
              </w:rPr>
            </w:pPr>
            <w:r>
              <w:rPr>
                <w:rFonts w:ascii="Arial" w:cs="Arial" w:eastAsia="Arial" w:hAnsi="Arial"/>
                <w:sz w:val="10"/>
                <w:szCs w:val="10"/>
                <w:color w:val="auto"/>
                <w:w w:val="71"/>
              </w:rPr>
              <w:t>o</w:t>
            </w:r>
          </w:p>
        </w:tc>
        <w:tc>
          <w:tcPr>
            <w:tcW w:w="1340" w:type="dxa"/>
            <w:vAlign w:val="bottom"/>
          </w:tcPr>
          <w:p>
            <w:pPr>
              <w:jc w:val="center"/>
              <w:spacing w:after="0" w:line="111" w:lineRule="exact"/>
              <w:rPr>
                <w:sz w:val="20"/>
                <w:szCs w:val="20"/>
                <w:color w:val="auto"/>
              </w:rPr>
            </w:pPr>
            <w:r>
              <w:rPr>
                <w:rFonts w:ascii="MS PGothic" w:cs="MS PGothic" w:eastAsia="MS PGothic" w:hAnsi="MS PGothic"/>
                <w:sz w:val="11"/>
                <w:szCs w:val="11"/>
                <w:color w:val="auto"/>
                <w:w w:val="90"/>
              </w:rPr>
              <w:t>☑</w:t>
            </w:r>
          </w:p>
        </w:tc>
        <w:tc>
          <w:tcPr>
            <w:tcW w:w="1240" w:type="dxa"/>
            <w:vAlign w:val="bottom"/>
          </w:tcPr>
          <w:p>
            <w:pPr>
              <w:jc w:val="center"/>
              <w:spacing w:after="0" w:line="111" w:lineRule="exact"/>
              <w:rPr>
                <w:sz w:val="20"/>
                <w:szCs w:val="20"/>
                <w:color w:val="auto"/>
              </w:rPr>
            </w:pPr>
            <w:r>
              <w:rPr>
                <w:rFonts w:ascii="MS PGothic" w:cs="MS PGothic" w:eastAsia="MS PGothic" w:hAnsi="MS PGothic"/>
                <w:sz w:val="11"/>
                <w:szCs w:val="11"/>
                <w:color w:val="auto"/>
              </w:rPr>
              <w:t>☐</w:t>
            </w:r>
          </w:p>
        </w:tc>
        <w:tc>
          <w:tcPr>
            <w:tcW w:w="1040" w:type="dxa"/>
            <w:vAlign w:val="bottom"/>
          </w:tcPr>
          <w:p>
            <w:pPr>
              <w:jc w:val="center"/>
              <w:ind w:left="123"/>
              <w:spacing w:after="0" w:line="111" w:lineRule="exact"/>
              <w:rPr>
                <w:sz w:val="20"/>
                <w:szCs w:val="20"/>
                <w:color w:val="auto"/>
              </w:rPr>
            </w:pPr>
            <w:r>
              <w:rPr>
                <w:rFonts w:ascii="MS PGothic" w:cs="MS PGothic" w:eastAsia="MS PGothic" w:hAnsi="MS PGothic"/>
                <w:sz w:val="11"/>
                <w:szCs w:val="11"/>
                <w:color w:val="auto"/>
                <w:w w:val="90"/>
              </w:rPr>
              <w:t>☐</w:t>
            </w:r>
          </w:p>
        </w:tc>
        <w:tc>
          <w:tcPr>
            <w:tcW w:w="0" w:type="dxa"/>
            <w:vAlign w:val="bottom"/>
          </w:tcPr>
          <w:p>
            <w:pPr>
              <w:spacing w:after="0"/>
              <w:rPr>
                <w:sz w:val="1"/>
                <w:szCs w:val="1"/>
                <w:color w:val="auto"/>
              </w:rPr>
            </w:pPr>
          </w:p>
        </w:tc>
      </w:tr>
      <w:tr>
        <w:trPr>
          <w:trHeight w:val="269"/>
        </w:trPr>
        <w:tc>
          <w:tcPr>
            <w:tcW w:w="3600" w:type="dxa"/>
            <w:vAlign w:val="bottom"/>
          </w:tcPr>
          <w:p>
            <w:pPr>
              <w:spacing w:after="0"/>
              <w:rPr>
                <w:sz w:val="20"/>
                <w:szCs w:val="20"/>
                <w:color w:val="auto"/>
              </w:rPr>
            </w:pPr>
            <w:r>
              <w:rPr>
                <w:rFonts w:ascii="Arial" w:cs="Arial" w:eastAsia="Arial" w:hAnsi="Arial"/>
                <w:sz w:val="11"/>
                <w:szCs w:val="11"/>
                <w:color w:val="auto"/>
              </w:rPr>
              <w:t>CenterPoint Energy Resources Corp.</w:t>
            </w:r>
          </w:p>
        </w:tc>
        <w:tc>
          <w:tcPr>
            <w:tcW w:w="2880" w:type="dxa"/>
            <w:vAlign w:val="bottom"/>
          </w:tcPr>
          <w:p>
            <w:pPr>
              <w:jc w:val="center"/>
              <w:ind w:left="1403"/>
              <w:spacing w:after="0"/>
              <w:rPr>
                <w:sz w:val="20"/>
                <w:szCs w:val="20"/>
                <w:color w:val="auto"/>
              </w:rPr>
            </w:pPr>
            <w:r>
              <w:rPr>
                <w:rFonts w:ascii="Arial" w:cs="Arial" w:eastAsia="Arial" w:hAnsi="Arial"/>
                <w:sz w:val="11"/>
                <w:szCs w:val="11"/>
                <w:color w:val="auto"/>
                <w:w w:val="97"/>
              </w:rPr>
              <w:t>o</w:t>
            </w:r>
          </w:p>
        </w:tc>
        <w:tc>
          <w:tcPr>
            <w:tcW w:w="1140" w:type="dxa"/>
            <w:vAlign w:val="bottom"/>
          </w:tcPr>
          <w:p>
            <w:pPr>
              <w:jc w:val="center"/>
              <w:spacing w:after="0"/>
              <w:rPr>
                <w:sz w:val="20"/>
                <w:szCs w:val="20"/>
                <w:color w:val="auto"/>
              </w:rPr>
            </w:pPr>
            <w:r>
              <w:rPr>
                <w:rFonts w:ascii="Arial" w:cs="Arial" w:eastAsia="Arial" w:hAnsi="Arial"/>
                <w:sz w:val="10"/>
                <w:szCs w:val="10"/>
                <w:color w:val="auto"/>
                <w:w w:val="71"/>
              </w:rPr>
              <w:t>o</w:t>
            </w:r>
          </w:p>
        </w:tc>
        <w:tc>
          <w:tcPr>
            <w:tcW w:w="1340" w:type="dxa"/>
            <w:vAlign w:val="bottom"/>
          </w:tcPr>
          <w:p>
            <w:pPr>
              <w:jc w:val="center"/>
              <w:spacing w:after="0" w:line="111" w:lineRule="exact"/>
              <w:rPr>
                <w:sz w:val="20"/>
                <w:szCs w:val="20"/>
                <w:color w:val="auto"/>
              </w:rPr>
            </w:pPr>
            <w:r>
              <w:rPr>
                <w:rFonts w:ascii="MS PGothic" w:cs="MS PGothic" w:eastAsia="MS PGothic" w:hAnsi="MS PGothic"/>
                <w:sz w:val="11"/>
                <w:szCs w:val="11"/>
                <w:color w:val="auto"/>
                <w:w w:val="90"/>
              </w:rPr>
              <w:t>☑</w:t>
            </w:r>
          </w:p>
        </w:tc>
        <w:tc>
          <w:tcPr>
            <w:tcW w:w="1240" w:type="dxa"/>
            <w:vAlign w:val="bottom"/>
          </w:tcPr>
          <w:p>
            <w:pPr>
              <w:jc w:val="center"/>
              <w:spacing w:after="0" w:line="111" w:lineRule="exact"/>
              <w:rPr>
                <w:sz w:val="20"/>
                <w:szCs w:val="20"/>
                <w:color w:val="auto"/>
              </w:rPr>
            </w:pPr>
            <w:r>
              <w:rPr>
                <w:rFonts w:ascii="MS PGothic" w:cs="MS PGothic" w:eastAsia="MS PGothic" w:hAnsi="MS PGothic"/>
                <w:sz w:val="11"/>
                <w:szCs w:val="11"/>
                <w:color w:val="auto"/>
              </w:rPr>
              <w:t>☐</w:t>
            </w:r>
          </w:p>
        </w:tc>
        <w:tc>
          <w:tcPr>
            <w:tcW w:w="1040" w:type="dxa"/>
            <w:vAlign w:val="bottom"/>
          </w:tcPr>
          <w:p>
            <w:pPr>
              <w:jc w:val="center"/>
              <w:ind w:left="123"/>
              <w:spacing w:after="0" w:line="111" w:lineRule="exact"/>
              <w:rPr>
                <w:sz w:val="20"/>
                <w:szCs w:val="20"/>
                <w:color w:val="auto"/>
              </w:rPr>
            </w:pPr>
            <w:r>
              <w:rPr>
                <w:rFonts w:ascii="MS PGothic" w:cs="MS PGothic" w:eastAsia="MS PGothic" w:hAnsi="MS PGothic"/>
                <w:sz w:val="11"/>
                <w:szCs w:val="11"/>
                <w:color w:val="auto"/>
                <w:w w:val="90"/>
              </w:rPr>
              <w:t>☐</w:t>
            </w:r>
          </w:p>
        </w:tc>
        <w:tc>
          <w:tcPr>
            <w:tcW w:w="0" w:type="dxa"/>
            <w:vAlign w:val="bottom"/>
          </w:tcPr>
          <w:p>
            <w:pPr>
              <w:spacing w:after="0"/>
              <w:rPr>
                <w:sz w:val="1"/>
                <w:szCs w:val="1"/>
                <w:color w:val="auto"/>
              </w:rPr>
            </w:pPr>
          </w:p>
        </w:tc>
      </w:tr>
    </w:tbl>
    <w:p>
      <w:pPr>
        <w:spacing w:after="0" w:line="152" w:lineRule="exact"/>
        <w:rPr>
          <w:sz w:val="20"/>
          <w:szCs w:val="20"/>
          <w:color w:val="auto"/>
        </w:rPr>
      </w:pPr>
    </w:p>
    <w:p>
      <w:pPr>
        <w:spacing w:after="0" w:line="264" w:lineRule="auto"/>
        <w:rPr>
          <w:sz w:val="20"/>
          <w:szCs w:val="20"/>
          <w:color w:val="auto"/>
        </w:rPr>
      </w:pPr>
      <w:r>
        <w:rPr>
          <w:rFonts w:ascii="Arial" w:cs="Arial" w:eastAsia="Arial" w:hAnsi="Arial"/>
          <w:sz w:val="13"/>
          <w:szCs w:val="13"/>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ectPr>
          <w:pgSz w:w="11900" w:h="16838" w:orient="portrait"/>
          <w:cols w:equalWidth="0" w:num="1">
            <w:col w:w="11460"/>
          </w:cols>
          <w:pgMar w:left="220" w:top="452" w:right="219" w:bottom="1440" w:gutter="0" w:footer="0" w:header="0"/>
        </w:sectPr>
      </w:pPr>
    </w:p>
    <w:p>
      <w:pPr>
        <w:spacing w:after="0" w:line="124" w:lineRule="exact"/>
        <w:rPr>
          <w:sz w:val="20"/>
          <w:szCs w:val="20"/>
          <w:color w:val="auto"/>
        </w:rPr>
      </w:pPr>
    </w:p>
    <w:p>
      <w:pPr>
        <w:spacing w:after="0"/>
        <w:rPr>
          <w:sz w:val="20"/>
          <w:szCs w:val="20"/>
          <w:color w:val="auto"/>
        </w:rPr>
      </w:pPr>
      <w:r>
        <w:rPr>
          <w:rFonts w:ascii="Arial" w:cs="Arial" w:eastAsia="Arial" w:hAnsi="Arial"/>
          <w:sz w:val="11"/>
          <w:szCs w:val="11"/>
          <w:color w:val="auto"/>
        </w:rPr>
        <w:t>Indicate by check mark whether the registrant is a shell company (as defined in Rule 12b-2 of the Exchange Act).</w:t>
      </w:r>
    </w:p>
    <w:p>
      <w:pPr>
        <w:spacing w:after="0" w:line="199" w:lineRule="exact"/>
        <w:rPr>
          <w:sz w:val="20"/>
          <w:szCs w:val="20"/>
          <w:color w:val="auto"/>
        </w:rPr>
      </w:pPr>
    </w:p>
    <w:p>
      <w:pPr>
        <w:ind w:left="20"/>
        <w:spacing w:after="0"/>
        <w:tabs>
          <w:tab w:leader="none" w:pos="5460" w:val="left"/>
        </w:tabs>
        <w:rPr>
          <w:sz w:val="20"/>
          <w:szCs w:val="20"/>
          <w:color w:val="auto"/>
        </w:rPr>
      </w:pPr>
      <w:r>
        <w:rPr>
          <w:rFonts w:ascii="Arial" w:cs="Arial" w:eastAsia="Arial" w:hAnsi="Arial"/>
          <w:sz w:val="11"/>
          <w:szCs w:val="11"/>
          <w:color w:val="auto"/>
        </w:rPr>
        <w:t>CenterPoint Energy, Inc.</w:t>
      </w:r>
      <w:r>
        <w:rPr>
          <w:sz w:val="20"/>
          <w:szCs w:val="20"/>
          <w:color w:val="auto"/>
        </w:rPr>
        <w:tab/>
      </w:r>
      <w:r>
        <w:rPr>
          <w:rFonts w:ascii="Arial" w:cs="Arial" w:eastAsia="Arial" w:hAnsi="Arial"/>
          <w:sz w:val="9"/>
          <w:szCs w:val="9"/>
          <w:color w:val="auto"/>
        </w:rPr>
        <w:t>Yes</w:t>
      </w:r>
    </w:p>
    <w:p>
      <w:pPr>
        <w:spacing w:after="0" w:line="89" w:lineRule="exact"/>
        <w:rPr>
          <w:sz w:val="20"/>
          <w:szCs w:val="20"/>
          <w:color w:val="auto"/>
        </w:rPr>
      </w:pPr>
    </w:p>
    <w:p>
      <w:pPr>
        <w:ind w:left="20"/>
        <w:spacing w:after="0"/>
        <w:tabs>
          <w:tab w:leader="none" w:pos="5460" w:val="left"/>
        </w:tabs>
        <w:rPr>
          <w:sz w:val="20"/>
          <w:szCs w:val="20"/>
          <w:color w:val="auto"/>
        </w:rPr>
      </w:pPr>
      <w:r>
        <w:rPr>
          <w:rFonts w:ascii="Arial" w:cs="Arial" w:eastAsia="Arial" w:hAnsi="Arial"/>
          <w:sz w:val="11"/>
          <w:szCs w:val="11"/>
          <w:color w:val="auto"/>
        </w:rPr>
        <w:t>CenterPoint Energy Houston Electric, LLC</w:t>
      </w:r>
      <w:r>
        <w:rPr>
          <w:sz w:val="20"/>
          <w:szCs w:val="20"/>
          <w:color w:val="auto"/>
        </w:rPr>
        <w:tab/>
      </w:r>
      <w:r>
        <w:rPr>
          <w:rFonts w:ascii="Arial" w:cs="Arial" w:eastAsia="Arial" w:hAnsi="Arial"/>
          <w:sz w:val="9"/>
          <w:szCs w:val="9"/>
          <w:color w:val="auto"/>
        </w:rPr>
        <w:t>Yes</w:t>
      </w:r>
    </w:p>
    <w:p>
      <w:pPr>
        <w:spacing w:after="0" w:line="89" w:lineRule="exact"/>
        <w:rPr>
          <w:sz w:val="20"/>
          <w:szCs w:val="20"/>
          <w:color w:val="auto"/>
        </w:rPr>
      </w:pPr>
    </w:p>
    <w:p>
      <w:pPr>
        <w:ind w:left="20"/>
        <w:spacing w:after="0"/>
        <w:tabs>
          <w:tab w:leader="none" w:pos="5460" w:val="left"/>
        </w:tabs>
        <w:rPr>
          <w:sz w:val="20"/>
          <w:szCs w:val="20"/>
          <w:color w:val="auto"/>
        </w:rPr>
      </w:pPr>
      <w:r>
        <w:rPr>
          <w:rFonts w:ascii="Arial" w:cs="Arial" w:eastAsia="Arial" w:hAnsi="Arial"/>
          <w:sz w:val="11"/>
          <w:szCs w:val="11"/>
          <w:color w:val="auto"/>
        </w:rPr>
        <w:t>CenterPoint Energy Resources Corp.</w:t>
      </w:r>
      <w:r>
        <w:rPr>
          <w:sz w:val="20"/>
          <w:szCs w:val="20"/>
          <w:color w:val="auto"/>
        </w:rPr>
        <w:tab/>
      </w:r>
      <w:r>
        <w:rPr>
          <w:rFonts w:ascii="Arial" w:cs="Arial" w:eastAsia="Arial" w:hAnsi="Arial"/>
          <w:sz w:val="9"/>
          <w:szCs w:val="9"/>
          <w:color w:val="auto"/>
        </w:rPr>
        <w:t>Yes</w:t>
      </w:r>
    </w:p>
    <w:p>
      <w:pPr>
        <w:spacing w:after="0" w:line="20" w:lineRule="exact"/>
        <w:rPr>
          <w:sz w:val="20"/>
          <w:szCs w:val="20"/>
          <w:color w:val="auto"/>
        </w:rPr>
      </w:pPr>
      <w:r>
        <w:rPr>
          <w:sz w:val="20"/>
          <w:szCs w:val="20"/>
          <w:color w:val="auto"/>
        </w:rPr>
        <w:br w:type="column"/>
      </w:r>
    </w:p>
    <w:p>
      <w:pPr>
        <w:spacing w:after="0" w:line="370" w:lineRule="exact"/>
        <w:rPr>
          <w:sz w:val="20"/>
          <w:szCs w:val="20"/>
          <w:color w:val="auto"/>
        </w:rPr>
      </w:pPr>
    </w:p>
    <w:p>
      <w:pPr>
        <w:spacing w:after="0" w:line="136" w:lineRule="exact"/>
        <w:tabs>
          <w:tab w:leader="none" w:pos="760" w:val="left"/>
          <w:tab w:leader="none" w:pos="1340" w:val="left"/>
        </w:tabs>
        <w:rPr>
          <w:sz w:val="20"/>
          <w:szCs w:val="20"/>
          <w:color w:val="auto"/>
        </w:rPr>
      </w:pPr>
      <w:r>
        <w:rPr>
          <w:rFonts w:ascii="MS PGothic" w:cs="MS PGothic" w:eastAsia="MS PGothic" w:hAnsi="MS PGothic"/>
          <w:sz w:val="13"/>
          <w:szCs w:val="13"/>
          <w:color w:val="auto"/>
        </w:rPr>
        <w:t>☐</w:t>
      </w:r>
      <w:r>
        <w:rPr>
          <w:sz w:val="20"/>
          <w:szCs w:val="20"/>
          <w:color w:val="auto"/>
        </w:rPr>
        <w:tab/>
      </w:r>
      <w:r>
        <w:rPr>
          <w:rFonts w:ascii="Arial" w:cs="Arial" w:eastAsia="Arial" w:hAnsi="Arial"/>
          <w:sz w:val="11"/>
          <w:szCs w:val="11"/>
          <w:color w:val="auto"/>
        </w:rPr>
        <w:t>No</w:t>
      </w:r>
      <w:r>
        <w:rPr>
          <w:sz w:val="20"/>
          <w:szCs w:val="20"/>
          <w:color w:val="auto"/>
        </w:rPr>
        <w:tab/>
      </w:r>
      <w:r>
        <w:rPr>
          <w:rFonts w:ascii="MS PGothic" w:cs="MS PGothic" w:eastAsia="MS PGothic" w:hAnsi="MS PGothic"/>
          <w:sz w:val="10"/>
          <w:szCs w:val="10"/>
          <w:color w:val="auto"/>
        </w:rPr>
        <w:t>☑</w:t>
      </w:r>
    </w:p>
    <w:p>
      <w:pPr>
        <w:spacing w:after="0" w:line="81" w:lineRule="exact"/>
        <w:rPr>
          <w:sz w:val="20"/>
          <w:szCs w:val="20"/>
          <w:color w:val="auto"/>
        </w:rPr>
      </w:pPr>
    </w:p>
    <w:p>
      <w:pPr>
        <w:spacing w:after="0" w:line="136" w:lineRule="exact"/>
        <w:tabs>
          <w:tab w:leader="none" w:pos="760" w:val="left"/>
          <w:tab w:leader="none" w:pos="1340" w:val="left"/>
        </w:tabs>
        <w:rPr>
          <w:sz w:val="20"/>
          <w:szCs w:val="20"/>
          <w:color w:val="auto"/>
        </w:rPr>
      </w:pPr>
      <w:r>
        <w:rPr>
          <w:rFonts w:ascii="MS PGothic" w:cs="MS PGothic" w:eastAsia="MS PGothic" w:hAnsi="MS PGothic"/>
          <w:sz w:val="13"/>
          <w:szCs w:val="13"/>
          <w:color w:val="auto"/>
        </w:rPr>
        <w:t>☐</w:t>
      </w:r>
      <w:r>
        <w:rPr>
          <w:sz w:val="20"/>
          <w:szCs w:val="20"/>
          <w:color w:val="auto"/>
        </w:rPr>
        <w:tab/>
      </w:r>
      <w:r>
        <w:rPr>
          <w:rFonts w:ascii="Arial" w:cs="Arial" w:eastAsia="Arial" w:hAnsi="Arial"/>
          <w:sz w:val="11"/>
          <w:szCs w:val="11"/>
          <w:color w:val="auto"/>
        </w:rPr>
        <w:t>No</w:t>
      </w:r>
      <w:r>
        <w:rPr>
          <w:sz w:val="20"/>
          <w:szCs w:val="20"/>
          <w:color w:val="auto"/>
        </w:rPr>
        <w:tab/>
      </w:r>
      <w:r>
        <w:rPr>
          <w:rFonts w:ascii="MS PGothic" w:cs="MS PGothic" w:eastAsia="MS PGothic" w:hAnsi="MS PGothic"/>
          <w:sz w:val="10"/>
          <w:szCs w:val="10"/>
          <w:color w:val="auto"/>
        </w:rPr>
        <w:t>☑</w:t>
      </w:r>
    </w:p>
    <w:p>
      <w:pPr>
        <w:spacing w:after="0" w:line="81" w:lineRule="exact"/>
        <w:rPr>
          <w:sz w:val="20"/>
          <w:szCs w:val="20"/>
          <w:color w:val="auto"/>
        </w:rPr>
      </w:pPr>
    </w:p>
    <w:p>
      <w:pPr>
        <w:spacing w:after="0" w:line="136" w:lineRule="exact"/>
        <w:tabs>
          <w:tab w:leader="none" w:pos="760" w:val="left"/>
          <w:tab w:leader="none" w:pos="1340" w:val="left"/>
        </w:tabs>
        <w:rPr>
          <w:sz w:val="20"/>
          <w:szCs w:val="20"/>
          <w:color w:val="auto"/>
        </w:rPr>
      </w:pPr>
      <w:r>
        <w:rPr>
          <w:rFonts w:ascii="MS PGothic" w:cs="MS PGothic" w:eastAsia="MS PGothic" w:hAnsi="MS PGothic"/>
          <w:sz w:val="13"/>
          <w:szCs w:val="13"/>
          <w:color w:val="auto"/>
        </w:rPr>
        <w:t>☐</w:t>
      </w:r>
      <w:r>
        <w:rPr>
          <w:sz w:val="20"/>
          <w:szCs w:val="20"/>
          <w:color w:val="auto"/>
        </w:rPr>
        <w:tab/>
      </w:r>
      <w:r>
        <w:rPr>
          <w:rFonts w:ascii="Arial" w:cs="Arial" w:eastAsia="Arial" w:hAnsi="Arial"/>
          <w:sz w:val="11"/>
          <w:szCs w:val="11"/>
          <w:color w:val="auto"/>
        </w:rPr>
        <w:t>No</w:t>
      </w:r>
      <w:r>
        <w:rPr>
          <w:sz w:val="20"/>
          <w:szCs w:val="20"/>
          <w:color w:val="auto"/>
        </w:rPr>
        <w:tab/>
      </w:r>
      <w:r>
        <w:rPr>
          <w:rFonts w:ascii="MS PGothic" w:cs="MS PGothic" w:eastAsia="MS PGothic" w:hAnsi="MS PGothic"/>
          <w:sz w:val="10"/>
          <w:szCs w:val="10"/>
          <w:color w:val="auto"/>
        </w:rPr>
        <w:t>☑</w:t>
      </w:r>
    </w:p>
    <w:p>
      <w:pPr>
        <w:spacing w:after="0" w:line="223" w:lineRule="exact"/>
        <w:rPr>
          <w:sz w:val="20"/>
          <w:szCs w:val="20"/>
          <w:color w:val="auto"/>
        </w:rPr>
      </w:pPr>
    </w:p>
    <w:p>
      <w:pPr>
        <w:sectPr>
          <w:pgSz w:w="11900" w:h="16838" w:orient="portrait"/>
          <w:cols w:equalWidth="0" w:num="2">
            <w:col w:w="5880" w:space="180"/>
            <w:col w:w="5400"/>
          </w:cols>
          <w:pgMar w:left="220" w:top="452" w:right="219" w:bottom="1440" w:gutter="0" w:footer="0" w:header="0"/>
          <w:type w:val="continuous"/>
        </w:sectPr>
      </w:pPr>
    </w:p>
    <w:p>
      <w:pPr>
        <w:spacing w:after="0"/>
        <w:rPr>
          <w:sz w:val="20"/>
          <w:szCs w:val="20"/>
          <w:color w:val="auto"/>
        </w:rPr>
      </w:pPr>
      <w:r>
        <w:rPr>
          <w:rFonts w:ascii="Arial" w:cs="Arial" w:eastAsia="Arial" w:hAnsi="Arial"/>
          <w:sz w:val="13"/>
          <w:szCs w:val="13"/>
          <w:color w:val="auto"/>
        </w:rPr>
        <w:t>Indicate the number of shares outstanding of each of the issuers’ classes of common stock as of October 25, 2019:</w:t>
      </w:r>
    </w:p>
    <w:p>
      <w:pPr>
        <w:spacing w:after="0" w:line="141" w:lineRule="exact"/>
        <w:rPr>
          <w:sz w:val="20"/>
          <w:szCs w:val="20"/>
          <w:color w:val="auto"/>
        </w:rPr>
      </w:pPr>
    </w:p>
    <w:tbl>
      <w:tblPr>
        <w:tblLayout w:type="fixed"/>
        <w:tblInd w:w="20" w:type="dxa"/>
        <w:tblCellMar>
          <w:top w:w="0" w:type="dxa"/>
          <w:left w:w="0" w:type="dxa"/>
          <w:bottom w:w="0" w:type="dxa"/>
          <w:right w:w="0" w:type="dxa"/>
        </w:tblCellMar>
      </w:tblPr>
      <w:tr>
        <w:trPr>
          <w:trHeight w:val="163"/>
        </w:trPr>
        <w:tc>
          <w:tcPr>
            <w:tcW w:w="3100" w:type="dxa"/>
            <w:vAlign w:val="bottom"/>
          </w:tcPr>
          <w:p>
            <w:pPr>
              <w:spacing w:after="0"/>
              <w:rPr>
                <w:sz w:val="20"/>
                <w:szCs w:val="20"/>
                <w:color w:val="auto"/>
              </w:rPr>
            </w:pPr>
            <w:r>
              <w:rPr>
                <w:rFonts w:ascii="Arial" w:cs="Arial" w:eastAsia="Arial" w:hAnsi="Arial"/>
                <w:sz w:val="13"/>
                <w:szCs w:val="13"/>
                <w:color w:val="auto"/>
              </w:rPr>
              <w:t>CenterPoint Energy, Inc.</w:t>
            </w:r>
          </w:p>
        </w:tc>
        <w:tc>
          <w:tcPr>
            <w:tcW w:w="1740" w:type="dxa"/>
            <w:vAlign w:val="bottom"/>
          </w:tcPr>
          <w:p>
            <w:pPr>
              <w:jc w:val="center"/>
              <w:ind w:left="555"/>
              <w:spacing w:after="0"/>
              <w:rPr>
                <w:sz w:val="20"/>
                <w:szCs w:val="20"/>
                <w:color w:val="auto"/>
              </w:rPr>
            </w:pPr>
            <w:r>
              <w:rPr>
                <w:rFonts w:ascii="Arial" w:cs="Arial" w:eastAsia="Arial" w:hAnsi="Arial"/>
                <w:sz w:val="13"/>
                <w:szCs w:val="13"/>
                <w:color w:val="auto"/>
                <w:w w:val="88"/>
              </w:rPr>
              <w:t>502,241,723</w:t>
            </w:r>
          </w:p>
        </w:tc>
        <w:tc>
          <w:tcPr>
            <w:tcW w:w="6520" w:type="dxa"/>
            <w:vAlign w:val="bottom"/>
          </w:tcPr>
          <w:p>
            <w:pPr>
              <w:ind w:left="220"/>
              <w:spacing w:after="0"/>
              <w:rPr>
                <w:sz w:val="20"/>
                <w:szCs w:val="20"/>
                <w:color w:val="auto"/>
              </w:rPr>
            </w:pPr>
            <w:r>
              <w:rPr>
                <w:rFonts w:ascii="Arial" w:cs="Arial" w:eastAsia="Arial" w:hAnsi="Arial"/>
                <w:sz w:val="13"/>
                <w:szCs w:val="13"/>
                <w:color w:val="auto"/>
              </w:rPr>
              <w:t>shares of common stock outstanding, excluding 166 shares held as treasury stock</w:t>
            </w:r>
          </w:p>
        </w:tc>
      </w:tr>
      <w:tr>
        <w:trPr>
          <w:trHeight w:val="216"/>
        </w:trPr>
        <w:tc>
          <w:tcPr>
            <w:tcW w:w="3100" w:type="dxa"/>
            <w:vAlign w:val="bottom"/>
          </w:tcPr>
          <w:p>
            <w:pPr>
              <w:spacing w:after="0"/>
              <w:rPr>
                <w:sz w:val="20"/>
                <w:szCs w:val="20"/>
                <w:color w:val="auto"/>
              </w:rPr>
            </w:pPr>
            <w:r>
              <w:rPr>
                <w:rFonts w:ascii="Arial" w:cs="Arial" w:eastAsia="Arial" w:hAnsi="Arial"/>
                <w:sz w:val="13"/>
                <w:szCs w:val="13"/>
                <w:color w:val="auto"/>
              </w:rPr>
              <w:t>CenterPoint Energy Houston Electric, LLC</w:t>
            </w:r>
          </w:p>
        </w:tc>
        <w:tc>
          <w:tcPr>
            <w:tcW w:w="1740" w:type="dxa"/>
            <w:vAlign w:val="bottom"/>
          </w:tcPr>
          <w:p>
            <w:pPr>
              <w:jc w:val="center"/>
              <w:ind w:left="575"/>
              <w:spacing w:after="0"/>
              <w:rPr>
                <w:sz w:val="20"/>
                <w:szCs w:val="20"/>
                <w:color w:val="auto"/>
              </w:rPr>
            </w:pPr>
            <w:r>
              <w:rPr>
                <w:rFonts w:ascii="Arial" w:cs="Arial" w:eastAsia="Arial" w:hAnsi="Arial"/>
                <w:sz w:val="13"/>
                <w:szCs w:val="13"/>
                <w:color w:val="auto"/>
                <w:w w:val="92"/>
              </w:rPr>
              <w:t>1,000</w:t>
            </w:r>
          </w:p>
        </w:tc>
        <w:tc>
          <w:tcPr>
            <w:tcW w:w="6520" w:type="dxa"/>
            <w:vAlign w:val="bottom"/>
          </w:tcPr>
          <w:p>
            <w:pPr>
              <w:ind w:left="220"/>
              <w:spacing w:after="0"/>
              <w:rPr>
                <w:sz w:val="20"/>
                <w:szCs w:val="20"/>
                <w:color w:val="auto"/>
              </w:rPr>
            </w:pPr>
            <w:r>
              <w:rPr>
                <w:rFonts w:ascii="Arial" w:cs="Arial" w:eastAsia="Arial" w:hAnsi="Arial"/>
                <w:sz w:val="13"/>
                <w:szCs w:val="13"/>
                <w:color w:val="auto"/>
                <w:w w:val="94"/>
              </w:rPr>
              <w:t>common shares outstanding, all held by Utility Holding, LLC, a wholly-owned subsidiary of CenterPoint Energy, Inc.</w:t>
            </w:r>
          </w:p>
        </w:tc>
      </w:tr>
      <w:tr>
        <w:trPr>
          <w:trHeight w:val="203"/>
        </w:trPr>
        <w:tc>
          <w:tcPr>
            <w:tcW w:w="31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6520" w:type="dxa"/>
            <w:vAlign w:val="bottom"/>
          </w:tcPr>
          <w:p>
            <w:pPr>
              <w:ind w:left="220"/>
              <w:spacing w:after="0"/>
              <w:rPr>
                <w:sz w:val="20"/>
                <w:szCs w:val="20"/>
                <w:color w:val="auto"/>
              </w:rPr>
            </w:pPr>
            <w:r>
              <w:rPr>
                <w:rFonts w:ascii="Arial" w:cs="Arial" w:eastAsia="Arial" w:hAnsi="Arial"/>
                <w:sz w:val="13"/>
                <w:szCs w:val="13"/>
                <w:color w:val="auto"/>
                <w:w w:val="91"/>
              </w:rPr>
              <w:t>shares of common stock outstanding, all held by Utility Holding, LLC, a wholly-owned subsidiary of CenterPoint Energy,</w:t>
            </w:r>
          </w:p>
        </w:tc>
      </w:tr>
      <w:tr>
        <w:trPr>
          <w:trHeight w:val="163"/>
        </w:trPr>
        <w:tc>
          <w:tcPr>
            <w:tcW w:w="3100" w:type="dxa"/>
            <w:vAlign w:val="bottom"/>
          </w:tcPr>
          <w:p>
            <w:pPr>
              <w:spacing w:after="0"/>
              <w:rPr>
                <w:sz w:val="20"/>
                <w:szCs w:val="20"/>
                <w:color w:val="auto"/>
              </w:rPr>
            </w:pPr>
            <w:r>
              <w:rPr>
                <w:rFonts w:ascii="Arial" w:cs="Arial" w:eastAsia="Arial" w:hAnsi="Arial"/>
                <w:sz w:val="13"/>
                <w:szCs w:val="13"/>
                <w:color w:val="auto"/>
              </w:rPr>
              <w:t>CenterPoint Energy Resources Corp.</w:t>
            </w:r>
          </w:p>
        </w:tc>
        <w:tc>
          <w:tcPr>
            <w:tcW w:w="1740" w:type="dxa"/>
            <w:vAlign w:val="bottom"/>
          </w:tcPr>
          <w:p>
            <w:pPr>
              <w:jc w:val="center"/>
              <w:ind w:left="575"/>
              <w:spacing w:after="0"/>
              <w:rPr>
                <w:sz w:val="20"/>
                <w:szCs w:val="20"/>
                <w:color w:val="auto"/>
              </w:rPr>
            </w:pPr>
            <w:r>
              <w:rPr>
                <w:rFonts w:ascii="Arial" w:cs="Arial" w:eastAsia="Arial" w:hAnsi="Arial"/>
                <w:sz w:val="13"/>
                <w:szCs w:val="13"/>
                <w:color w:val="auto"/>
                <w:w w:val="92"/>
              </w:rPr>
              <w:t>1,000</w:t>
            </w:r>
          </w:p>
        </w:tc>
        <w:tc>
          <w:tcPr>
            <w:tcW w:w="6520" w:type="dxa"/>
            <w:vAlign w:val="bottom"/>
          </w:tcPr>
          <w:p>
            <w:pPr>
              <w:ind w:left="220"/>
              <w:spacing w:after="0"/>
              <w:rPr>
                <w:sz w:val="20"/>
                <w:szCs w:val="20"/>
                <w:color w:val="auto"/>
              </w:rPr>
            </w:pPr>
            <w:r>
              <w:rPr>
                <w:rFonts w:ascii="Arial" w:cs="Arial" w:eastAsia="Arial" w:hAnsi="Arial"/>
                <w:sz w:val="13"/>
                <w:szCs w:val="13"/>
                <w:color w:val="auto"/>
              </w:rPr>
              <w:t>Inc.</w:t>
            </w:r>
          </w:p>
        </w:tc>
      </w:tr>
    </w:tbl>
    <w:p>
      <w:pPr>
        <w:spacing w:after="0" w:line="322" w:lineRule="exact"/>
        <w:rPr>
          <w:sz w:val="20"/>
          <w:szCs w:val="20"/>
          <w:color w:val="auto"/>
        </w:rPr>
      </w:pPr>
    </w:p>
    <w:p>
      <w:pPr>
        <w:spacing w:after="0" w:line="264" w:lineRule="auto"/>
        <w:rPr>
          <w:sz w:val="20"/>
          <w:szCs w:val="20"/>
          <w:color w:val="auto"/>
        </w:rPr>
      </w:pPr>
      <w:r>
        <w:rPr>
          <w:rFonts w:ascii="Arial" w:cs="Arial" w:eastAsia="Arial" w:hAnsi="Arial"/>
          <w:sz w:val="13"/>
          <w:szCs w:val="13"/>
          <w:color w:val="auto"/>
        </w:rPr>
        <w:t>CenterPoint Energy Houston Electric, LLC and CenterPoint Energy Resources Corp. meet the conditions set forth in General Instructions H(1)(a) and (b) of Form 10-Q and are therefore filing this form with the reduced disclosure format specified in General Instruction H(2) of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212725</wp:posOffset>
            </wp:positionV>
            <wp:extent cx="7274560" cy="139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4560" cy="13970"/>
                    </a:xfrm>
                    <a:prstGeom prst="rect">
                      <a:avLst/>
                    </a:prstGeom>
                    <a:noFill/>
                  </pic:spPr>
                </pic:pic>
              </a:graphicData>
            </a:graphic>
          </wp:anchor>
        </w:drawing>
      </w:r>
    </w:p>
    <w:p>
      <w:pPr>
        <w:sectPr>
          <w:pgSz w:w="11900" w:h="16838" w:orient="portrait"/>
          <w:cols w:equalWidth="0" w:num="1">
            <w:col w:w="11460"/>
          </w:cols>
          <w:pgMar w:left="220" w:top="452" w:right="21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186"/>
        </w:trPr>
        <w:tc>
          <w:tcPr>
            <w:tcW w:w="1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380" w:type="dxa"/>
            <w:vAlign w:val="bottom"/>
            <w:gridSpan w:val="5"/>
          </w:tcPr>
          <w:p>
            <w:pPr>
              <w:ind w:left="240"/>
              <w:spacing w:after="0"/>
              <w:rPr>
                <w:sz w:val="20"/>
                <w:szCs w:val="20"/>
                <w:color w:val="auto"/>
              </w:rPr>
            </w:pPr>
            <w:r>
              <w:rPr>
                <w:rFonts w:ascii="Arial" w:cs="Arial" w:eastAsia="Arial" w:hAnsi="Arial"/>
                <w:sz w:val="14"/>
                <w:szCs w:val="14"/>
                <w:b w:val="1"/>
                <w:bCs w:val="1"/>
                <w:color w:val="auto"/>
              </w:rPr>
              <w:t>TABLE OF CONTENTS</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474"/>
        </w:trPr>
        <w:tc>
          <w:tcPr>
            <w:tcW w:w="1280" w:type="dxa"/>
            <w:vAlign w:val="bottom"/>
          </w:tcPr>
          <w:p>
            <w:pPr>
              <w:ind w:left="20"/>
              <w:spacing w:after="0"/>
              <w:rPr>
                <w:sz w:val="20"/>
                <w:szCs w:val="20"/>
                <w:color w:val="auto"/>
              </w:rPr>
            </w:pPr>
            <w:r>
              <w:rPr>
                <w:rFonts w:ascii="Arial" w:cs="Arial" w:eastAsia="Arial" w:hAnsi="Arial"/>
                <w:sz w:val="14"/>
                <w:szCs w:val="14"/>
                <w:b w:val="1"/>
                <w:bCs w:val="1"/>
                <w:color w:val="auto"/>
              </w:rPr>
              <w:t>PART I.</w:t>
            </w:r>
          </w:p>
        </w:tc>
        <w:tc>
          <w:tcPr>
            <w:tcW w:w="9820" w:type="dxa"/>
            <w:vAlign w:val="bottom"/>
            <w:gridSpan w:val="38"/>
          </w:tcPr>
          <w:p>
            <w:pPr>
              <w:spacing w:after="0"/>
              <w:rPr>
                <w:sz w:val="20"/>
                <w:szCs w:val="20"/>
                <w:color w:val="auto"/>
              </w:rPr>
            </w:pPr>
            <w:r>
              <w:rPr>
                <w:rFonts w:ascii="Arial" w:cs="Arial" w:eastAsia="Arial" w:hAnsi="Arial"/>
                <w:sz w:val="14"/>
                <w:szCs w:val="14"/>
                <w:b w:val="1"/>
                <w:bCs w:val="1"/>
                <w:color w:val="auto"/>
              </w:rPr>
              <w:t>FINANCIAL INFORMATION</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
        </w:trPr>
        <w:tc>
          <w:tcPr>
            <w:tcW w:w="1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2"/>
        </w:trPr>
        <w:tc>
          <w:tcPr>
            <w:tcW w:w="12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Item 1.</w:t>
            </w:r>
          </w:p>
        </w:tc>
        <w:tc>
          <w:tcPr>
            <w:tcW w:w="9820" w:type="dxa"/>
            <w:vAlign w:val="bottom"/>
            <w:gridSpan w:val="38"/>
            <w:shd w:val="clear" w:color="auto" w:fill="CCEEFF"/>
          </w:tcPr>
          <w:p>
            <w:pPr>
              <w:spacing w:after="0"/>
              <w:rPr>
                <w:rFonts w:ascii="Arial" w:cs="Arial" w:eastAsia="Arial" w:hAnsi="Arial"/>
                <w:sz w:val="14"/>
                <w:szCs w:val="14"/>
                <w:color w:val="0000EE"/>
              </w:rPr>
            </w:pPr>
            <w:hyperlink w:anchor="page11">
              <w:r>
                <w:rPr>
                  <w:rFonts w:ascii="Arial" w:cs="Arial" w:eastAsia="Arial" w:hAnsi="Arial"/>
                  <w:sz w:val="14"/>
                  <w:szCs w:val="14"/>
                  <w:color w:val="0000EE"/>
                </w:rPr>
                <w:t>Financial Statements</w:t>
              </w:r>
            </w:hyperlink>
          </w:p>
        </w:tc>
        <w:tc>
          <w:tcPr>
            <w:tcW w:w="180" w:type="dxa"/>
            <w:vAlign w:val="bottom"/>
            <w:gridSpan w:val="4"/>
            <w:shd w:val="clear" w:color="auto" w:fill="CCEEFF"/>
          </w:tcPr>
          <w:p>
            <w:pPr>
              <w:jc w:val="center"/>
              <w:spacing w:after="0"/>
              <w:rPr>
                <w:rFonts w:ascii="Arial" w:cs="Arial" w:eastAsia="Arial" w:hAnsi="Arial"/>
                <w:sz w:val="14"/>
                <w:szCs w:val="14"/>
                <w:color w:val="0000EE"/>
              </w:rPr>
            </w:pPr>
            <w:hyperlink w:anchor="page11">
              <w:r>
                <w:rPr>
                  <w:rFonts w:ascii="Arial" w:cs="Arial" w:eastAsia="Arial" w:hAnsi="Arial"/>
                  <w:sz w:val="14"/>
                  <w:szCs w:val="14"/>
                  <w:color w:val="0000EE"/>
                </w:rPr>
                <w:t>1</w:t>
              </w:r>
            </w:hyperlink>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34"/>
        </w:trPr>
        <w:tc>
          <w:tcPr>
            <w:tcW w:w="12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c>
          <w:tcPr>
            <w:tcW w:w="46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r>
      <w:tr>
        <w:trPr>
          <w:trHeight w:val="162"/>
        </w:trPr>
        <w:tc>
          <w:tcPr>
            <w:tcW w:w="1280" w:type="dxa"/>
            <w:vAlign w:val="bottom"/>
          </w:tcPr>
          <w:p>
            <w:pPr>
              <w:spacing w:after="0"/>
              <w:rPr>
                <w:sz w:val="14"/>
                <w:szCs w:val="14"/>
                <w:color w:val="auto"/>
              </w:rPr>
            </w:pPr>
          </w:p>
        </w:tc>
        <w:tc>
          <w:tcPr>
            <w:tcW w:w="9820" w:type="dxa"/>
            <w:vAlign w:val="bottom"/>
            <w:gridSpan w:val="38"/>
          </w:tcPr>
          <w:p>
            <w:pPr>
              <w:spacing w:after="0"/>
              <w:rPr>
                <w:rFonts w:ascii="Arial" w:cs="Arial" w:eastAsia="Arial" w:hAnsi="Arial"/>
                <w:sz w:val="14"/>
                <w:szCs w:val="14"/>
                <w:color w:val="0000EE"/>
              </w:rPr>
            </w:pPr>
            <w:hyperlink w:anchor="page11">
              <w:r>
                <w:rPr>
                  <w:rFonts w:ascii="Arial" w:cs="Arial" w:eastAsia="Arial" w:hAnsi="Arial"/>
                  <w:sz w:val="14"/>
                  <w:szCs w:val="14"/>
                  <w:color w:val="0000EE"/>
                </w:rPr>
                <w:t xml:space="preserve">CenterPoint Energy, Inc. Financial Statements </w:t>
              </w:r>
            </w:hyperlink>
            <w:r>
              <w:rPr>
                <w:rFonts w:ascii="Arial" w:cs="Arial" w:eastAsia="Arial" w:hAnsi="Arial"/>
                <w:sz w:val="14"/>
                <w:szCs w:val="14"/>
                <w:color w:val="000000"/>
              </w:rPr>
              <w:t>(unaudited)</w:t>
            </w:r>
          </w:p>
        </w:tc>
        <w:tc>
          <w:tcPr>
            <w:tcW w:w="180" w:type="dxa"/>
            <w:vAlign w:val="bottom"/>
            <w:gridSpan w:val="4"/>
          </w:tcPr>
          <w:p>
            <w:pPr>
              <w:jc w:val="center"/>
              <w:spacing w:after="0"/>
              <w:rPr>
                <w:rFonts w:ascii="Arial" w:cs="Arial" w:eastAsia="Arial" w:hAnsi="Arial"/>
                <w:sz w:val="14"/>
                <w:szCs w:val="14"/>
                <w:color w:val="0000EE"/>
              </w:rPr>
            </w:pPr>
            <w:hyperlink w:anchor="page11">
              <w:r>
                <w:rPr>
                  <w:rFonts w:ascii="Arial" w:cs="Arial" w:eastAsia="Arial" w:hAnsi="Arial"/>
                  <w:sz w:val="14"/>
                  <w:szCs w:val="14"/>
                  <w:color w:val="0000EE"/>
                </w:rPr>
                <w:t>1</w:t>
              </w:r>
            </w:hyperlink>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34"/>
        </w:trPr>
        <w:tc>
          <w:tcPr>
            <w:tcW w:w="1280" w:type="dxa"/>
            <w:vAlign w:val="bottom"/>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46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62"/>
        </w:trPr>
        <w:tc>
          <w:tcPr>
            <w:tcW w:w="1280" w:type="dxa"/>
            <w:vAlign w:val="bottom"/>
            <w:shd w:val="clear" w:color="auto" w:fill="CCEEFF"/>
          </w:tcPr>
          <w:p>
            <w:pPr>
              <w:spacing w:after="0"/>
              <w:rPr>
                <w:sz w:val="14"/>
                <w:szCs w:val="14"/>
                <w:color w:val="auto"/>
              </w:rPr>
            </w:pPr>
          </w:p>
        </w:tc>
        <w:tc>
          <w:tcPr>
            <w:tcW w:w="9820" w:type="dxa"/>
            <w:vAlign w:val="bottom"/>
            <w:gridSpan w:val="38"/>
            <w:shd w:val="clear" w:color="auto" w:fill="CCEEFF"/>
          </w:tcPr>
          <w:p>
            <w:pPr>
              <w:spacing w:after="0"/>
              <w:rPr>
                <w:rFonts w:ascii="Arial" w:cs="Arial" w:eastAsia="Arial" w:hAnsi="Arial"/>
                <w:sz w:val="14"/>
                <w:szCs w:val="14"/>
                <w:color w:val="0000EE"/>
              </w:rPr>
            </w:pPr>
            <w:hyperlink w:anchor="page17">
              <w:r>
                <w:rPr>
                  <w:rFonts w:ascii="Arial" w:cs="Arial" w:eastAsia="Arial" w:hAnsi="Arial"/>
                  <w:sz w:val="14"/>
                  <w:szCs w:val="14"/>
                  <w:color w:val="0000EE"/>
                </w:rPr>
                <w:t xml:space="preserve">CenterPoint Energy Houston Electric, LLC Financial Statements </w:t>
              </w:r>
            </w:hyperlink>
            <w:r>
              <w:rPr>
                <w:rFonts w:ascii="Arial" w:cs="Arial" w:eastAsia="Arial" w:hAnsi="Arial"/>
                <w:sz w:val="14"/>
                <w:szCs w:val="14"/>
                <w:color w:val="000000"/>
              </w:rPr>
              <w:t>(unaudited)</w:t>
            </w:r>
          </w:p>
        </w:tc>
        <w:tc>
          <w:tcPr>
            <w:tcW w:w="180" w:type="dxa"/>
            <w:vAlign w:val="bottom"/>
            <w:gridSpan w:val="4"/>
            <w:shd w:val="clear" w:color="auto" w:fill="CCEEFF"/>
          </w:tcPr>
          <w:p>
            <w:pPr>
              <w:jc w:val="center"/>
              <w:spacing w:after="0"/>
              <w:rPr>
                <w:rFonts w:ascii="Arial" w:cs="Arial" w:eastAsia="Arial" w:hAnsi="Arial"/>
                <w:sz w:val="14"/>
                <w:szCs w:val="14"/>
                <w:color w:val="0000EE"/>
              </w:rPr>
            </w:pPr>
            <w:hyperlink w:anchor="page17">
              <w:r>
                <w:rPr>
                  <w:rFonts w:ascii="Arial" w:cs="Arial" w:eastAsia="Arial" w:hAnsi="Arial"/>
                  <w:sz w:val="14"/>
                  <w:szCs w:val="14"/>
                  <w:color w:val="0000EE"/>
                </w:rPr>
                <w:t>7</w:t>
              </w:r>
            </w:hyperlink>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34"/>
        </w:trPr>
        <w:tc>
          <w:tcPr>
            <w:tcW w:w="12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c>
          <w:tcPr>
            <w:tcW w:w="46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r>
      <w:tr>
        <w:trPr>
          <w:trHeight w:val="162"/>
        </w:trPr>
        <w:tc>
          <w:tcPr>
            <w:tcW w:w="1280" w:type="dxa"/>
            <w:vAlign w:val="bottom"/>
          </w:tcPr>
          <w:p>
            <w:pPr>
              <w:spacing w:after="0"/>
              <w:rPr>
                <w:sz w:val="14"/>
                <w:szCs w:val="14"/>
                <w:color w:val="auto"/>
              </w:rPr>
            </w:pPr>
          </w:p>
        </w:tc>
        <w:tc>
          <w:tcPr>
            <w:tcW w:w="9820" w:type="dxa"/>
            <w:vAlign w:val="bottom"/>
            <w:gridSpan w:val="38"/>
          </w:tcPr>
          <w:p>
            <w:pPr>
              <w:spacing w:after="0"/>
              <w:rPr>
                <w:rFonts w:ascii="Arial" w:cs="Arial" w:eastAsia="Arial" w:hAnsi="Arial"/>
                <w:sz w:val="14"/>
                <w:szCs w:val="14"/>
                <w:color w:val="0000EE"/>
              </w:rPr>
            </w:pPr>
            <w:hyperlink w:anchor="page23">
              <w:r>
                <w:rPr>
                  <w:rFonts w:ascii="Arial" w:cs="Arial" w:eastAsia="Arial" w:hAnsi="Arial"/>
                  <w:sz w:val="14"/>
                  <w:szCs w:val="14"/>
                  <w:color w:val="0000EE"/>
                </w:rPr>
                <w:t xml:space="preserve">CenterPoint Energy Resources Corp. Financial Statements </w:t>
              </w:r>
            </w:hyperlink>
            <w:r>
              <w:rPr>
                <w:rFonts w:ascii="Arial" w:cs="Arial" w:eastAsia="Arial" w:hAnsi="Arial"/>
                <w:sz w:val="14"/>
                <w:szCs w:val="14"/>
                <w:color w:val="000000"/>
              </w:rPr>
              <w:t>(unaudited)</w:t>
            </w:r>
          </w:p>
        </w:tc>
        <w:tc>
          <w:tcPr>
            <w:tcW w:w="180" w:type="dxa"/>
            <w:vAlign w:val="bottom"/>
            <w:gridSpan w:val="4"/>
          </w:tcPr>
          <w:p>
            <w:pPr>
              <w:jc w:val="center"/>
              <w:spacing w:after="0"/>
              <w:rPr>
                <w:rFonts w:ascii="Arial" w:cs="Arial" w:eastAsia="Arial" w:hAnsi="Arial"/>
                <w:sz w:val="14"/>
                <w:szCs w:val="14"/>
                <w:color w:val="0000EE"/>
                <w:w w:val="89"/>
              </w:rPr>
            </w:pPr>
            <w:hyperlink w:anchor="page23">
              <w:r>
                <w:rPr>
                  <w:rFonts w:ascii="Arial" w:cs="Arial" w:eastAsia="Arial" w:hAnsi="Arial"/>
                  <w:sz w:val="14"/>
                  <w:szCs w:val="14"/>
                  <w:color w:val="0000EE"/>
                  <w:w w:val="89"/>
                </w:rPr>
                <w:t>13</w:t>
              </w:r>
            </w:hyperlink>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34"/>
        </w:trPr>
        <w:tc>
          <w:tcPr>
            <w:tcW w:w="1280" w:type="dxa"/>
            <w:vAlign w:val="bottom"/>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46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62"/>
        </w:trPr>
        <w:tc>
          <w:tcPr>
            <w:tcW w:w="1280" w:type="dxa"/>
            <w:vAlign w:val="bottom"/>
            <w:shd w:val="clear" w:color="auto" w:fill="CCEEFF"/>
          </w:tcPr>
          <w:p>
            <w:pPr>
              <w:spacing w:after="0"/>
              <w:rPr>
                <w:sz w:val="14"/>
                <w:szCs w:val="14"/>
                <w:color w:val="auto"/>
              </w:rPr>
            </w:pPr>
          </w:p>
        </w:tc>
        <w:tc>
          <w:tcPr>
            <w:tcW w:w="9820" w:type="dxa"/>
            <w:vAlign w:val="bottom"/>
            <w:gridSpan w:val="38"/>
            <w:shd w:val="clear" w:color="auto" w:fill="CCEEFF"/>
          </w:tcPr>
          <w:p>
            <w:pPr>
              <w:spacing w:after="0"/>
              <w:rPr>
                <w:rFonts w:ascii="Arial" w:cs="Arial" w:eastAsia="Arial" w:hAnsi="Arial"/>
                <w:sz w:val="14"/>
                <w:szCs w:val="14"/>
                <w:color w:val="0000EE"/>
              </w:rPr>
            </w:pPr>
            <w:hyperlink w:anchor="page29">
              <w:r>
                <w:rPr>
                  <w:rFonts w:ascii="Arial" w:cs="Arial" w:eastAsia="Arial" w:hAnsi="Arial"/>
                  <w:sz w:val="14"/>
                  <w:szCs w:val="14"/>
                  <w:color w:val="0000EE"/>
                </w:rPr>
                <w:t xml:space="preserve">Combined Notes to Unaudited Condensed Consolidated Financial Statements </w:t>
              </w:r>
            </w:hyperlink>
            <w:r>
              <w:rPr>
                <w:rFonts w:ascii="Arial" w:cs="Arial" w:eastAsia="Arial" w:hAnsi="Arial"/>
                <w:sz w:val="14"/>
                <w:szCs w:val="14"/>
                <w:color w:val="000000"/>
              </w:rPr>
              <w:t>(unaudited)</w:t>
            </w:r>
          </w:p>
        </w:tc>
        <w:tc>
          <w:tcPr>
            <w:tcW w:w="180" w:type="dxa"/>
            <w:vAlign w:val="bottom"/>
            <w:gridSpan w:val="4"/>
            <w:shd w:val="clear" w:color="auto" w:fill="CCEEFF"/>
          </w:tcPr>
          <w:p>
            <w:pPr>
              <w:jc w:val="center"/>
              <w:spacing w:after="0"/>
              <w:rPr>
                <w:rFonts w:ascii="Arial" w:cs="Arial" w:eastAsia="Arial" w:hAnsi="Arial"/>
                <w:sz w:val="14"/>
                <w:szCs w:val="14"/>
                <w:color w:val="0000EE"/>
                <w:w w:val="89"/>
              </w:rPr>
            </w:pPr>
            <w:hyperlink w:anchor="page29">
              <w:r>
                <w:rPr>
                  <w:rFonts w:ascii="Arial" w:cs="Arial" w:eastAsia="Arial" w:hAnsi="Arial"/>
                  <w:sz w:val="14"/>
                  <w:szCs w:val="14"/>
                  <w:color w:val="0000EE"/>
                  <w:w w:val="89"/>
                </w:rPr>
                <w:t>19</w:t>
              </w:r>
            </w:hyperlink>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34"/>
        </w:trPr>
        <w:tc>
          <w:tcPr>
            <w:tcW w:w="12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c>
          <w:tcPr>
            <w:tcW w:w="46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r>
      <w:tr>
        <w:trPr>
          <w:trHeight w:val="162"/>
        </w:trPr>
        <w:tc>
          <w:tcPr>
            <w:tcW w:w="1280" w:type="dxa"/>
            <w:vAlign w:val="bottom"/>
          </w:tcPr>
          <w:p>
            <w:pPr>
              <w:spacing w:after="0"/>
              <w:rPr>
                <w:sz w:val="14"/>
                <w:szCs w:val="14"/>
                <w:color w:val="auto"/>
              </w:rPr>
            </w:pPr>
          </w:p>
        </w:tc>
        <w:tc>
          <w:tcPr>
            <w:tcW w:w="380" w:type="dxa"/>
            <w:vAlign w:val="bottom"/>
            <w:gridSpan w:val="2"/>
          </w:tcPr>
          <w:p>
            <w:pPr>
              <w:ind w:left="200"/>
              <w:spacing w:after="0"/>
              <w:rPr>
                <w:rFonts w:ascii="Arial" w:cs="Arial" w:eastAsia="Arial" w:hAnsi="Arial"/>
                <w:sz w:val="14"/>
                <w:szCs w:val="14"/>
                <w:color w:val="0000EE"/>
                <w:w w:val="93"/>
              </w:rPr>
            </w:pPr>
            <w:hyperlink w:anchor="page29">
              <w:r>
                <w:rPr>
                  <w:rFonts w:ascii="Arial" w:cs="Arial" w:eastAsia="Arial" w:hAnsi="Arial"/>
                  <w:sz w:val="14"/>
                  <w:szCs w:val="14"/>
                  <w:color w:val="0000EE"/>
                  <w:w w:val="93"/>
                </w:rPr>
                <w:t>(1)</w:t>
              </w:r>
            </w:hyperlink>
          </w:p>
        </w:tc>
        <w:tc>
          <w:tcPr>
            <w:tcW w:w="4080" w:type="dxa"/>
            <w:vAlign w:val="bottom"/>
            <w:gridSpan w:val="34"/>
          </w:tcPr>
          <w:p>
            <w:pPr>
              <w:ind w:left="20"/>
              <w:spacing w:after="0"/>
              <w:rPr>
                <w:rFonts w:ascii="Arial" w:cs="Arial" w:eastAsia="Arial" w:hAnsi="Arial"/>
                <w:sz w:val="14"/>
                <w:szCs w:val="14"/>
                <w:color w:val="0000EE"/>
              </w:rPr>
            </w:pPr>
            <w:hyperlink w:anchor="page29">
              <w:r>
                <w:rPr>
                  <w:rFonts w:ascii="Arial" w:cs="Arial" w:eastAsia="Arial" w:hAnsi="Arial"/>
                  <w:sz w:val="14"/>
                  <w:szCs w:val="14"/>
                  <w:color w:val="0000EE"/>
                </w:rPr>
                <w:t>Background and Basis of Presentation</w:t>
              </w:r>
            </w:hyperlink>
          </w:p>
        </w:tc>
        <w:tc>
          <w:tcPr>
            <w:tcW w:w="5360" w:type="dxa"/>
            <w:vAlign w:val="bottom"/>
            <w:gridSpan w:val="2"/>
          </w:tcPr>
          <w:p>
            <w:pPr>
              <w:spacing w:after="0"/>
              <w:rPr>
                <w:sz w:val="14"/>
                <w:szCs w:val="14"/>
                <w:color w:val="auto"/>
              </w:rPr>
            </w:pPr>
          </w:p>
        </w:tc>
        <w:tc>
          <w:tcPr>
            <w:tcW w:w="180" w:type="dxa"/>
            <w:vAlign w:val="bottom"/>
            <w:gridSpan w:val="4"/>
          </w:tcPr>
          <w:p>
            <w:pPr>
              <w:jc w:val="center"/>
              <w:spacing w:after="0"/>
              <w:rPr>
                <w:rFonts w:ascii="Arial" w:cs="Arial" w:eastAsia="Arial" w:hAnsi="Arial"/>
                <w:sz w:val="14"/>
                <w:szCs w:val="14"/>
                <w:color w:val="0000EE"/>
                <w:w w:val="89"/>
              </w:rPr>
            </w:pPr>
            <w:hyperlink w:anchor="page29">
              <w:r>
                <w:rPr>
                  <w:rFonts w:ascii="Arial" w:cs="Arial" w:eastAsia="Arial" w:hAnsi="Arial"/>
                  <w:sz w:val="14"/>
                  <w:szCs w:val="14"/>
                  <w:color w:val="0000EE"/>
                  <w:w w:val="89"/>
                </w:rPr>
                <w:t>19</w:t>
              </w:r>
            </w:hyperlink>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34"/>
        </w:trPr>
        <w:tc>
          <w:tcPr>
            <w:tcW w:w="1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46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62"/>
        </w:trPr>
        <w:tc>
          <w:tcPr>
            <w:tcW w:w="12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rFonts w:ascii="Arial" w:cs="Arial" w:eastAsia="Arial" w:hAnsi="Arial"/>
                <w:sz w:val="14"/>
                <w:szCs w:val="14"/>
                <w:color w:val="0000EE"/>
                <w:w w:val="93"/>
              </w:rPr>
            </w:pPr>
            <w:hyperlink w:anchor="page31">
              <w:r>
                <w:rPr>
                  <w:rFonts w:ascii="Arial" w:cs="Arial" w:eastAsia="Arial" w:hAnsi="Arial"/>
                  <w:sz w:val="14"/>
                  <w:szCs w:val="14"/>
                  <w:color w:val="0000EE"/>
                  <w:w w:val="93"/>
                </w:rPr>
                <w:t>(2)</w:t>
              </w:r>
            </w:hyperlink>
          </w:p>
        </w:tc>
        <w:tc>
          <w:tcPr>
            <w:tcW w:w="2000" w:type="dxa"/>
            <w:vAlign w:val="bottom"/>
            <w:gridSpan w:val="23"/>
            <w:shd w:val="clear" w:color="auto" w:fill="CCEEFF"/>
          </w:tcPr>
          <w:p>
            <w:pPr>
              <w:ind w:left="20"/>
              <w:spacing w:after="0"/>
              <w:rPr>
                <w:rFonts w:ascii="Arial" w:cs="Arial" w:eastAsia="Arial" w:hAnsi="Arial"/>
                <w:sz w:val="14"/>
                <w:szCs w:val="14"/>
                <w:color w:val="0000EE"/>
                <w:w w:val="92"/>
              </w:rPr>
            </w:pPr>
            <w:hyperlink w:anchor="page31">
              <w:r>
                <w:rPr>
                  <w:rFonts w:ascii="Arial" w:cs="Arial" w:eastAsia="Arial" w:hAnsi="Arial"/>
                  <w:sz w:val="14"/>
                  <w:szCs w:val="14"/>
                  <w:color w:val="0000EE"/>
                  <w:w w:val="92"/>
                </w:rPr>
                <w:t>New Accounting Pronouncements</w:t>
              </w:r>
            </w:hyperlink>
          </w:p>
        </w:tc>
        <w:tc>
          <w:tcPr>
            <w:tcW w:w="7440" w:type="dxa"/>
            <w:vAlign w:val="bottom"/>
            <w:gridSpan w:val="13"/>
            <w:shd w:val="clear" w:color="auto" w:fill="CCEEFF"/>
          </w:tcPr>
          <w:p>
            <w:pPr>
              <w:spacing w:after="0"/>
              <w:rPr>
                <w:sz w:val="14"/>
                <w:szCs w:val="14"/>
                <w:color w:val="auto"/>
              </w:rPr>
            </w:pPr>
          </w:p>
        </w:tc>
        <w:tc>
          <w:tcPr>
            <w:tcW w:w="180" w:type="dxa"/>
            <w:vAlign w:val="bottom"/>
            <w:gridSpan w:val="4"/>
            <w:shd w:val="clear" w:color="auto" w:fill="CCEEFF"/>
          </w:tcPr>
          <w:p>
            <w:pPr>
              <w:jc w:val="center"/>
              <w:spacing w:after="0"/>
              <w:rPr>
                <w:rFonts w:ascii="Arial" w:cs="Arial" w:eastAsia="Arial" w:hAnsi="Arial"/>
                <w:sz w:val="14"/>
                <w:szCs w:val="14"/>
                <w:color w:val="0000EE"/>
                <w:w w:val="89"/>
              </w:rPr>
            </w:pPr>
            <w:hyperlink w:anchor="page31">
              <w:r>
                <w:rPr>
                  <w:rFonts w:ascii="Arial" w:cs="Arial" w:eastAsia="Arial" w:hAnsi="Arial"/>
                  <w:sz w:val="14"/>
                  <w:szCs w:val="14"/>
                  <w:color w:val="0000EE"/>
                  <w:w w:val="89"/>
                </w:rPr>
                <w:t>21</w:t>
              </w:r>
            </w:hyperlink>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34"/>
        </w:trPr>
        <w:tc>
          <w:tcPr>
            <w:tcW w:w="12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c>
          <w:tcPr>
            <w:tcW w:w="46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r>
      <w:tr>
        <w:trPr>
          <w:trHeight w:val="162"/>
        </w:trPr>
        <w:tc>
          <w:tcPr>
            <w:tcW w:w="1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rFonts w:ascii="Arial" w:cs="Arial" w:eastAsia="Arial" w:hAnsi="Arial"/>
                <w:sz w:val="14"/>
                <w:szCs w:val="14"/>
                <w:color w:val="0000EE"/>
                <w:w w:val="93"/>
              </w:rPr>
            </w:pPr>
            <w:hyperlink w:anchor="page31">
              <w:r>
                <w:rPr>
                  <w:rFonts w:ascii="Arial" w:cs="Arial" w:eastAsia="Arial" w:hAnsi="Arial"/>
                  <w:sz w:val="14"/>
                  <w:szCs w:val="14"/>
                  <w:color w:val="0000EE"/>
                  <w:w w:val="93"/>
                </w:rPr>
                <w:t>(3)</w:t>
              </w:r>
            </w:hyperlink>
          </w:p>
        </w:tc>
        <w:tc>
          <w:tcPr>
            <w:tcW w:w="2000" w:type="dxa"/>
            <w:vAlign w:val="bottom"/>
            <w:gridSpan w:val="23"/>
          </w:tcPr>
          <w:p>
            <w:pPr>
              <w:ind w:left="20"/>
              <w:spacing w:after="0"/>
              <w:rPr>
                <w:rFonts w:ascii="Arial" w:cs="Arial" w:eastAsia="Arial" w:hAnsi="Arial"/>
                <w:sz w:val="14"/>
                <w:szCs w:val="14"/>
                <w:color w:val="0000EE"/>
              </w:rPr>
            </w:pPr>
            <w:hyperlink w:anchor="page31">
              <w:r>
                <w:rPr>
                  <w:rFonts w:ascii="Arial" w:cs="Arial" w:eastAsia="Arial" w:hAnsi="Arial"/>
                  <w:sz w:val="14"/>
                  <w:szCs w:val="14"/>
                  <w:color w:val="0000EE"/>
                </w:rPr>
                <w:t>Mergers and Acquisitions</w:t>
              </w:r>
            </w:hyperlink>
          </w:p>
        </w:tc>
        <w:tc>
          <w:tcPr>
            <w:tcW w:w="7440" w:type="dxa"/>
            <w:vAlign w:val="bottom"/>
            <w:gridSpan w:val="13"/>
          </w:tcPr>
          <w:p>
            <w:pPr>
              <w:spacing w:after="0"/>
              <w:rPr>
                <w:sz w:val="14"/>
                <w:szCs w:val="14"/>
                <w:color w:val="auto"/>
              </w:rPr>
            </w:pPr>
          </w:p>
        </w:tc>
        <w:tc>
          <w:tcPr>
            <w:tcW w:w="180" w:type="dxa"/>
            <w:vAlign w:val="bottom"/>
            <w:gridSpan w:val="4"/>
          </w:tcPr>
          <w:p>
            <w:pPr>
              <w:jc w:val="center"/>
              <w:spacing w:after="0"/>
              <w:rPr>
                <w:rFonts w:ascii="Arial" w:cs="Arial" w:eastAsia="Arial" w:hAnsi="Arial"/>
                <w:sz w:val="14"/>
                <w:szCs w:val="14"/>
                <w:color w:val="0000EE"/>
                <w:w w:val="89"/>
              </w:rPr>
            </w:pPr>
            <w:hyperlink w:anchor="page31">
              <w:r>
                <w:rPr>
                  <w:rFonts w:ascii="Arial" w:cs="Arial" w:eastAsia="Arial" w:hAnsi="Arial"/>
                  <w:sz w:val="14"/>
                  <w:szCs w:val="14"/>
                  <w:color w:val="0000EE"/>
                  <w:w w:val="89"/>
                </w:rPr>
                <w:t>21</w:t>
              </w:r>
            </w:hyperlink>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34"/>
        </w:trPr>
        <w:tc>
          <w:tcPr>
            <w:tcW w:w="1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46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62"/>
        </w:trPr>
        <w:tc>
          <w:tcPr>
            <w:tcW w:w="12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rFonts w:ascii="Arial" w:cs="Arial" w:eastAsia="Arial" w:hAnsi="Arial"/>
                <w:sz w:val="14"/>
                <w:szCs w:val="14"/>
                <w:color w:val="0000EE"/>
                <w:w w:val="93"/>
              </w:rPr>
            </w:pPr>
            <w:hyperlink w:anchor="page34">
              <w:r>
                <w:rPr>
                  <w:rFonts w:ascii="Arial" w:cs="Arial" w:eastAsia="Arial" w:hAnsi="Arial"/>
                  <w:sz w:val="14"/>
                  <w:szCs w:val="14"/>
                  <w:color w:val="0000EE"/>
                  <w:w w:val="93"/>
                </w:rPr>
                <w:t>(4)</w:t>
              </w:r>
            </w:hyperlink>
          </w:p>
        </w:tc>
        <w:tc>
          <w:tcPr>
            <w:tcW w:w="9440" w:type="dxa"/>
            <w:vAlign w:val="bottom"/>
            <w:gridSpan w:val="36"/>
            <w:shd w:val="clear" w:color="auto" w:fill="CCEEFF"/>
          </w:tcPr>
          <w:p>
            <w:pPr>
              <w:ind w:left="20"/>
              <w:spacing w:after="0"/>
              <w:rPr>
                <w:rFonts w:ascii="Arial" w:cs="Arial" w:eastAsia="Arial" w:hAnsi="Arial"/>
                <w:sz w:val="14"/>
                <w:szCs w:val="14"/>
                <w:color w:val="0000EE"/>
              </w:rPr>
            </w:pPr>
            <w:hyperlink w:anchor="page34">
              <w:r>
                <w:rPr>
                  <w:rFonts w:ascii="Arial" w:cs="Arial" w:eastAsia="Arial" w:hAnsi="Arial"/>
                  <w:sz w:val="14"/>
                  <w:szCs w:val="14"/>
                  <w:color w:val="0000EE"/>
                </w:rPr>
                <w:t>Revenue Recognition</w:t>
              </w:r>
            </w:hyperlink>
          </w:p>
        </w:tc>
        <w:tc>
          <w:tcPr>
            <w:tcW w:w="180" w:type="dxa"/>
            <w:vAlign w:val="bottom"/>
            <w:gridSpan w:val="4"/>
            <w:shd w:val="clear" w:color="auto" w:fill="CCEEFF"/>
          </w:tcPr>
          <w:p>
            <w:pPr>
              <w:jc w:val="center"/>
              <w:spacing w:after="0"/>
              <w:rPr>
                <w:rFonts w:ascii="Arial" w:cs="Arial" w:eastAsia="Arial" w:hAnsi="Arial"/>
                <w:sz w:val="14"/>
                <w:szCs w:val="14"/>
                <w:color w:val="0000EE"/>
                <w:w w:val="89"/>
              </w:rPr>
            </w:pPr>
            <w:hyperlink w:anchor="page34">
              <w:r>
                <w:rPr>
                  <w:rFonts w:ascii="Arial" w:cs="Arial" w:eastAsia="Arial" w:hAnsi="Arial"/>
                  <w:sz w:val="14"/>
                  <w:szCs w:val="14"/>
                  <w:color w:val="0000EE"/>
                  <w:w w:val="89"/>
                </w:rPr>
                <w:t>24</w:t>
              </w:r>
            </w:hyperlink>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34"/>
        </w:trPr>
        <w:tc>
          <w:tcPr>
            <w:tcW w:w="12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c>
          <w:tcPr>
            <w:tcW w:w="46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r>
      <w:tr>
        <w:trPr>
          <w:trHeight w:val="162"/>
        </w:trPr>
        <w:tc>
          <w:tcPr>
            <w:tcW w:w="1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rFonts w:ascii="Arial" w:cs="Arial" w:eastAsia="Arial" w:hAnsi="Arial"/>
                <w:sz w:val="14"/>
                <w:szCs w:val="14"/>
                <w:color w:val="0000EE"/>
                <w:w w:val="93"/>
              </w:rPr>
            </w:pPr>
            <w:hyperlink w:anchor="page38">
              <w:r>
                <w:rPr>
                  <w:rFonts w:ascii="Arial" w:cs="Arial" w:eastAsia="Arial" w:hAnsi="Arial"/>
                  <w:sz w:val="14"/>
                  <w:szCs w:val="14"/>
                  <w:color w:val="0000EE"/>
                  <w:w w:val="93"/>
                </w:rPr>
                <w:t>(5)</w:t>
              </w:r>
            </w:hyperlink>
          </w:p>
        </w:tc>
        <w:tc>
          <w:tcPr>
            <w:tcW w:w="9440" w:type="dxa"/>
            <w:vAlign w:val="bottom"/>
            <w:gridSpan w:val="36"/>
          </w:tcPr>
          <w:p>
            <w:pPr>
              <w:ind w:left="20"/>
              <w:spacing w:after="0"/>
              <w:rPr>
                <w:rFonts w:ascii="Arial" w:cs="Arial" w:eastAsia="Arial" w:hAnsi="Arial"/>
                <w:sz w:val="14"/>
                <w:szCs w:val="14"/>
                <w:color w:val="0000EE"/>
              </w:rPr>
            </w:pPr>
            <w:hyperlink w:anchor="page38">
              <w:r>
                <w:rPr>
                  <w:rFonts w:ascii="Arial" w:cs="Arial" w:eastAsia="Arial" w:hAnsi="Arial"/>
                  <w:sz w:val="14"/>
                  <w:szCs w:val="14"/>
                  <w:color w:val="0000EE"/>
                </w:rPr>
                <w:t>Employee Benefit Plans</w:t>
              </w:r>
            </w:hyperlink>
          </w:p>
        </w:tc>
        <w:tc>
          <w:tcPr>
            <w:tcW w:w="180" w:type="dxa"/>
            <w:vAlign w:val="bottom"/>
            <w:gridSpan w:val="4"/>
          </w:tcPr>
          <w:p>
            <w:pPr>
              <w:jc w:val="center"/>
              <w:spacing w:after="0"/>
              <w:rPr>
                <w:rFonts w:ascii="Arial" w:cs="Arial" w:eastAsia="Arial" w:hAnsi="Arial"/>
                <w:sz w:val="14"/>
                <w:szCs w:val="14"/>
                <w:color w:val="0000EE"/>
                <w:w w:val="89"/>
              </w:rPr>
            </w:pPr>
            <w:hyperlink w:anchor="page38">
              <w:r>
                <w:rPr>
                  <w:rFonts w:ascii="Arial" w:cs="Arial" w:eastAsia="Arial" w:hAnsi="Arial"/>
                  <w:sz w:val="14"/>
                  <w:szCs w:val="14"/>
                  <w:color w:val="0000EE"/>
                  <w:w w:val="89"/>
                </w:rPr>
                <w:t>28</w:t>
              </w:r>
            </w:hyperlink>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34"/>
        </w:trPr>
        <w:tc>
          <w:tcPr>
            <w:tcW w:w="1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46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62"/>
        </w:trPr>
        <w:tc>
          <w:tcPr>
            <w:tcW w:w="12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rFonts w:ascii="Arial" w:cs="Arial" w:eastAsia="Arial" w:hAnsi="Arial"/>
                <w:sz w:val="14"/>
                <w:szCs w:val="14"/>
                <w:color w:val="0000EE"/>
                <w:w w:val="93"/>
              </w:rPr>
            </w:pPr>
            <w:hyperlink w:anchor="page41">
              <w:r>
                <w:rPr>
                  <w:rFonts w:ascii="Arial" w:cs="Arial" w:eastAsia="Arial" w:hAnsi="Arial"/>
                  <w:sz w:val="14"/>
                  <w:szCs w:val="14"/>
                  <w:color w:val="0000EE"/>
                  <w:w w:val="93"/>
                </w:rPr>
                <w:t>(6)</w:t>
              </w:r>
            </w:hyperlink>
          </w:p>
        </w:tc>
        <w:tc>
          <w:tcPr>
            <w:tcW w:w="1380" w:type="dxa"/>
            <w:vAlign w:val="bottom"/>
            <w:gridSpan w:val="16"/>
            <w:shd w:val="clear" w:color="auto" w:fill="CCEEFF"/>
          </w:tcPr>
          <w:p>
            <w:pPr>
              <w:ind w:left="20"/>
              <w:spacing w:after="0"/>
              <w:rPr>
                <w:rFonts w:ascii="Arial" w:cs="Arial" w:eastAsia="Arial" w:hAnsi="Arial"/>
                <w:sz w:val="14"/>
                <w:szCs w:val="14"/>
                <w:color w:val="0000EE"/>
                <w:w w:val="95"/>
              </w:rPr>
            </w:pPr>
            <w:hyperlink w:anchor="page41">
              <w:r>
                <w:rPr>
                  <w:rFonts w:ascii="Arial" w:cs="Arial" w:eastAsia="Arial" w:hAnsi="Arial"/>
                  <w:sz w:val="14"/>
                  <w:szCs w:val="14"/>
                  <w:color w:val="0000EE"/>
                  <w:w w:val="95"/>
                </w:rPr>
                <w:t>Regulatory Accounting</w:t>
              </w:r>
            </w:hyperlink>
          </w:p>
        </w:tc>
        <w:tc>
          <w:tcPr>
            <w:tcW w:w="8060" w:type="dxa"/>
            <w:vAlign w:val="bottom"/>
            <w:gridSpan w:val="20"/>
            <w:shd w:val="clear" w:color="auto" w:fill="CCEEFF"/>
          </w:tcPr>
          <w:p>
            <w:pPr>
              <w:spacing w:after="0"/>
              <w:rPr>
                <w:sz w:val="14"/>
                <w:szCs w:val="14"/>
                <w:color w:val="auto"/>
              </w:rPr>
            </w:pPr>
          </w:p>
        </w:tc>
        <w:tc>
          <w:tcPr>
            <w:tcW w:w="180" w:type="dxa"/>
            <w:vAlign w:val="bottom"/>
            <w:gridSpan w:val="4"/>
            <w:shd w:val="clear" w:color="auto" w:fill="CCEEFF"/>
          </w:tcPr>
          <w:p>
            <w:pPr>
              <w:jc w:val="center"/>
              <w:spacing w:after="0"/>
              <w:rPr>
                <w:rFonts w:ascii="Arial" w:cs="Arial" w:eastAsia="Arial" w:hAnsi="Arial"/>
                <w:sz w:val="14"/>
                <w:szCs w:val="14"/>
                <w:color w:val="0000EE"/>
                <w:w w:val="89"/>
              </w:rPr>
            </w:pPr>
            <w:hyperlink w:anchor="page41">
              <w:r>
                <w:rPr>
                  <w:rFonts w:ascii="Arial" w:cs="Arial" w:eastAsia="Arial" w:hAnsi="Arial"/>
                  <w:sz w:val="14"/>
                  <w:szCs w:val="14"/>
                  <w:color w:val="0000EE"/>
                  <w:w w:val="89"/>
                </w:rPr>
                <w:t>31</w:t>
              </w:r>
            </w:hyperlink>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34"/>
        </w:trPr>
        <w:tc>
          <w:tcPr>
            <w:tcW w:w="12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c>
          <w:tcPr>
            <w:tcW w:w="46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r>
      <w:tr>
        <w:trPr>
          <w:trHeight w:val="162"/>
        </w:trPr>
        <w:tc>
          <w:tcPr>
            <w:tcW w:w="1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rFonts w:ascii="Arial" w:cs="Arial" w:eastAsia="Arial" w:hAnsi="Arial"/>
                <w:sz w:val="14"/>
                <w:szCs w:val="14"/>
                <w:color w:val="0000EE"/>
                <w:w w:val="93"/>
              </w:rPr>
            </w:pPr>
            <w:hyperlink w:anchor="page42">
              <w:r>
                <w:rPr>
                  <w:rFonts w:ascii="Arial" w:cs="Arial" w:eastAsia="Arial" w:hAnsi="Arial"/>
                  <w:sz w:val="14"/>
                  <w:szCs w:val="14"/>
                  <w:color w:val="0000EE"/>
                  <w:w w:val="93"/>
                </w:rPr>
                <w:t>(7)</w:t>
              </w:r>
            </w:hyperlink>
          </w:p>
        </w:tc>
        <w:tc>
          <w:tcPr>
            <w:tcW w:w="1380" w:type="dxa"/>
            <w:vAlign w:val="bottom"/>
            <w:gridSpan w:val="16"/>
          </w:tcPr>
          <w:p>
            <w:pPr>
              <w:ind w:left="20"/>
              <w:spacing w:after="0"/>
              <w:rPr>
                <w:rFonts w:ascii="Arial" w:cs="Arial" w:eastAsia="Arial" w:hAnsi="Arial"/>
                <w:sz w:val="14"/>
                <w:szCs w:val="14"/>
                <w:color w:val="0000EE"/>
                <w:w w:val="96"/>
              </w:rPr>
            </w:pPr>
            <w:hyperlink w:anchor="page42">
              <w:r>
                <w:rPr>
                  <w:rFonts w:ascii="Arial" w:cs="Arial" w:eastAsia="Arial" w:hAnsi="Arial"/>
                  <w:sz w:val="14"/>
                  <w:szCs w:val="14"/>
                  <w:color w:val="0000EE"/>
                  <w:w w:val="96"/>
                </w:rPr>
                <w:t>Derivative Instruments</w:t>
              </w:r>
            </w:hyperlink>
          </w:p>
        </w:tc>
        <w:tc>
          <w:tcPr>
            <w:tcW w:w="8060" w:type="dxa"/>
            <w:vAlign w:val="bottom"/>
            <w:gridSpan w:val="20"/>
          </w:tcPr>
          <w:p>
            <w:pPr>
              <w:spacing w:after="0"/>
              <w:rPr>
                <w:sz w:val="14"/>
                <w:szCs w:val="14"/>
                <w:color w:val="auto"/>
              </w:rPr>
            </w:pPr>
          </w:p>
        </w:tc>
        <w:tc>
          <w:tcPr>
            <w:tcW w:w="180" w:type="dxa"/>
            <w:vAlign w:val="bottom"/>
            <w:gridSpan w:val="4"/>
          </w:tcPr>
          <w:p>
            <w:pPr>
              <w:jc w:val="center"/>
              <w:spacing w:after="0"/>
              <w:rPr>
                <w:rFonts w:ascii="Arial" w:cs="Arial" w:eastAsia="Arial" w:hAnsi="Arial"/>
                <w:sz w:val="14"/>
                <w:szCs w:val="14"/>
                <w:color w:val="0000EE"/>
                <w:w w:val="89"/>
              </w:rPr>
            </w:pPr>
            <w:hyperlink w:anchor="page42">
              <w:r>
                <w:rPr>
                  <w:rFonts w:ascii="Arial" w:cs="Arial" w:eastAsia="Arial" w:hAnsi="Arial"/>
                  <w:sz w:val="14"/>
                  <w:szCs w:val="14"/>
                  <w:color w:val="0000EE"/>
                  <w:w w:val="89"/>
                </w:rPr>
                <w:t>32</w:t>
              </w:r>
            </w:hyperlink>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34"/>
        </w:trPr>
        <w:tc>
          <w:tcPr>
            <w:tcW w:w="1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46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62"/>
        </w:trPr>
        <w:tc>
          <w:tcPr>
            <w:tcW w:w="12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rFonts w:ascii="Arial" w:cs="Arial" w:eastAsia="Arial" w:hAnsi="Arial"/>
                <w:sz w:val="14"/>
                <w:szCs w:val="14"/>
                <w:color w:val="0000EE"/>
                <w:w w:val="93"/>
              </w:rPr>
            </w:pPr>
            <w:hyperlink w:anchor="page48">
              <w:r>
                <w:rPr>
                  <w:rFonts w:ascii="Arial" w:cs="Arial" w:eastAsia="Arial" w:hAnsi="Arial"/>
                  <w:sz w:val="14"/>
                  <w:szCs w:val="14"/>
                  <w:color w:val="0000EE"/>
                  <w:w w:val="93"/>
                </w:rPr>
                <w:t>(8)</w:t>
              </w:r>
            </w:hyperlink>
          </w:p>
        </w:tc>
        <w:tc>
          <w:tcPr>
            <w:tcW w:w="1500" w:type="dxa"/>
            <w:vAlign w:val="bottom"/>
            <w:gridSpan w:val="18"/>
            <w:shd w:val="clear" w:color="auto" w:fill="CCEEFF"/>
          </w:tcPr>
          <w:p>
            <w:pPr>
              <w:ind w:left="20"/>
              <w:spacing w:after="0"/>
              <w:rPr>
                <w:rFonts w:ascii="Arial" w:cs="Arial" w:eastAsia="Arial" w:hAnsi="Arial"/>
                <w:sz w:val="14"/>
                <w:szCs w:val="14"/>
                <w:color w:val="0000EE"/>
                <w:w w:val="91"/>
              </w:rPr>
            </w:pPr>
            <w:hyperlink w:anchor="page48">
              <w:r>
                <w:rPr>
                  <w:rFonts w:ascii="Arial" w:cs="Arial" w:eastAsia="Arial" w:hAnsi="Arial"/>
                  <w:sz w:val="14"/>
                  <w:szCs w:val="14"/>
                  <w:color w:val="0000EE"/>
                  <w:w w:val="91"/>
                </w:rPr>
                <w:t>Fair Value Measurements</w:t>
              </w:r>
            </w:hyperlink>
          </w:p>
        </w:tc>
        <w:tc>
          <w:tcPr>
            <w:tcW w:w="7940" w:type="dxa"/>
            <w:vAlign w:val="bottom"/>
            <w:gridSpan w:val="18"/>
            <w:shd w:val="clear" w:color="auto" w:fill="CCEEFF"/>
          </w:tcPr>
          <w:p>
            <w:pPr>
              <w:spacing w:after="0"/>
              <w:rPr>
                <w:sz w:val="14"/>
                <w:szCs w:val="14"/>
                <w:color w:val="auto"/>
              </w:rPr>
            </w:pPr>
          </w:p>
        </w:tc>
        <w:tc>
          <w:tcPr>
            <w:tcW w:w="180" w:type="dxa"/>
            <w:vAlign w:val="bottom"/>
            <w:gridSpan w:val="4"/>
            <w:shd w:val="clear" w:color="auto" w:fill="CCEEFF"/>
          </w:tcPr>
          <w:p>
            <w:pPr>
              <w:jc w:val="center"/>
              <w:spacing w:after="0"/>
              <w:rPr>
                <w:rFonts w:ascii="Arial" w:cs="Arial" w:eastAsia="Arial" w:hAnsi="Arial"/>
                <w:sz w:val="14"/>
                <w:szCs w:val="14"/>
                <w:color w:val="0000EE"/>
                <w:w w:val="89"/>
              </w:rPr>
            </w:pPr>
            <w:hyperlink w:anchor="page48">
              <w:r>
                <w:rPr>
                  <w:rFonts w:ascii="Arial" w:cs="Arial" w:eastAsia="Arial" w:hAnsi="Arial"/>
                  <w:sz w:val="14"/>
                  <w:szCs w:val="14"/>
                  <w:color w:val="0000EE"/>
                  <w:w w:val="89"/>
                </w:rPr>
                <w:t>38</w:t>
              </w:r>
            </w:hyperlink>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34"/>
        </w:trPr>
        <w:tc>
          <w:tcPr>
            <w:tcW w:w="12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c>
          <w:tcPr>
            <w:tcW w:w="46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r>
      <w:tr>
        <w:trPr>
          <w:trHeight w:val="162"/>
        </w:trPr>
        <w:tc>
          <w:tcPr>
            <w:tcW w:w="1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rFonts w:ascii="Arial" w:cs="Arial" w:eastAsia="Arial" w:hAnsi="Arial"/>
                <w:sz w:val="14"/>
                <w:szCs w:val="14"/>
                <w:color w:val="0000EE"/>
                <w:w w:val="93"/>
              </w:rPr>
            </w:pPr>
            <w:hyperlink w:anchor="page51">
              <w:r>
                <w:rPr>
                  <w:rFonts w:ascii="Arial" w:cs="Arial" w:eastAsia="Arial" w:hAnsi="Arial"/>
                  <w:sz w:val="14"/>
                  <w:szCs w:val="14"/>
                  <w:color w:val="0000EE"/>
                  <w:w w:val="93"/>
                </w:rPr>
                <w:t>(9)</w:t>
              </w:r>
            </w:hyperlink>
          </w:p>
        </w:tc>
        <w:tc>
          <w:tcPr>
            <w:tcW w:w="9440" w:type="dxa"/>
            <w:vAlign w:val="bottom"/>
            <w:gridSpan w:val="36"/>
          </w:tcPr>
          <w:p>
            <w:pPr>
              <w:ind w:left="20"/>
              <w:spacing w:after="0"/>
              <w:rPr>
                <w:rFonts w:ascii="Arial" w:cs="Arial" w:eastAsia="Arial" w:hAnsi="Arial"/>
                <w:sz w:val="14"/>
                <w:szCs w:val="14"/>
                <w:color w:val="0000EE"/>
              </w:rPr>
            </w:pPr>
            <w:hyperlink w:anchor="page51">
              <w:r>
                <w:rPr>
                  <w:rFonts w:ascii="Arial" w:cs="Arial" w:eastAsia="Arial" w:hAnsi="Arial"/>
                  <w:sz w:val="14"/>
                  <w:szCs w:val="14"/>
                  <w:color w:val="0000EE"/>
                </w:rPr>
                <w:t>Unconsolidated Affiliates</w:t>
              </w:r>
            </w:hyperlink>
          </w:p>
        </w:tc>
        <w:tc>
          <w:tcPr>
            <w:tcW w:w="180" w:type="dxa"/>
            <w:vAlign w:val="bottom"/>
            <w:gridSpan w:val="4"/>
          </w:tcPr>
          <w:p>
            <w:pPr>
              <w:jc w:val="center"/>
              <w:spacing w:after="0"/>
              <w:rPr>
                <w:rFonts w:ascii="Arial" w:cs="Arial" w:eastAsia="Arial" w:hAnsi="Arial"/>
                <w:sz w:val="14"/>
                <w:szCs w:val="14"/>
                <w:color w:val="0000EE"/>
                <w:w w:val="89"/>
              </w:rPr>
            </w:pPr>
            <w:hyperlink w:anchor="page51">
              <w:r>
                <w:rPr>
                  <w:rFonts w:ascii="Arial" w:cs="Arial" w:eastAsia="Arial" w:hAnsi="Arial"/>
                  <w:sz w:val="14"/>
                  <w:szCs w:val="14"/>
                  <w:color w:val="0000EE"/>
                  <w:w w:val="89"/>
                </w:rPr>
                <w:t>41</w:t>
              </w:r>
            </w:hyperlink>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34"/>
        </w:trPr>
        <w:tc>
          <w:tcPr>
            <w:tcW w:w="1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46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62"/>
        </w:trPr>
        <w:tc>
          <w:tcPr>
            <w:tcW w:w="12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60" w:type="dxa"/>
            <w:vAlign w:val="bottom"/>
            <w:gridSpan w:val="2"/>
            <w:shd w:val="clear" w:color="auto" w:fill="CCEEFF"/>
          </w:tcPr>
          <w:p>
            <w:pPr>
              <w:spacing w:after="0"/>
              <w:rPr>
                <w:rFonts w:ascii="Arial" w:cs="Arial" w:eastAsia="Arial" w:hAnsi="Arial"/>
                <w:sz w:val="14"/>
                <w:szCs w:val="14"/>
                <w:color w:val="0000EE"/>
                <w:w w:val="96"/>
              </w:rPr>
            </w:pPr>
            <w:hyperlink w:anchor="page54">
              <w:r>
                <w:rPr>
                  <w:rFonts w:ascii="Arial" w:cs="Arial" w:eastAsia="Arial" w:hAnsi="Arial"/>
                  <w:sz w:val="14"/>
                  <w:szCs w:val="14"/>
                  <w:color w:val="0000EE"/>
                  <w:w w:val="96"/>
                </w:rPr>
                <w:t>(10)</w:t>
              </w:r>
            </w:hyperlink>
          </w:p>
        </w:tc>
        <w:tc>
          <w:tcPr>
            <w:tcW w:w="9360" w:type="dxa"/>
            <w:vAlign w:val="bottom"/>
            <w:gridSpan w:val="35"/>
            <w:shd w:val="clear" w:color="auto" w:fill="CCEEFF"/>
          </w:tcPr>
          <w:p>
            <w:pPr>
              <w:ind w:left="20"/>
              <w:spacing w:after="0"/>
              <w:rPr>
                <w:rFonts w:ascii="Arial" w:cs="Arial" w:eastAsia="Arial" w:hAnsi="Arial"/>
                <w:sz w:val="14"/>
                <w:szCs w:val="14"/>
                <w:color w:val="0000EE"/>
              </w:rPr>
            </w:pPr>
            <w:hyperlink w:anchor="page54">
              <w:r>
                <w:rPr>
                  <w:rFonts w:ascii="Arial" w:cs="Arial" w:eastAsia="Arial" w:hAnsi="Arial"/>
                  <w:sz w:val="14"/>
                  <w:szCs w:val="14"/>
                  <w:color w:val="0000EE"/>
                </w:rPr>
                <w:t>Goodwill and Other Intangibles</w:t>
              </w:r>
            </w:hyperlink>
          </w:p>
        </w:tc>
        <w:tc>
          <w:tcPr>
            <w:tcW w:w="180" w:type="dxa"/>
            <w:vAlign w:val="bottom"/>
            <w:gridSpan w:val="4"/>
            <w:shd w:val="clear" w:color="auto" w:fill="CCEEFF"/>
          </w:tcPr>
          <w:p>
            <w:pPr>
              <w:jc w:val="center"/>
              <w:spacing w:after="0"/>
              <w:rPr>
                <w:rFonts w:ascii="Arial" w:cs="Arial" w:eastAsia="Arial" w:hAnsi="Arial"/>
                <w:sz w:val="14"/>
                <w:szCs w:val="14"/>
                <w:color w:val="0000EE"/>
                <w:w w:val="89"/>
              </w:rPr>
            </w:pPr>
            <w:hyperlink w:anchor="page54">
              <w:r>
                <w:rPr>
                  <w:rFonts w:ascii="Arial" w:cs="Arial" w:eastAsia="Arial" w:hAnsi="Arial"/>
                  <w:sz w:val="14"/>
                  <w:szCs w:val="14"/>
                  <w:color w:val="0000EE"/>
                  <w:w w:val="89"/>
                </w:rPr>
                <w:t>44</w:t>
              </w:r>
            </w:hyperlink>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34"/>
        </w:trPr>
        <w:tc>
          <w:tcPr>
            <w:tcW w:w="12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c>
          <w:tcPr>
            <w:tcW w:w="46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r>
      <w:tr>
        <w:trPr>
          <w:trHeight w:val="162"/>
        </w:trPr>
        <w:tc>
          <w:tcPr>
            <w:tcW w:w="1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20" w:type="dxa"/>
            <w:vAlign w:val="bottom"/>
            <w:gridSpan w:val="37"/>
          </w:tcPr>
          <w:p>
            <w:pPr>
              <w:spacing w:after="0"/>
              <w:rPr>
                <w:rFonts w:ascii="Arial" w:cs="Arial" w:eastAsia="Arial" w:hAnsi="Arial"/>
                <w:sz w:val="14"/>
                <w:szCs w:val="14"/>
                <w:color w:val="0000EE"/>
              </w:rPr>
            </w:pPr>
            <w:hyperlink w:anchor="page56">
              <w:r>
                <w:rPr>
                  <w:rFonts w:ascii="Arial" w:cs="Arial" w:eastAsia="Arial" w:hAnsi="Arial"/>
                  <w:sz w:val="14"/>
                  <w:szCs w:val="14"/>
                  <w:color w:val="0000EE"/>
                </w:rPr>
                <w:t>(11) Indexed Debt Securities (ZENS) and Securities Related to ZENS</w:t>
              </w:r>
            </w:hyperlink>
          </w:p>
        </w:tc>
        <w:tc>
          <w:tcPr>
            <w:tcW w:w="180" w:type="dxa"/>
            <w:vAlign w:val="bottom"/>
            <w:gridSpan w:val="4"/>
          </w:tcPr>
          <w:p>
            <w:pPr>
              <w:jc w:val="center"/>
              <w:spacing w:after="0"/>
              <w:rPr>
                <w:rFonts w:ascii="Arial" w:cs="Arial" w:eastAsia="Arial" w:hAnsi="Arial"/>
                <w:sz w:val="14"/>
                <w:szCs w:val="14"/>
                <w:color w:val="0000EE"/>
                <w:w w:val="89"/>
              </w:rPr>
            </w:pPr>
            <w:hyperlink w:anchor="page56">
              <w:r>
                <w:rPr>
                  <w:rFonts w:ascii="Arial" w:cs="Arial" w:eastAsia="Arial" w:hAnsi="Arial"/>
                  <w:sz w:val="14"/>
                  <w:szCs w:val="14"/>
                  <w:color w:val="0000EE"/>
                  <w:w w:val="89"/>
                </w:rPr>
                <w:t>46</w:t>
              </w:r>
            </w:hyperlink>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34"/>
        </w:trPr>
        <w:tc>
          <w:tcPr>
            <w:tcW w:w="1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46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62"/>
        </w:trPr>
        <w:tc>
          <w:tcPr>
            <w:tcW w:w="12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60" w:type="dxa"/>
            <w:vAlign w:val="bottom"/>
            <w:gridSpan w:val="2"/>
            <w:shd w:val="clear" w:color="auto" w:fill="CCEEFF"/>
          </w:tcPr>
          <w:p>
            <w:pPr>
              <w:spacing w:after="0"/>
              <w:rPr>
                <w:rFonts w:ascii="Arial" w:cs="Arial" w:eastAsia="Arial" w:hAnsi="Arial"/>
                <w:sz w:val="14"/>
                <w:szCs w:val="14"/>
                <w:color w:val="0000EE"/>
                <w:w w:val="96"/>
              </w:rPr>
            </w:pPr>
            <w:hyperlink w:anchor="page57">
              <w:r>
                <w:rPr>
                  <w:rFonts w:ascii="Arial" w:cs="Arial" w:eastAsia="Arial" w:hAnsi="Arial"/>
                  <w:sz w:val="14"/>
                  <w:szCs w:val="14"/>
                  <w:color w:val="0000EE"/>
                  <w:w w:val="96"/>
                </w:rPr>
                <w:t>(12)</w:t>
              </w:r>
            </w:hyperlink>
          </w:p>
        </w:tc>
        <w:tc>
          <w:tcPr>
            <w:tcW w:w="9360" w:type="dxa"/>
            <w:vAlign w:val="bottom"/>
            <w:gridSpan w:val="35"/>
            <w:shd w:val="clear" w:color="auto" w:fill="CCEEFF"/>
          </w:tcPr>
          <w:p>
            <w:pPr>
              <w:ind w:left="20"/>
              <w:spacing w:after="0"/>
              <w:rPr>
                <w:rFonts w:ascii="Arial" w:cs="Arial" w:eastAsia="Arial" w:hAnsi="Arial"/>
                <w:sz w:val="14"/>
                <w:szCs w:val="14"/>
                <w:color w:val="0000EE"/>
              </w:rPr>
            </w:pPr>
            <w:hyperlink w:anchor="page57">
              <w:r>
                <w:rPr>
                  <w:rFonts w:ascii="Arial" w:cs="Arial" w:eastAsia="Arial" w:hAnsi="Arial"/>
                  <w:sz w:val="14"/>
                  <w:szCs w:val="14"/>
                  <w:color w:val="0000EE"/>
                </w:rPr>
                <w:t>Short-term Borrowings and Long-term Debt</w:t>
              </w:r>
            </w:hyperlink>
          </w:p>
        </w:tc>
        <w:tc>
          <w:tcPr>
            <w:tcW w:w="180" w:type="dxa"/>
            <w:vAlign w:val="bottom"/>
            <w:gridSpan w:val="4"/>
            <w:shd w:val="clear" w:color="auto" w:fill="CCEEFF"/>
          </w:tcPr>
          <w:p>
            <w:pPr>
              <w:jc w:val="center"/>
              <w:spacing w:after="0"/>
              <w:rPr>
                <w:rFonts w:ascii="Arial" w:cs="Arial" w:eastAsia="Arial" w:hAnsi="Arial"/>
                <w:sz w:val="14"/>
                <w:szCs w:val="14"/>
                <w:color w:val="0000EE"/>
                <w:w w:val="89"/>
              </w:rPr>
            </w:pPr>
            <w:hyperlink w:anchor="page57">
              <w:r>
                <w:rPr>
                  <w:rFonts w:ascii="Arial" w:cs="Arial" w:eastAsia="Arial" w:hAnsi="Arial"/>
                  <w:sz w:val="14"/>
                  <w:szCs w:val="14"/>
                  <w:color w:val="0000EE"/>
                  <w:w w:val="89"/>
                </w:rPr>
                <w:t>47</w:t>
              </w:r>
            </w:hyperlink>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34"/>
        </w:trPr>
        <w:tc>
          <w:tcPr>
            <w:tcW w:w="12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c>
          <w:tcPr>
            <w:tcW w:w="46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r>
      <w:tr>
        <w:trPr>
          <w:trHeight w:val="162"/>
        </w:trPr>
        <w:tc>
          <w:tcPr>
            <w:tcW w:w="1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gridSpan w:val="2"/>
          </w:tcPr>
          <w:p>
            <w:pPr>
              <w:spacing w:after="0"/>
              <w:rPr>
                <w:rFonts w:ascii="Arial" w:cs="Arial" w:eastAsia="Arial" w:hAnsi="Arial"/>
                <w:sz w:val="14"/>
                <w:szCs w:val="14"/>
                <w:color w:val="0000EE"/>
                <w:w w:val="96"/>
              </w:rPr>
            </w:pPr>
            <w:hyperlink w:anchor="page60">
              <w:r>
                <w:rPr>
                  <w:rFonts w:ascii="Arial" w:cs="Arial" w:eastAsia="Arial" w:hAnsi="Arial"/>
                  <w:sz w:val="14"/>
                  <w:szCs w:val="14"/>
                  <w:color w:val="0000EE"/>
                  <w:w w:val="96"/>
                </w:rPr>
                <w:t>(13)</w:t>
              </w:r>
            </w:hyperlink>
          </w:p>
        </w:tc>
        <w:tc>
          <w:tcPr>
            <w:tcW w:w="2560" w:type="dxa"/>
            <w:vAlign w:val="bottom"/>
            <w:gridSpan w:val="28"/>
          </w:tcPr>
          <w:p>
            <w:pPr>
              <w:ind w:left="20"/>
              <w:spacing w:after="0"/>
              <w:rPr>
                <w:rFonts w:ascii="Arial" w:cs="Arial" w:eastAsia="Arial" w:hAnsi="Arial"/>
                <w:sz w:val="14"/>
                <w:szCs w:val="14"/>
                <w:color w:val="0000EE"/>
              </w:rPr>
            </w:pPr>
            <w:hyperlink w:anchor="page60">
              <w:r>
                <w:rPr>
                  <w:rFonts w:ascii="Arial" w:cs="Arial" w:eastAsia="Arial" w:hAnsi="Arial"/>
                  <w:sz w:val="14"/>
                  <w:szCs w:val="14"/>
                  <w:color w:val="0000EE"/>
                </w:rPr>
                <w:t>Income Taxes</w:t>
              </w:r>
            </w:hyperlink>
          </w:p>
        </w:tc>
        <w:tc>
          <w:tcPr>
            <w:tcW w:w="6800" w:type="dxa"/>
            <w:vAlign w:val="bottom"/>
            <w:gridSpan w:val="7"/>
          </w:tcPr>
          <w:p>
            <w:pPr>
              <w:spacing w:after="0"/>
              <w:rPr>
                <w:sz w:val="14"/>
                <w:szCs w:val="14"/>
                <w:color w:val="auto"/>
              </w:rPr>
            </w:pPr>
          </w:p>
        </w:tc>
        <w:tc>
          <w:tcPr>
            <w:tcW w:w="180" w:type="dxa"/>
            <w:vAlign w:val="bottom"/>
            <w:gridSpan w:val="4"/>
          </w:tcPr>
          <w:p>
            <w:pPr>
              <w:jc w:val="center"/>
              <w:spacing w:after="0"/>
              <w:rPr>
                <w:rFonts w:ascii="Arial" w:cs="Arial" w:eastAsia="Arial" w:hAnsi="Arial"/>
                <w:sz w:val="14"/>
                <w:szCs w:val="14"/>
                <w:color w:val="0000EE"/>
                <w:w w:val="89"/>
              </w:rPr>
            </w:pPr>
            <w:hyperlink w:anchor="page60">
              <w:r>
                <w:rPr>
                  <w:rFonts w:ascii="Arial" w:cs="Arial" w:eastAsia="Arial" w:hAnsi="Arial"/>
                  <w:sz w:val="14"/>
                  <w:szCs w:val="14"/>
                  <w:color w:val="0000EE"/>
                  <w:w w:val="89"/>
                </w:rPr>
                <w:t>50</w:t>
              </w:r>
            </w:hyperlink>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34"/>
        </w:trPr>
        <w:tc>
          <w:tcPr>
            <w:tcW w:w="1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46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62"/>
        </w:trPr>
        <w:tc>
          <w:tcPr>
            <w:tcW w:w="12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60" w:type="dxa"/>
            <w:vAlign w:val="bottom"/>
            <w:gridSpan w:val="2"/>
            <w:shd w:val="clear" w:color="auto" w:fill="CCEEFF"/>
          </w:tcPr>
          <w:p>
            <w:pPr>
              <w:spacing w:after="0"/>
              <w:rPr>
                <w:rFonts w:ascii="Arial" w:cs="Arial" w:eastAsia="Arial" w:hAnsi="Arial"/>
                <w:sz w:val="14"/>
                <w:szCs w:val="14"/>
                <w:color w:val="0000EE"/>
                <w:w w:val="96"/>
              </w:rPr>
            </w:pPr>
            <w:hyperlink w:anchor="page60">
              <w:r>
                <w:rPr>
                  <w:rFonts w:ascii="Arial" w:cs="Arial" w:eastAsia="Arial" w:hAnsi="Arial"/>
                  <w:sz w:val="14"/>
                  <w:szCs w:val="14"/>
                  <w:color w:val="0000EE"/>
                  <w:w w:val="96"/>
                </w:rPr>
                <w:t>(14)</w:t>
              </w:r>
            </w:hyperlink>
          </w:p>
        </w:tc>
        <w:tc>
          <w:tcPr>
            <w:tcW w:w="1940" w:type="dxa"/>
            <w:vAlign w:val="bottom"/>
            <w:gridSpan w:val="23"/>
            <w:shd w:val="clear" w:color="auto" w:fill="CCEEFF"/>
          </w:tcPr>
          <w:p>
            <w:pPr>
              <w:ind w:left="20"/>
              <w:spacing w:after="0"/>
              <w:rPr>
                <w:rFonts w:ascii="Arial" w:cs="Arial" w:eastAsia="Arial" w:hAnsi="Arial"/>
                <w:sz w:val="14"/>
                <w:szCs w:val="14"/>
                <w:color w:val="0000EE"/>
                <w:w w:val="92"/>
              </w:rPr>
            </w:pPr>
            <w:hyperlink w:anchor="page60">
              <w:r>
                <w:rPr>
                  <w:rFonts w:ascii="Arial" w:cs="Arial" w:eastAsia="Arial" w:hAnsi="Arial"/>
                  <w:sz w:val="14"/>
                  <w:szCs w:val="14"/>
                  <w:color w:val="0000EE"/>
                  <w:w w:val="92"/>
                </w:rPr>
                <w:t>Commitments and Contingencies</w:t>
              </w:r>
            </w:hyperlink>
          </w:p>
        </w:tc>
        <w:tc>
          <w:tcPr>
            <w:tcW w:w="7420" w:type="dxa"/>
            <w:vAlign w:val="bottom"/>
            <w:gridSpan w:val="12"/>
            <w:shd w:val="clear" w:color="auto" w:fill="CCEEFF"/>
          </w:tcPr>
          <w:p>
            <w:pPr>
              <w:spacing w:after="0"/>
              <w:rPr>
                <w:sz w:val="14"/>
                <w:szCs w:val="14"/>
                <w:color w:val="auto"/>
              </w:rPr>
            </w:pPr>
          </w:p>
        </w:tc>
        <w:tc>
          <w:tcPr>
            <w:tcW w:w="180" w:type="dxa"/>
            <w:vAlign w:val="bottom"/>
            <w:gridSpan w:val="4"/>
            <w:shd w:val="clear" w:color="auto" w:fill="CCEEFF"/>
          </w:tcPr>
          <w:p>
            <w:pPr>
              <w:jc w:val="center"/>
              <w:spacing w:after="0"/>
              <w:rPr>
                <w:rFonts w:ascii="Arial" w:cs="Arial" w:eastAsia="Arial" w:hAnsi="Arial"/>
                <w:sz w:val="14"/>
                <w:szCs w:val="14"/>
                <w:color w:val="0000EE"/>
                <w:w w:val="89"/>
              </w:rPr>
            </w:pPr>
            <w:hyperlink w:anchor="page60">
              <w:r>
                <w:rPr>
                  <w:rFonts w:ascii="Arial" w:cs="Arial" w:eastAsia="Arial" w:hAnsi="Arial"/>
                  <w:sz w:val="14"/>
                  <w:szCs w:val="14"/>
                  <w:color w:val="0000EE"/>
                  <w:w w:val="89"/>
                </w:rPr>
                <w:t>50</w:t>
              </w:r>
            </w:hyperlink>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34"/>
        </w:trPr>
        <w:tc>
          <w:tcPr>
            <w:tcW w:w="12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c>
          <w:tcPr>
            <w:tcW w:w="46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r>
      <w:tr>
        <w:trPr>
          <w:trHeight w:val="162"/>
        </w:trPr>
        <w:tc>
          <w:tcPr>
            <w:tcW w:w="1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gridSpan w:val="2"/>
          </w:tcPr>
          <w:p>
            <w:pPr>
              <w:spacing w:after="0"/>
              <w:rPr>
                <w:rFonts w:ascii="Arial" w:cs="Arial" w:eastAsia="Arial" w:hAnsi="Arial"/>
                <w:sz w:val="14"/>
                <w:szCs w:val="14"/>
                <w:color w:val="0000EE"/>
                <w:w w:val="96"/>
              </w:rPr>
            </w:pPr>
            <w:hyperlink w:anchor="page65">
              <w:r>
                <w:rPr>
                  <w:rFonts w:ascii="Arial" w:cs="Arial" w:eastAsia="Arial" w:hAnsi="Arial"/>
                  <w:sz w:val="14"/>
                  <w:szCs w:val="14"/>
                  <w:color w:val="0000EE"/>
                  <w:w w:val="96"/>
                </w:rPr>
                <w:t>(15)</w:t>
              </w:r>
            </w:hyperlink>
          </w:p>
        </w:tc>
        <w:tc>
          <w:tcPr>
            <w:tcW w:w="1940" w:type="dxa"/>
            <w:vAlign w:val="bottom"/>
            <w:gridSpan w:val="23"/>
          </w:tcPr>
          <w:p>
            <w:pPr>
              <w:ind w:left="20"/>
              <w:spacing w:after="0"/>
              <w:rPr>
                <w:rFonts w:ascii="Arial" w:cs="Arial" w:eastAsia="Arial" w:hAnsi="Arial"/>
                <w:sz w:val="14"/>
                <w:szCs w:val="14"/>
                <w:color w:val="0000EE"/>
              </w:rPr>
            </w:pPr>
            <w:hyperlink w:anchor="page65">
              <w:r>
                <w:rPr>
                  <w:rFonts w:ascii="Arial" w:cs="Arial" w:eastAsia="Arial" w:hAnsi="Arial"/>
                  <w:sz w:val="14"/>
                  <w:szCs w:val="14"/>
                  <w:color w:val="0000EE"/>
                </w:rPr>
                <w:t>Earnings Per Share</w:t>
              </w:r>
            </w:hyperlink>
          </w:p>
        </w:tc>
        <w:tc>
          <w:tcPr>
            <w:tcW w:w="7420" w:type="dxa"/>
            <w:vAlign w:val="bottom"/>
            <w:gridSpan w:val="12"/>
          </w:tcPr>
          <w:p>
            <w:pPr>
              <w:spacing w:after="0"/>
              <w:rPr>
                <w:sz w:val="14"/>
                <w:szCs w:val="14"/>
                <w:color w:val="auto"/>
              </w:rPr>
            </w:pPr>
          </w:p>
        </w:tc>
        <w:tc>
          <w:tcPr>
            <w:tcW w:w="180" w:type="dxa"/>
            <w:vAlign w:val="bottom"/>
            <w:gridSpan w:val="4"/>
          </w:tcPr>
          <w:p>
            <w:pPr>
              <w:jc w:val="center"/>
              <w:spacing w:after="0"/>
              <w:rPr>
                <w:rFonts w:ascii="Arial" w:cs="Arial" w:eastAsia="Arial" w:hAnsi="Arial"/>
                <w:sz w:val="14"/>
                <w:szCs w:val="14"/>
                <w:color w:val="0000EE"/>
                <w:w w:val="89"/>
              </w:rPr>
            </w:pPr>
            <w:hyperlink w:anchor="page65">
              <w:r>
                <w:rPr>
                  <w:rFonts w:ascii="Arial" w:cs="Arial" w:eastAsia="Arial" w:hAnsi="Arial"/>
                  <w:sz w:val="14"/>
                  <w:szCs w:val="14"/>
                  <w:color w:val="0000EE"/>
                  <w:w w:val="89"/>
                </w:rPr>
                <w:t>55</w:t>
              </w:r>
            </w:hyperlink>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34"/>
        </w:trPr>
        <w:tc>
          <w:tcPr>
            <w:tcW w:w="1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46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62"/>
        </w:trPr>
        <w:tc>
          <w:tcPr>
            <w:tcW w:w="12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60" w:type="dxa"/>
            <w:vAlign w:val="bottom"/>
            <w:gridSpan w:val="2"/>
            <w:shd w:val="clear" w:color="auto" w:fill="CCEEFF"/>
          </w:tcPr>
          <w:p>
            <w:pPr>
              <w:spacing w:after="0"/>
              <w:rPr>
                <w:rFonts w:ascii="Arial" w:cs="Arial" w:eastAsia="Arial" w:hAnsi="Arial"/>
                <w:sz w:val="14"/>
                <w:szCs w:val="14"/>
                <w:color w:val="0000EE"/>
                <w:w w:val="96"/>
              </w:rPr>
            </w:pPr>
            <w:hyperlink w:anchor="page65">
              <w:r>
                <w:rPr>
                  <w:rFonts w:ascii="Arial" w:cs="Arial" w:eastAsia="Arial" w:hAnsi="Arial"/>
                  <w:sz w:val="14"/>
                  <w:szCs w:val="14"/>
                  <w:color w:val="0000EE"/>
                  <w:w w:val="96"/>
                </w:rPr>
                <w:t>(16)</w:t>
              </w:r>
            </w:hyperlink>
          </w:p>
        </w:tc>
        <w:tc>
          <w:tcPr>
            <w:tcW w:w="9360" w:type="dxa"/>
            <w:vAlign w:val="bottom"/>
            <w:gridSpan w:val="35"/>
            <w:shd w:val="clear" w:color="auto" w:fill="CCEEFF"/>
          </w:tcPr>
          <w:p>
            <w:pPr>
              <w:ind w:left="20"/>
              <w:spacing w:after="0"/>
              <w:rPr>
                <w:rFonts w:ascii="Arial" w:cs="Arial" w:eastAsia="Arial" w:hAnsi="Arial"/>
                <w:sz w:val="14"/>
                <w:szCs w:val="14"/>
                <w:color w:val="0000EE"/>
              </w:rPr>
            </w:pPr>
            <w:hyperlink w:anchor="page65">
              <w:r>
                <w:rPr>
                  <w:rFonts w:ascii="Arial" w:cs="Arial" w:eastAsia="Arial" w:hAnsi="Arial"/>
                  <w:sz w:val="14"/>
                  <w:szCs w:val="14"/>
                  <w:color w:val="0000EE"/>
                </w:rPr>
                <w:t>Reportable Segments</w:t>
              </w:r>
            </w:hyperlink>
          </w:p>
        </w:tc>
        <w:tc>
          <w:tcPr>
            <w:tcW w:w="180" w:type="dxa"/>
            <w:vAlign w:val="bottom"/>
            <w:gridSpan w:val="4"/>
            <w:shd w:val="clear" w:color="auto" w:fill="CCEEFF"/>
          </w:tcPr>
          <w:p>
            <w:pPr>
              <w:jc w:val="center"/>
              <w:spacing w:after="0"/>
              <w:rPr>
                <w:rFonts w:ascii="Arial" w:cs="Arial" w:eastAsia="Arial" w:hAnsi="Arial"/>
                <w:sz w:val="14"/>
                <w:szCs w:val="14"/>
                <w:color w:val="0000EE"/>
                <w:w w:val="89"/>
              </w:rPr>
            </w:pPr>
            <w:hyperlink w:anchor="page65">
              <w:r>
                <w:rPr>
                  <w:rFonts w:ascii="Arial" w:cs="Arial" w:eastAsia="Arial" w:hAnsi="Arial"/>
                  <w:sz w:val="14"/>
                  <w:szCs w:val="14"/>
                  <w:color w:val="0000EE"/>
                  <w:w w:val="89"/>
                </w:rPr>
                <w:t>55</w:t>
              </w:r>
            </w:hyperlink>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34"/>
        </w:trPr>
        <w:tc>
          <w:tcPr>
            <w:tcW w:w="12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c>
          <w:tcPr>
            <w:tcW w:w="46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r>
      <w:tr>
        <w:trPr>
          <w:trHeight w:val="162"/>
        </w:trPr>
        <w:tc>
          <w:tcPr>
            <w:tcW w:w="1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gridSpan w:val="2"/>
          </w:tcPr>
          <w:p>
            <w:pPr>
              <w:spacing w:after="0"/>
              <w:rPr>
                <w:rFonts w:ascii="Arial" w:cs="Arial" w:eastAsia="Arial" w:hAnsi="Arial"/>
                <w:sz w:val="14"/>
                <w:szCs w:val="14"/>
                <w:color w:val="0000EE"/>
                <w:w w:val="96"/>
              </w:rPr>
            </w:pPr>
            <w:hyperlink w:anchor="page69">
              <w:r>
                <w:rPr>
                  <w:rFonts w:ascii="Arial" w:cs="Arial" w:eastAsia="Arial" w:hAnsi="Arial"/>
                  <w:sz w:val="14"/>
                  <w:szCs w:val="14"/>
                  <w:color w:val="0000EE"/>
                  <w:w w:val="96"/>
                </w:rPr>
                <w:t>(17)</w:t>
              </w:r>
            </w:hyperlink>
          </w:p>
        </w:tc>
        <w:tc>
          <w:tcPr>
            <w:tcW w:w="9360" w:type="dxa"/>
            <w:vAlign w:val="bottom"/>
            <w:gridSpan w:val="35"/>
          </w:tcPr>
          <w:p>
            <w:pPr>
              <w:ind w:left="20"/>
              <w:spacing w:after="0"/>
              <w:rPr>
                <w:rFonts w:ascii="Arial" w:cs="Arial" w:eastAsia="Arial" w:hAnsi="Arial"/>
                <w:sz w:val="14"/>
                <w:szCs w:val="14"/>
                <w:color w:val="0000EE"/>
              </w:rPr>
            </w:pPr>
            <w:hyperlink w:anchor="page69">
              <w:r>
                <w:rPr>
                  <w:rFonts w:ascii="Arial" w:cs="Arial" w:eastAsia="Arial" w:hAnsi="Arial"/>
                  <w:sz w:val="14"/>
                  <w:szCs w:val="14"/>
                  <w:color w:val="0000EE"/>
                </w:rPr>
                <w:t>Supplemental Disclosure of Cash Flow Information</w:t>
              </w:r>
            </w:hyperlink>
          </w:p>
        </w:tc>
        <w:tc>
          <w:tcPr>
            <w:tcW w:w="180" w:type="dxa"/>
            <w:vAlign w:val="bottom"/>
            <w:gridSpan w:val="4"/>
          </w:tcPr>
          <w:p>
            <w:pPr>
              <w:jc w:val="center"/>
              <w:spacing w:after="0"/>
              <w:rPr>
                <w:rFonts w:ascii="Arial" w:cs="Arial" w:eastAsia="Arial" w:hAnsi="Arial"/>
                <w:sz w:val="14"/>
                <w:szCs w:val="14"/>
                <w:color w:val="0000EE"/>
                <w:w w:val="89"/>
              </w:rPr>
            </w:pPr>
            <w:hyperlink w:anchor="page69">
              <w:r>
                <w:rPr>
                  <w:rFonts w:ascii="Arial" w:cs="Arial" w:eastAsia="Arial" w:hAnsi="Arial"/>
                  <w:sz w:val="14"/>
                  <w:szCs w:val="14"/>
                  <w:color w:val="0000EE"/>
                  <w:w w:val="89"/>
                </w:rPr>
                <w:t>59</w:t>
              </w:r>
            </w:hyperlink>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34"/>
        </w:trPr>
        <w:tc>
          <w:tcPr>
            <w:tcW w:w="1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80" w:type="dxa"/>
            <w:vAlign w:val="bottom"/>
          </w:tcPr>
          <w:p>
            <w:pPr>
              <w:spacing w:after="0"/>
              <w:rPr>
                <w:sz w:val="2"/>
                <w:szCs w:val="2"/>
                <w:color w:val="auto"/>
              </w:rPr>
            </w:pPr>
          </w:p>
        </w:tc>
        <w:tc>
          <w:tcPr>
            <w:tcW w:w="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46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62"/>
        </w:trPr>
        <w:tc>
          <w:tcPr>
            <w:tcW w:w="12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60" w:type="dxa"/>
            <w:vAlign w:val="bottom"/>
            <w:gridSpan w:val="2"/>
            <w:shd w:val="clear" w:color="auto" w:fill="CCEEFF"/>
          </w:tcPr>
          <w:p>
            <w:pPr>
              <w:spacing w:after="0"/>
              <w:rPr>
                <w:rFonts w:ascii="Arial" w:cs="Arial" w:eastAsia="Arial" w:hAnsi="Arial"/>
                <w:sz w:val="14"/>
                <w:szCs w:val="14"/>
                <w:color w:val="0000EE"/>
                <w:w w:val="96"/>
              </w:rPr>
            </w:pPr>
            <w:hyperlink w:anchor="page69">
              <w:r>
                <w:rPr>
                  <w:rFonts w:ascii="Arial" w:cs="Arial" w:eastAsia="Arial" w:hAnsi="Arial"/>
                  <w:sz w:val="14"/>
                  <w:szCs w:val="14"/>
                  <w:color w:val="0000EE"/>
                  <w:w w:val="96"/>
                </w:rPr>
                <w:t>(18)</w:t>
              </w:r>
            </w:hyperlink>
          </w:p>
        </w:tc>
        <w:tc>
          <w:tcPr>
            <w:tcW w:w="9360" w:type="dxa"/>
            <w:vAlign w:val="bottom"/>
            <w:gridSpan w:val="35"/>
            <w:shd w:val="clear" w:color="auto" w:fill="CCEEFF"/>
          </w:tcPr>
          <w:p>
            <w:pPr>
              <w:ind w:left="20"/>
              <w:spacing w:after="0"/>
              <w:rPr>
                <w:rFonts w:ascii="Arial" w:cs="Arial" w:eastAsia="Arial" w:hAnsi="Arial"/>
                <w:sz w:val="14"/>
                <w:szCs w:val="14"/>
                <w:color w:val="0000EE"/>
              </w:rPr>
            </w:pPr>
            <w:hyperlink w:anchor="page69">
              <w:r>
                <w:rPr>
                  <w:rFonts w:ascii="Arial" w:cs="Arial" w:eastAsia="Arial" w:hAnsi="Arial"/>
                  <w:sz w:val="14"/>
                  <w:szCs w:val="14"/>
                  <w:color w:val="0000EE"/>
                </w:rPr>
                <w:t>Related Party Transactions</w:t>
              </w:r>
            </w:hyperlink>
          </w:p>
        </w:tc>
        <w:tc>
          <w:tcPr>
            <w:tcW w:w="180" w:type="dxa"/>
            <w:vAlign w:val="bottom"/>
            <w:gridSpan w:val="4"/>
            <w:shd w:val="clear" w:color="auto" w:fill="CCEEFF"/>
          </w:tcPr>
          <w:p>
            <w:pPr>
              <w:jc w:val="center"/>
              <w:spacing w:after="0"/>
              <w:rPr>
                <w:rFonts w:ascii="Arial" w:cs="Arial" w:eastAsia="Arial" w:hAnsi="Arial"/>
                <w:sz w:val="14"/>
                <w:szCs w:val="14"/>
                <w:color w:val="0000EE"/>
                <w:w w:val="89"/>
              </w:rPr>
            </w:pPr>
            <w:hyperlink w:anchor="page69">
              <w:r>
                <w:rPr>
                  <w:rFonts w:ascii="Arial" w:cs="Arial" w:eastAsia="Arial" w:hAnsi="Arial"/>
                  <w:sz w:val="14"/>
                  <w:szCs w:val="14"/>
                  <w:color w:val="0000EE"/>
                  <w:w w:val="89"/>
                </w:rPr>
                <w:t>59</w:t>
              </w:r>
            </w:hyperlink>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34"/>
        </w:trPr>
        <w:tc>
          <w:tcPr>
            <w:tcW w:w="12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c>
          <w:tcPr>
            <w:tcW w:w="46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r>
      <w:tr>
        <w:trPr>
          <w:trHeight w:val="162"/>
        </w:trPr>
        <w:tc>
          <w:tcPr>
            <w:tcW w:w="1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gridSpan w:val="2"/>
          </w:tcPr>
          <w:p>
            <w:pPr>
              <w:spacing w:after="0"/>
              <w:rPr>
                <w:rFonts w:ascii="Arial" w:cs="Arial" w:eastAsia="Arial" w:hAnsi="Arial"/>
                <w:sz w:val="14"/>
                <w:szCs w:val="14"/>
                <w:color w:val="0000EE"/>
                <w:w w:val="96"/>
              </w:rPr>
            </w:pPr>
            <w:hyperlink w:anchor="page70">
              <w:r>
                <w:rPr>
                  <w:rFonts w:ascii="Arial" w:cs="Arial" w:eastAsia="Arial" w:hAnsi="Arial"/>
                  <w:sz w:val="14"/>
                  <w:szCs w:val="14"/>
                  <w:color w:val="0000EE"/>
                  <w:w w:val="96"/>
                </w:rPr>
                <w:t>(19)</w:t>
              </w:r>
            </w:hyperlink>
          </w:p>
        </w:tc>
        <w:tc>
          <w:tcPr>
            <w:tcW w:w="1560" w:type="dxa"/>
            <w:vAlign w:val="bottom"/>
            <w:gridSpan w:val="18"/>
          </w:tcPr>
          <w:p>
            <w:pPr>
              <w:ind w:left="20"/>
              <w:spacing w:after="0"/>
              <w:rPr>
                <w:rFonts w:ascii="Arial" w:cs="Arial" w:eastAsia="Arial" w:hAnsi="Arial"/>
                <w:sz w:val="14"/>
                <w:szCs w:val="14"/>
                <w:color w:val="0000EE"/>
              </w:rPr>
            </w:pPr>
            <w:hyperlink w:anchor="page70">
              <w:r>
                <w:rPr>
                  <w:rFonts w:ascii="Arial" w:cs="Arial" w:eastAsia="Arial" w:hAnsi="Arial"/>
                  <w:sz w:val="14"/>
                  <w:szCs w:val="14"/>
                  <w:color w:val="0000EE"/>
                </w:rPr>
                <w:t>Leases</w:t>
              </w:r>
            </w:hyperlink>
          </w:p>
        </w:tc>
        <w:tc>
          <w:tcPr>
            <w:tcW w:w="7800" w:type="dxa"/>
            <w:vAlign w:val="bottom"/>
            <w:gridSpan w:val="17"/>
          </w:tcPr>
          <w:p>
            <w:pPr>
              <w:spacing w:after="0"/>
              <w:rPr>
                <w:sz w:val="14"/>
                <w:szCs w:val="14"/>
                <w:color w:val="auto"/>
              </w:rPr>
            </w:pPr>
          </w:p>
        </w:tc>
        <w:tc>
          <w:tcPr>
            <w:tcW w:w="180" w:type="dxa"/>
            <w:vAlign w:val="bottom"/>
            <w:gridSpan w:val="4"/>
          </w:tcPr>
          <w:p>
            <w:pPr>
              <w:jc w:val="center"/>
              <w:spacing w:after="0"/>
              <w:rPr>
                <w:rFonts w:ascii="Arial" w:cs="Arial" w:eastAsia="Arial" w:hAnsi="Arial"/>
                <w:sz w:val="14"/>
                <w:szCs w:val="14"/>
                <w:color w:val="0000EE"/>
                <w:w w:val="89"/>
              </w:rPr>
            </w:pPr>
            <w:hyperlink w:anchor="page70">
              <w:r>
                <w:rPr>
                  <w:rFonts w:ascii="Arial" w:cs="Arial" w:eastAsia="Arial" w:hAnsi="Arial"/>
                  <w:sz w:val="14"/>
                  <w:szCs w:val="14"/>
                  <w:color w:val="0000EE"/>
                  <w:w w:val="89"/>
                </w:rPr>
                <w:t>60</w:t>
              </w:r>
            </w:hyperlink>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34"/>
        </w:trPr>
        <w:tc>
          <w:tcPr>
            <w:tcW w:w="1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46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62"/>
        </w:trPr>
        <w:tc>
          <w:tcPr>
            <w:tcW w:w="12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60" w:type="dxa"/>
            <w:vAlign w:val="bottom"/>
            <w:gridSpan w:val="2"/>
            <w:shd w:val="clear" w:color="auto" w:fill="CCEEFF"/>
          </w:tcPr>
          <w:p>
            <w:pPr>
              <w:spacing w:after="0"/>
              <w:rPr>
                <w:rFonts w:ascii="Arial" w:cs="Arial" w:eastAsia="Arial" w:hAnsi="Arial"/>
                <w:sz w:val="14"/>
                <w:szCs w:val="14"/>
                <w:color w:val="0000EE"/>
                <w:w w:val="96"/>
              </w:rPr>
            </w:pPr>
            <w:hyperlink w:anchor="page73">
              <w:r>
                <w:rPr>
                  <w:rFonts w:ascii="Arial" w:cs="Arial" w:eastAsia="Arial" w:hAnsi="Arial"/>
                  <w:sz w:val="14"/>
                  <w:szCs w:val="14"/>
                  <w:color w:val="0000EE"/>
                  <w:w w:val="96"/>
                </w:rPr>
                <w:t>(20)</w:t>
              </w:r>
            </w:hyperlink>
          </w:p>
        </w:tc>
        <w:tc>
          <w:tcPr>
            <w:tcW w:w="9360" w:type="dxa"/>
            <w:vAlign w:val="bottom"/>
            <w:gridSpan w:val="35"/>
            <w:shd w:val="clear" w:color="auto" w:fill="CCEEFF"/>
          </w:tcPr>
          <w:p>
            <w:pPr>
              <w:ind w:left="20"/>
              <w:spacing w:after="0"/>
              <w:rPr>
                <w:rFonts w:ascii="Arial" w:cs="Arial" w:eastAsia="Arial" w:hAnsi="Arial"/>
                <w:sz w:val="14"/>
                <w:szCs w:val="14"/>
                <w:color w:val="0000EE"/>
              </w:rPr>
            </w:pPr>
            <w:hyperlink w:anchor="page73">
              <w:r>
                <w:rPr>
                  <w:rFonts w:ascii="Arial" w:cs="Arial" w:eastAsia="Arial" w:hAnsi="Arial"/>
                  <w:sz w:val="14"/>
                  <w:szCs w:val="14"/>
                  <w:color w:val="0000EE"/>
                </w:rPr>
                <w:t>Equity</w:t>
              </w:r>
            </w:hyperlink>
          </w:p>
        </w:tc>
        <w:tc>
          <w:tcPr>
            <w:tcW w:w="180" w:type="dxa"/>
            <w:vAlign w:val="bottom"/>
            <w:gridSpan w:val="4"/>
            <w:shd w:val="clear" w:color="auto" w:fill="CCEEFF"/>
          </w:tcPr>
          <w:p>
            <w:pPr>
              <w:jc w:val="center"/>
              <w:spacing w:after="0"/>
              <w:rPr>
                <w:rFonts w:ascii="Arial" w:cs="Arial" w:eastAsia="Arial" w:hAnsi="Arial"/>
                <w:sz w:val="14"/>
                <w:szCs w:val="14"/>
                <w:color w:val="0000EE"/>
                <w:w w:val="89"/>
              </w:rPr>
            </w:pPr>
            <w:hyperlink w:anchor="page73">
              <w:r>
                <w:rPr>
                  <w:rFonts w:ascii="Arial" w:cs="Arial" w:eastAsia="Arial" w:hAnsi="Arial"/>
                  <w:sz w:val="14"/>
                  <w:szCs w:val="14"/>
                  <w:color w:val="0000EE"/>
                  <w:w w:val="89"/>
                </w:rPr>
                <w:t>63</w:t>
              </w:r>
            </w:hyperlink>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34"/>
        </w:trPr>
        <w:tc>
          <w:tcPr>
            <w:tcW w:w="12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c>
          <w:tcPr>
            <w:tcW w:w="46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r>
      <w:tr>
        <w:trPr>
          <w:trHeight w:val="162"/>
        </w:trPr>
        <w:tc>
          <w:tcPr>
            <w:tcW w:w="1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gridSpan w:val="2"/>
          </w:tcPr>
          <w:p>
            <w:pPr>
              <w:spacing w:after="0"/>
              <w:rPr>
                <w:rFonts w:ascii="Arial" w:cs="Arial" w:eastAsia="Arial" w:hAnsi="Arial"/>
                <w:sz w:val="14"/>
                <w:szCs w:val="14"/>
                <w:color w:val="0000EE"/>
                <w:w w:val="96"/>
              </w:rPr>
            </w:pPr>
            <w:hyperlink w:anchor="page75">
              <w:r>
                <w:rPr>
                  <w:rFonts w:ascii="Arial" w:cs="Arial" w:eastAsia="Arial" w:hAnsi="Arial"/>
                  <w:sz w:val="14"/>
                  <w:szCs w:val="14"/>
                  <w:color w:val="0000EE"/>
                  <w:w w:val="96"/>
                </w:rPr>
                <w:t>(21)</w:t>
              </w:r>
            </w:hyperlink>
          </w:p>
        </w:tc>
        <w:tc>
          <w:tcPr>
            <w:tcW w:w="9360" w:type="dxa"/>
            <w:vAlign w:val="bottom"/>
            <w:gridSpan w:val="35"/>
          </w:tcPr>
          <w:p>
            <w:pPr>
              <w:ind w:left="20"/>
              <w:spacing w:after="0"/>
              <w:rPr>
                <w:rFonts w:ascii="Arial" w:cs="Arial" w:eastAsia="Arial" w:hAnsi="Arial"/>
                <w:sz w:val="14"/>
                <w:szCs w:val="14"/>
                <w:color w:val="0000EE"/>
              </w:rPr>
            </w:pPr>
            <w:hyperlink w:anchor="page75">
              <w:r>
                <w:rPr>
                  <w:rFonts w:ascii="Arial" w:cs="Arial" w:eastAsia="Arial" w:hAnsi="Arial"/>
                  <w:sz w:val="14"/>
                  <w:szCs w:val="14"/>
                  <w:color w:val="0000EE"/>
                </w:rPr>
                <w:t>Subsequent Events</w:t>
              </w:r>
            </w:hyperlink>
          </w:p>
        </w:tc>
        <w:tc>
          <w:tcPr>
            <w:tcW w:w="180" w:type="dxa"/>
            <w:vAlign w:val="bottom"/>
            <w:gridSpan w:val="4"/>
          </w:tcPr>
          <w:p>
            <w:pPr>
              <w:jc w:val="center"/>
              <w:spacing w:after="0"/>
              <w:rPr>
                <w:rFonts w:ascii="Arial" w:cs="Arial" w:eastAsia="Arial" w:hAnsi="Arial"/>
                <w:sz w:val="14"/>
                <w:szCs w:val="14"/>
                <w:color w:val="0000EE"/>
                <w:w w:val="89"/>
              </w:rPr>
            </w:pPr>
            <w:hyperlink w:anchor="page75">
              <w:r>
                <w:rPr>
                  <w:rFonts w:ascii="Arial" w:cs="Arial" w:eastAsia="Arial" w:hAnsi="Arial"/>
                  <w:sz w:val="14"/>
                  <w:szCs w:val="14"/>
                  <w:color w:val="0000EE"/>
                  <w:w w:val="89"/>
                </w:rPr>
                <w:t>65</w:t>
              </w:r>
            </w:hyperlink>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34"/>
        </w:trPr>
        <w:tc>
          <w:tcPr>
            <w:tcW w:w="1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46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62"/>
        </w:trPr>
        <w:tc>
          <w:tcPr>
            <w:tcW w:w="12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Item 2.</w:t>
            </w:r>
          </w:p>
        </w:tc>
        <w:tc>
          <w:tcPr>
            <w:tcW w:w="9820" w:type="dxa"/>
            <w:vAlign w:val="bottom"/>
            <w:gridSpan w:val="38"/>
            <w:shd w:val="clear" w:color="auto" w:fill="CCEEFF"/>
          </w:tcPr>
          <w:p>
            <w:pPr>
              <w:spacing w:after="0"/>
              <w:rPr>
                <w:rFonts w:ascii="Arial" w:cs="Arial" w:eastAsia="Arial" w:hAnsi="Arial"/>
                <w:sz w:val="14"/>
                <w:szCs w:val="14"/>
                <w:color w:val="0000EE"/>
              </w:rPr>
            </w:pPr>
            <w:hyperlink w:anchor="page76">
              <w:r>
                <w:rPr>
                  <w:rFonts w:ascii="Arial" w:cs="Arial" w:eastAsia="Arial" w:hAnsi="Arial"/>
                  <w:sz w:val="14"/>
                  <w:szCs w:val="14"/>
                  <w:color w:val="0000EE"/>
                </w:rPr>
                <w:t>Management’s Discussion and Analysis of Financial Condition and Results of Operations</w:t>
              </w:r>
            </w:hyperlink>
          </w:p>
        </w:tc>
        <w:tc>
          <w:tcPr>
            <w:tcW w:w="180" w:type="dxa"/>
            <w:vAlign w:val="bottom"/>
            <w:gridSpan w:val="4"/>
            <w:shd w:val="clear" w:color="auto" w:fill="CCEEFF"/>
          </w:tcPr>
          <w:p>
            <w:pPr>
              <w:jc w:val="center"/>
              <w:spacing w:after="0"/>
              <w:rPr>
                <w:rFonts w:ascii="Arial" w:cs="Arial" w:eastAsia="Arial" w:hAnsi="Arial"/>
                <w:sz w:val="14"/>
                <w:szCs w:val="14"/>
                <w:color w:val="0000EE"/>
                <w:w w:val="89"/>
              </w:rPr>
            </w:pPr>
            <w:hyperlink w:anchor="page76">
              <w:r>
                <w:rPr>
                  <w:rFonts w:ascii="Arial" w:cs="Arial" w:eastAsia="Arial" w:hAnsi="Arial"/>
                  <w:sz w:val="14"/>
                  <w:szCs w:val="14"/>
                  <w:color w:val="0000EE"/>
                  <w:w w:val="89"/>
                </w:rPr>
                <w:t>66</w:t>
              </w:r>
            </w:hyperlink>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34"/>
        </w:trPr>
        <w:tc>
          <w:tcPr>
            <w:tcW w:w="12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700" w:type="dxa"/>
            <w:vAlign w:val="bottom"/>
            <w:tcBorders>
              <w:top w:val="single" w:sz="8" w:color="0000EE"/>
            </w:tcBorders>
            <w:shd w:val="clear" w:color="auto" w:fill="CCEEFF"/>
          </w:tcPr>
          <w:p>
            <w:pPr>
              <w:spacing w:after="0"/>
              <w:rPr>
                <w:sz w:val="2"/>
                <w:szCs w:val="2"/>
                <w:color w:val="auto"/>
              </w:rPr>
            </w:pPr>
          </w:p>
        </w:tc>
        <w:tc>
          <w:tcPr>
            <w:tcW w:w="46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r>
      <w:tr>
        <w:trPr>
          <w:trHeight w:val="162"/>
        </w:trPr>
        <w:tc>
          <w:tcPr>
            <w:tcW w:w="1280" w:type="dxa"/>
            <w:vAlign w:val="bottom"/>
          </w:tcPr>
          <w:p>
            <w:pPr>
              <w:spacing w:after="0"/>
              <w:rPr>
                <w:sz w:val="14"/>
                <w:szCs w:val="14"/>
                <w:color w:val="auto"/>
              </w:rPr>
            </w:pPr>
          </w:p>
        </w:tc>
        <w:tc>
          <w:tcPr>
            <w:tcW w:w="5160" w:type="dxa"/>
            <w:vAlign w:val="bottom"/>
            <w:gridSpan w:val="37"/>
          </w:tcPr>
          <w:p>
            <w:pPr>
              <w:ind w:left="200"/>
              <w:spacing w:after="0"/>
              <w:rPr>
                <w:rFonts w:ascii="Arial" w:cs="Arial" w:eastAsia="Arial" w:hAnsi="Arial"/>
                <w:sz w:val="14"/>
                <w:szCs w:val="14"/>
                <w:color w:val="0000EE"/>
              </w:rPr>
            </w:pPr>
            <w:hyperlink w:anchor="page76">
              <w:r>
                <w:rPr>
                  <w:rFonts w:ascii="Arial" w:cs="Arial" w:eastAsia="Arial" w:hAnsi="Arial"/>
                  <w:sz w:val="14"/>
                  <w:szCs w:val="14"/>
                  <w:color w:val="0000EE"/>
                </w:rPr>
                <w:t>Recent Events</w:t>
              </w:r>
            </w:hyperlink>
          </w:p>
        </w:tc>
        <w:tc>
          <w:tcPr>
            <w:tcW w:w="4660" w:type="dxa"/>
            <w:vAlign w:val="bottom"/>
          </w:tcPr>
          <w:p>
            <w:pPr>
              <w:spacing w:after="0"/>
              <w:rPr>
                <w:sz w:val="14"/>
                <w:szCs w:val="14"/>
                <w:color w:val="auto"/>
              </w:rPr>
            </w:pPr>
          </w:p>
        </w:tc>
        <w:tc>
          <w:tcPr>
            <w:tcW w:w="180" w:type="dxa"/>
            <w:vAlign w:val="bottom"/>
            <w:gridSpan w:val="4"/>
          </w:tcPr>
          <w:p>
            <w:pPr>
              <w:jc w:val="center"/>
              <w:spacing w:after="0"/>
              <w:rPr>
                <w:rFonts w:ascii="Arial" w:cs="Arial" w:eastAsia="Arial" w:hAnsi="Arial"/>
                <w:sz w:val="14"/>
                <w:szCs w:val="14"/>
                <w:color w:val="0000EE"/>
                <w:w w:val="89"/>
              </w:rPr>
            </w:pPr>
            <w:hyperlink w:anchor="page76">
              <w:r>
                <w:rPr>
                  <w:rFonts w:ascii="Arial" w:cs="Arial" w:eastAsia="Arial" w:hAnsi="Arial"/>
                  <w:sz w:val="14"/>
                  <w:szCs w:val="14"/>
                  <w:color w:val="0000EE"/>
                  <w:w w:val="89"/>
                </w:rPr>
                <w:t>66</w:t>
              </w:r>
            </w:hyperlink>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34"/>
        </w:trPr>
        <w:tc>
          <w:tcPr>
            <w:tcW w:w="1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46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62"/>
        </w:trPr>
        <w:tc>
          <w:tcPr>
            <w:tcW w:w="12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620" w:type="dxa"/>
            <w:vAlign w:val="bottom"/>
            <w:gridSpan w:val="37"/>
            <w:shd w:val="clear" w:color="auto" w:fill="CCEEFF"/>
          </w:tcPr>
          <w:p>
            <w:pPr>
              <w:spacing w:after="0"/>
              <w:rPr>
                <w:rFonts w:ascii="Arial" w:cs="Arial" w:eastAsia="Arial" w:hAnsi="Arial"/>
                <w:sz w:val="14"/>
                <w:szCs w:val="14"/>
                <w:color w:val="0000EE"/>
              </w:rPr>
            </w:pPr>
            <w:hyperlink w:anchor="page76">
              <w:r>
                <w:rPr>
                  <w:rFonts w:ascii="Arial" w:cs="Arial" w:eastAsia="Arial" w:hAnsi="Arial"/>
                  <w:sz w:val="14"/>
                  <w:szCs w:val="14"/>
                  <w:color w:val="0000EE"/>
                </w:rPr>
                <w:t>Consolidated Results of Operations</w:t>
              </w:r>
            </w:hyperlink>
          </w:p>
        </w:tc>
        <w:tc>
          <w:tcPr>
            <w:tcW w:w="180" w:type="dxa"/>
            <w:vAlign w:val="bottom"/>
            <w:gridSpan w:val="4"/>
            <w:shd w:val="clear" w:color="auto" w:fill="CCEEFF"/>
          </w:tcPr>
          <w:p>
            <w:pPr>
              <w:jc w:val="center"/>
              <w:spacing w:after="0"/>
              <w:rPr>
                <w:rFonts w:ascii="Arial" w:cs="Arial" w:eastAsia="Arial" w:hAnsi="Arial"/>
                <w:sz w:val="14"/>
                <w:szCs w:val="14"/>
                <w:color w:val="0000EE"/>
                <w:w w:val="89"/>
              </w:rPr>
            </w:pPr>
            <w:hyperlink w:anchor="page76">
              <w:r>
                <w:rPr>
                  <w:rFonts w:ascii="Arial" w:cs="Arial" w:eastAsia="Arial" w:hAnsi="Arial"/>
                  <w:sz w:val="14"/>
                  <w:szCs w:val="14"/>
                  <w:color w:val="0000EE"/>
                  <w:w w:val="89"/>
                </w:rPr>
                <w:t>66</w:t>
              </w:r>
            </w:hyperlink>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34"/>
        </w:trPr>
        <w:tc>
          <w:tcPr>
            <w:tcW w:w="12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c>
          <w:tcPr>
            <w:tcW w:w="46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r>
      <w:tr>
        <w:trPr>
          <w:trHeight w:val="162"/>
        </w:trPr>
        <w:tc>
          <w:tcPr>
            <w:tcW w:w="1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20" w:type="dxa"/>
            <w:vAlign w:val="bottom"/>
            <w:gridSpan w:val="37"/>
          </w:tcPr>
          <w:p>
            <w:pPr>
              <w:spacing w:after="0"/>
              <w:rPr>
                <w:rFonts w:ascii="Arial" w:cs="Arial" w:eastAsia="Arial" w:hAnsi="Arial"/>
                <w:sz w:val="14"/>
                <w:szCs w:val="14"/>
                <w:color w:val="0000EE"/>
              </w:rPr>
            </w:pPr>
            <w:hyperlink w:anchor="page81">
              <w:r>
                <w:rPr>
                  <w:rFonts w:ascii="Arial" w:cs="Arial" w:eastAsia="Arial" w:hAnsi="Arial"/>
                  <w:sz w:val="14"/>
                  <w:szCs w:val="14"/>
                  <w:color w:val="0000EE"/>
                </w:rPr>
                <w:t>Results of Operations by Reportable Segment</w:t>
              </w:r>
            </w:hyperlink>
          </w:p>
        </w:tc>
        <w:tc>
          <w:tcPr>
            <w:tcW w:w="180" w:type="dxa"/>
            <w:vAlign w:val="bottom"/>
            <w:gridSpan w:val="4"/>
          </w:tcPr>
          <w:p>
            <w:pPr>
              <w:jc w:val="center"/>
              <w:spacing w:after="0"/>
              <w:rPr>
                <w:rFonts w:ascii="Arial" w:cs="Arial" w:eastAsia="Arial" w:hAnsi="Arial"/>
                <w:sz w:val="14"/>
                <w:szCs w:val="14"/>
                <w:color w:val="0000EE"/>
                <w:w w:val="89"/>
              </w:rPr>
            </w:pPr>
            <w:hyperlink w:anchor="page81">
              <w:r>
                <w:rPr>
                  <w:rFonts w:ascii="Arial" w:cs="Arial" w:eastAsia="Arial" w:hAnsi="Arial"/>
                  <w:sz w:val="14"/>
                  <w:szCs w:val="14"/>
                  <w:color w:val="0000EE"/>
                  <w:w w:val="89"/>
                </w:rPr>
                <w:t>71</w:t>
              </w:r>
            </w:hyperlink>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34"/>
        </w:trPr>
        <w:tc>
          <w:tcPr>
            <w:tcW w:w="1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46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62"/>
        </w:trPr>
        <w:tc>
          <w:tcPr>
            <w:tcW w:w="12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620" w:type="dxa"/>
            <w:vAlign w:val="bottom"/>
            <w:gridSpan w:val="37"/>
            <w:shd w:val="clear" w:color="auto" w:fill="CCEEFF"/>
          </w:tcPr>
          <w:p>
            <w:pPr>
              <w:spacing w:after="0"/>
              <w:rPr>
                <w:rFonts w:ascii="Arial" w:cs="Arial" w:eastAsia="Arial" w:hAnsi="Arial"/>
                <w:sz w:val="14"/>
                <w:szCs w:val="14"/>
                <w:color w:val="0000EE"/>
              </w:rPr>
            </w:pPr>
            <w:hyperlink w:anchor="page92">
              <w:r>
                <w:rPr>
                  <w:rFonts w:ascii="Arial" w:cs="Arial" w:eastAsia="Arial" w:hAnsi="Arial"/>
                  <w:sz w:val="14"/>
                  <w:szCs w:val="14"/>
                  <w:color w:val="0000EE"/>
                </w:rPr>
                <w:t>Certain Factors Affecting Future Earnings</w:t>
              </w:r>
            </w:hyperlink>
          </w:p>
        </w:tc>
        <w:tc>
          <w:tcPr>
            <w:tcW w:w="180" w:type="dxa"/>
            <w:vAlign w:val="bottom"/>
            <w:gridSpan w:val="4"/>
            <w:shd w:val="clear" w:color="auto" w:fill="CCEEFF"/>
          </w:tcPr>
          <w:p>
            <w:pPr>
              <w:jc w:val="center"/>
              <w:spacing w:after="0"/>
              <w:rPr>
                <w:rFonts w:ascii="Arial" w:cs="Arial" w:eastAsia="Arial" w:hAnsi="Arial"/>
                <w:sz w:val="14"/>
                <w:szCs w:val="14"/>
                <w:color w:val="0000EE"/>
                <w:w w:val="89"/>
              </w:rPr>
            </w:pPr>
            <w:hyperlink w:anchor="page92">
              <w:r>
                <w:rPr>
                  <w:rFonts w:ascii="Arial" w:cs="Arial" w:eastAsia="Arial" w:hAnsi="Arial"/>
                  <w:sz w:val="14"/>
                  <w:szCs w:val="14"/>
                  <w:color w:val="0000EE"/>
                  <w:w w:val="89"/>
                </w:rPr>
                <w:t>82</w:t>
              </w:r>
            </w:hyperlink>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34"/>
        </w:trPr>
        <w:tc>
          <w:tcPr>
            <w:tcW w:w="12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c>
          <w:tcPr>
            <w:tcW w:w="46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r>
      <w:tr>
        <w:trPr>
          <w:trHeight w:val="162"/>
        </w:trPr>
        <w:tc>
          <w:tcPr>
            <w:tcW w:w="1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20" w:type="dxa"/>
            <w:vAlign w:val="bottom"/>
            <w:gridSpan w:val="27"/>
          </w:tcPr>
          <w:p>
            <w:pPr>
              <w:spacing w:after="0"/>
              <w:rPr>
                <w:rFonts w:ascii="Arial" w:cs="Arial" w:eastAsia="Arial" w:hAnsi="Arial"/>
                <w:sz w:val="14"/>
                <w:szCs w:val="14"/>
                <w:color w:val="0000EE"/>
              </w:rPr>
            </w:pPr>
            <w:hyperlink w:anchor="page92">
              <w:r>
                <w:rPr>
                  <w:rFonts w:ascii="Arial" w:cs="Arial" w:eastAsia="Arial" w:hAnsi="Arial"/>
                  <w:sz w:val="14"/>
                  <w:szCs w:val="14"/>
                  <w:color w:val="0000EE"/>
                </w:rPr>
                <w:t>Liquidity and Capital Resources</w:t>
              </w:r>
            </w:hyperlink>
          </w:p>
        </w:tc>
        <w:tc>
          <w:tcPr>
            <w:tcW w:w="7200" w:type="dxa"/>
            <w:vAlign w:val="bottom"/>
            <w:gridSpan w:val="10"/>
          </w:tcPr>
          <w:p>
            <w:pPr>
              <w:spacing w:after="0"/>
              <w:rPr>
                <w:sz w:val="14"/>
                <w:szCs w:val="14"/>
                <w:color w:val="auto"/>
              </w:rPr>
            </w:pPr>
          </w:p>
        </w:tc>
        <w:tc>
          <w:tcPr>
            <w:tcW w:w="180" w:type="dxa"/>
            <w:vAlign w:val="bottom"/>
            <w:gridSpan w:val="4"/>
          </w:tcPr>
          <w:p>
            <w:pPr>
              <w:jc w:val="center"/>
              <w:spacing w:after="0"/>
              <w:rPr>
                <w:rFonts w:ascii="Arial" w:cs="Arial" w:eastAsia="Arial" w:hAnsi="Arial"/>
                <w:sz w:val="14"/>
                <w:szCs w:val="14"/>
                <w:color w:val="0000EE"/>
                <w:w w:val="89"/>
              </w:rPr>
            </w:pPr>
            <w:hyperlink w:anchor="page92">
              <w:r>
                <w:rPr>
                  <w:rFonts w:ascii="Arial" w:cs="Arial" w:eastAsia="Arial" w:hAnsi="Arial"/>
                  <w:sz w:val="14"/>
                  <w:szCs w:val="14"/>
                  <w:color w:val="0000EE"/>
                  <w:w w:val="89"/>
                </w:rPr>
                <w:t>82</w:t>
              </w:r>
            </w:hyperlink>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34"/>
        </w:trPr>
        <w:tc>
          <w:tcPr>
            <w:tcW w:w="1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46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62"/>
        </w:trPr>
        <w:tc>
          <w:tcPr>
            <w:tcW w:w="12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Item 3.</w:t>
            </w:r>
          </w:p>
        </w:tc>
        <w:tc>
          <w:tcPr>
            <w:tcW w:w="9820" w:type="dxa"/>
            <w:vAlign w:val="bottom"/>
            <w:gridSpan w:val="38"/>
            <w:shd w:val="clear" w:color="auto" w:fill="CCEEFF"/>
          </w:tcPr>
          <w:p>
            <w:pPr>
              <w:spacing w:after="0"/>
              <w:rPr>
                <w:rFonts w:ascii="Arial" w:cs="Arial" w:eastAsia="Arial" w:hAnsi="Arial"/>
                <w:sz w:val="14"/>
                <w:szCs w:val="14"/>
                <w:color w:val="0000EE"/>
              </w:rPr>
            </w:pPr>
            <w:hyperlink w:anchor="page104">
              <w:r>
                <w:rPr>
                  <w:rFonts w:ascii="Arial" w:cs="Arial" w:eastAsia="Arial" w:hAnsi="Arial"/>
                  <w:sz w:val="14"/>
                  <w:szCs w:val="14"/>
                  <w:color w:val="0000EE"/>
                </w:rPr>
                <w:t>Quantitative and Qualitative Disclosures about Market Risk</w:t>
              </w:r>
            </w:hyperlink>
          </w:p>
        </w:tc>
        <w:tc>
          <w:tcPr>
            <w:tcW w:w="180" w:type="dxa"/>
            <w:vAlign w:val="bottom"/>
            <w:gridSpan w:val="4"/>
            <w:shd w:val="clear" w:color="auto" w:fill="CCEEFF"/>
          </w:tcPr>
          <w:p>
            <w:pPr>
              <w:jc w:val="center"/>
              <w:spacing w:after="0"/>
              <w:rPr>
                <w:rFonts w:ascii="Arial" w:cs="Arial" w:eastAsia="Arial" w:hAnsi="Arial"/>
                <w:sz w:val="14"/>
                <w:szCs w:val="14"/>
                <w:color w:val="0000EE"/>
                <w:w w:val="89"/>
              </w:rPr>
            </w:pPr>
            <w:hyperlink w:anchor="page104">
              <w:r>
                <w:rPr>
                  <w:rFonts w:ascii="Arial" w:cs="Arial" w:eastAsia="Arial" w:hAnsi="Arial"/>
                  <w:sz w:val="14"/>
                  <w:szCs w:val="14"/>
                  <w:color w:val="0000EE"/>
                  <w:w w:val="89"/>
                </w:rPr>
                <w:t>94</w:t>
              </w:r>
            </w:hyperlink>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34"/>
        </w:trPr>
        <w:tc>
          <w:tcPr>
            <w:tcW w:w="12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c>
          <w:tcPr>
            <w:tcW w:w="46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r>
      <w:tr>
        <w:trPr>
          <w:trHeight w:val="162"/>
        </w:trPr>
        <w:tc>
          <w:tcPr>
            <w:tcW w:w="1280" w:type="dxa"/>
            <w:vAlign w:val="bottom"/>
          </w:tcPr>
          <w:p>
            <w:pPr>
              <w:ind w:left="380"/>
              <w:spacing w:after="0"/>
              <w:rPr>
                <w:sz w:val="20"/>
                <w:szCs w:val="20"/>
                <w:color w:val="auto"/>
              </w:rPr>
            </w:pPr>
            <w:r>
              <w:rPr>
                <w:rFonts w:ascii="Arial" w:cs="Arial" w:eastAsia="Arial" w:hAnsi="Arial"/>
                <w:sz w:val="14"/>
                <w:szCs w:val="14"/>
                <w:color w:val="auto"/>
              </w:rPr>
              <w:t>Item 4.</w:t>
            </w:r>
          </w:p>
        </w:tc>
        <w:tc>
          <w:tcPr>
            <w:tcW w:w="3440" w:type="dxa"/>
            <w:vAlign w:val="bottom"/>
            <w:gridSpan w:val="33"/>
          </w:tcPr>
          <w:p>
            <w:pPr>
              <w:spacing w:after="0"/>
              <w:rPr>
                <w:rFonts w:ascii="Arial" w:cs="Arial" w:eastAsia="Arial" w:hAnsi="Arial"/>
                <w:sz w:val="14"/>
                <w:szCs w:val="14"/>
                <w:color w:val="0000EE"/>
              </w:rPr>
            </w:pPr>
            <w:hyperlink w:anchor="page105">
              <w:r>
                <w:rPr>
                  <w:rFonts w:ascii="Arial" w:cs="Arial" w:eastAsia="Arial" w:hAnsi="Arial"/>
                  <w:sz w:val="14"/>
                  <w:szCs w:val="14"/>
                  <w:color w:val="0000EE"/>
                </w:rPr>
                <w:t>Controls and Procedures</w:t>
              </w:r>
            </w:hyperlink>
          </w:p>
        </w:tc>
        <w:tc>
          <w:tcPr>
            <w:tcW w:w="6380" w:type="dxa"/>
            <w:vAlign w:val="bottom"/>
            <w:gridSpan w:val="5"/>
          </w:tcPr>
          <w:p>
            <w:pPr>
              <w:spacing w:after="0"/>
              <w:rPr>
                <w:sz w:val="14"/>
                <w:szCs w:val="14"/>
                <w:color w:val="auto"/>
              </w:rPr>
            </w:pPr>
          </w:p>
        </w:tc>
        <w:tc>
          <w:tcPr>
            <w:tcW w:w="180" w:type="dxa"/>
            <w:vAlign w:val="bottom"/>
            <w:gridSpan w:val="4"/>
          </w:tcPr>
          <w:p>
            <w:pPr>
              <w:jc w:val="center"/>
              <w:spacing w:after="0"/>
              <w:rPr>
                <w:rFonts w:ascii="Arial" w:cs="Arial" w:eastAsia="Arial" w:hAnsi="Arial"/>
                <w:sz w:val="14"/>
                <w:szCs w:val="14"/>
                <w:color w:val="0000EE"/>
                <w:w w:val="89"/>
              </w:rPr>
            </w:pPr>
            <w:hyperlink w:anchor="page105">
              <w:r>
                <w:rPr>
                  <w:rFonts w:ascii="Arial" w:cs="Arial" w:eastAsia="Arial" w:hAnsi="Arial"/>
                  <w:sz w:val="14"/>
                  <w:szCs w:val="14"/>
                  <w:color w:val="0000EE"/>
                  <w:w w:val="89"/>
                </w:rPr>
                <w:t>95</w:t>
              </w:r>
            </w:hyperlink>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34"/>
        </w:trPr>
        <w:tc>
          <w:tcPr>
            <w:tcW w:w="1280" w:type="dxa"/>
            <w:vAlign w:val="bottom"/>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46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1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gridSpan w:val="3"/>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3"/>
        </w:trPr>
        <w:tc>
          <w:tcPr>
            <w:tcW w:w="1280" w:type="dxa"/>
            <w:vAlign w:val="bottom"/>
          </w:tcPr>
          <w:p>
            <w:pPr>
              <w:ind w:left="20"/>
              <w:spacing w:after="0"/>
              <w:rPr>
                <w:sz w:val="20"/>
                <w:szCs w:val="20"/>
                <w:color w:val="auto"/>
              </w:rPr>
            </w:pPr>
            <w:r>
              <w:rPr>
                <w:rFonts w:ascii="Arial" w:cs="Arial" w:eastAsia="Arial" w:hAnsi="Arial"/>
                <w:sz w:val="14"/>
                <w:szCs w:val="14"/>
                <w:b w:val="1"/>
                <w:bCs w:val="1"/>
                <w:color w:val="auto"/>
              </w:rPr>
              <w:t>PART II.</w:t>
            </w:r>
          </w:p>
        </w:tc>
        <w:tc>
          <w:tcPr>
            <w:tcW w:w="9820" w:type="dxa"/>
            <w:vAlign w:val="bottom"/>
            <w:gridSpan w:val="38"/>
          </w:tcPr>
          <w:p>
            <w:pPr>
              <w:spacing w:after="0"/>
              <w:rPr>
                <w:sz w:val="20"/>
                <w:szCs w:val="20"/>
                <w:color w:val="auto"/>
              </w:rPr>
            </w:pPr>
            <w:r>
              <w:rPr>
                <w:rFonts w:ascii="Arial" w:cs="Arial" w:eastAsia="Arial" w:hAnsi="Arial"/>
                <w:sz w:val="14"/>
                <w:szCs w:val="14"/>
                <w:b w:val="1"/>
                <w:bCs w:val="1"/>
                <w:color w:val="auto"/>
              </w:rPr>
              <w:t>OTHER INFORMATION</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
        </w:trPr>
        <w:tc>
          <w:tcPr>
            <w:tcW w:w="1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2"/>
        </w:trPr>
        <w:tc>
          <w:tcPr>
            <w:tcW w:w="12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Item 1.</w:t>
            </w:r>
          </w:p>
        </w:tc>
        <w:tc>
          <w:tcPr>
            <w:tcW w:w="1080" w:type="dxa"/>
            <w:vAlign w:val="bottom"/>
            <w:gridSpan w:val="9"/>
            <w:shd w:val="clear" w:color="auto" w:fill="CCEEFF"/>
          </w:tcPr>
          <w:p>
            <w:pPr>
              <w:spacing w:after="0"/>
              <w:rPr>
                <w:rFonts w:ascii="Arial" w:cs="Arial" w:eastAsia="Arial" w:hAnsi="Arial"/>
                <w:sz w:val="14"/>
                <w:szCs w:val="14"/>
                <w:color w:val="0000EE"/>
                <w:w w:val="91"/>
              </w:rPr>
            </w:pPr>
            <w:hyperlink w:anchor="page106">
              <w:r>
                <w:rPr>
                  <w:rFonts w:ascii="Arial" w:cs="Arial" w:eastAsia="Arial" w:hAnsi="Arial"/>
                  <w:sz w:val="14"/>
                  <w:szCs w:val="14"/>
                  <w:color w:val="0000EE"/>
                  <w:w w:val="91"/>
                </w:rPr>
                <w:t>Legal Proceedings</w:t>
              </w:r>
            </w:hyperlink>
          </w:p>
        </w:tc>
        <w:tc>
          <w:tcPr>
            <w:tcW w:w="8740" w:type="dxa"/>
            <w:vAlign w:val="bottom"/>
            <w:gridSpan w:val="29"/>
            <w:shd w:val="clear" w:color="auto" w:fill="CCEEFF"/>
          </w:tcPr>
          <w:p>
            <w:pPr>
              <w:spacing w:after="0"/>
              <w:rPr>
                <w:sz w:val="14"/>
                <w:szCs w:val="14"/>
                <w:color w:val="auto"/>
              </w:rPr>
            </w:pPr>
          </w:p>
        </w:tc>
        <w:tc>
          <w:tcPr>
            <w:tcW w:w="180" w:type="dxa"/>
            <w:vAlign w:val="bottom"/>
            <w:gridSpan w:val="4"/>
            <w:shd w:val="clear" w:color="auto" w:fill="CCEEFF"/>
          </w:tcPr>
          <w:p>
            <w:pPr>
              <w:jc w:val="center"/>
              <w:spacing w:after="0"/>
              <w:rPr>
                <w:rFonts w:ascii="Arial" w:cs="Arial" w:eastAsia="Arial" w:hAnsi="Arial"/>
                <w:sz w:val="14"/>
                <w:szCs w:val="14"/>
                <w:color w:val="0000EE"/>
                <w:w w:val="89"/>
              </w:rPr>
            </w:pPr>
            <w:hyperlink w:anchor="page106">
              <w:r>
                <w:rPr>
                  <w:rFonts w:ascii="Arial" w:cs="Arial" w:eastAsia="Arial" w:hAnsi="Arial"/>
                  <w:sz w:val="14"/>
                  <w:szCs w:val="14"/>
                  <w:color w:val="0000EE"/>
                  <w:w w:val="89"/>
                </w:rPr>
                <w:t>96</w:t>
              </w:r>
            </w:hyperlink>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34"/>
        </w:trPr>
        <w:tc>
          <w:tcPr>
            <w:tcW w:w="12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c>
          <w:tcPr>
            <w:tcW w:w="46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r>
      <w:tr>
        <w:trPr>
          <w:trHeight w:val="162"/>
        </w:trPr>
        <w:tc>
          <w:tcPr>
            <w:tcW w:w="1280" w:type="dxa"/>
            <w:vAlign w:val="bottom"/>
          </w:tcPr>
          <w:p>
            <w:pPr>
              <w:ind w:left="380"/>
              <w:spacing w:after="0"/>
              <w:rPr>
                <w:sz w:val="20"/>
                <w:szCs w:val="20"/>
                <w:color w:val="auto"/>
              </w:rPr>
            </w:pPr>
            <w:r>
              <w:rPr>
                <w:rFonts w:ascii="Arial" w:cs="Arial" w:eastAsia="Arial" w:hAnsi="Arial"/>
                <w:sz w:val="14"/>
                <w:szCs w:val="14"/>
                <w:color w:val="auto"/>
              </w:rPr>
              <w:t>Item 1A.</w:t>
            </w:r>
          </w:p>
        </w:tc>
        <w:tc>
          <w:tcPr>
            <w:tcW w:w="1080" w:type="dxa"/>
            <w:vAlign w:val="bottom"/>
            <w:gridSpan w:val="9"/>
          </w:tcPr>
          <w:p>
            <w:pPr>
              <w:spacing w:after="0"/>
              <w:rPr>
                <w:rFonts w:ascii="Arial" w:cs="Arial" w:eastAsia="Arial" w:hAnsi="Arial"/>
                <w:sz w:val="14"/>
                <w:szCs w:val="14"/>
                <w:color w:val="0000EE"/>
              </w:rPr>
            </w:pPr>
            <w:hyperlink w:anchor="page106">
              <w:r>
                <w:rPr>
                  <w:rFonts w:ascii="Arial" w:cs="Arial" w:eastAsia="Arial" w:hAnsi="Arial"/>
                  <w:sz w:val="14"/>
                  <w:szCs w:val="14"/>
                  <w:color w:val="0000EE"/>
                </w:rPr>
                <w:t>Risk Factors</w:t>
              </w:r>
            </w:hyperlink>
          </w:p>
        </w:tc>
        <w:tc>
          <w:tcPr>
            <w:tcW w:w="8740" w:type="dxa"/>
            <w:vAlign w:val="bottom"/>
            <w:gridSpan w:val="29"/>
          </w:tcPr>
          <w:p>
            <w:pPr>
              <w:spacing w:after="0"/>
              <w:rPr>
                <w:sz w:val="14"/>
                <w:szCs w:val="14"/>
                <w:color w:val="auto"/>
              </w:rPr>
            </w:pPr>
          </w:p>
        </w:tc>
        <w:tc>
          <w:tcPr>
            <w:tcW w:w="180" w:type="dxa"/>
            <w:vAlign w:val="bottom"/>
            <w:gridSpan w:val="4"/>
          </w:tcPr>
          <w:p>
            <w:pPr>
              <w:jc w:val="center"/>
              <w:spacing w:after="0"/>
              <w:rPr>
                <w:rFonts w:ascii="Arial" w:cs="Arial" w:eastAsia="Arial" w:hAnsi="Arial"/>
                <w:sz w:val="14"/>
                <w:szCs w:val="14"/>
                <w:color w:val="0000EE"/>
                <w:w w:val="89"/>
              </w:rPr>
            </w:pPr>
            <w:hyperlink w:anchor="page106">
              <w:r>
                <w:rPr>
                  <w:rFonts w:ascii="Arial" w:cs="Arial" w:eastAsia="Arial" w:hAnsi="Arial"/>
                  <w:sz w:val="14"/>
                  <w:szCs w:val="14"/>
                  <w:color w:val="0000EE"/>
                  <w:w w:val="89"/>
                </w:rPr>
                <w:t>96</w:t>
              </w:r>
            </w:hyperlink>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34"/>
        </w:trPr>
        <w:tc>
          <w:tcPr>
            <w:tcW w:w="1280" w:type="dxa"/>
            <w:vAlign w:val="bottom"/>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46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62"/>
        </w:trPr>
        <w:tc>
          <w:tcPr>
            <w:tcW w:w="12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Item 6.</w:t>
            </w:r>
          </w:p>
        </w:tc>
        <w:tc>
          <w:tcPr>
            <w:tcW w:w="9820" w:type="dxa"/>
            <w:vAlign w:val="bottom"/>
            <w:gridSpan w:val="38"/>
            <w:shd w:val="clear" w:color="auto" w:fill="CCEEFF"/>
          </w:tcPr>
          <w:p>
            <w:pPr>
              <w:spacing w:after="0"/>
              <w:rPr>
                <w:rFonts w:ascii="Arial" w:cs="Arial" w:eastAsia="Arial" w:hAnsi="Arial"/>
                <w:sz w:val="14"/>
                <w:szCs w:val="14"/>
                <w:color w:val="0000EE"/>
              </w:rPr>
            </w:pPr>
            <w:hyperlink w:anchor="page107">
              <w:r>
                <w:rPr>
                  <w:rFonts w:ascii="Arial" w:cs="Arial" w:eastAsia="Arial" w:hAnsi="Arial"/>
                  <w:sz w:val="14"/>
                  <w:szCs w:val="14"/>
                  <w:color w:val="0000EE"/>
                </w:rPr>
                <w:t>Exhibits</w:t>
              </w:r>
            </w:hyperlink>
          </w:p>
        </w:tc>
        <w:tc>
          <w:tcPr>
            <w:tcW w:w="180" w:type="dxa"/>
            <w:vAlign w:val="bottom"/>
            <w:gridSpan w:val="4"/>
            <w:shd w:val="clear" w:color="auto" w:fill="CCEEFF"/>
          </w:tcPr>
          <w:p>
            <w:pPr>
              <w:jc w:val="center"/>
              <w:spacing w:after="0"/>
              <w:rPr>
                <w:rFonts w:ascii="Arial" w:cs="Arial" w:eastAsia="Arial" w:hAnsi="Arial"/>
                <w:sz w:val="14"/>
                <w:szCs w:val="14"/>
                <w:color w:val="0000EE"/>
                <w:w w:val="89"/>
              </w:rPr>
            </w:pPr>
            <w:hyperlink w:anchor="page107">
              <w:r>
                <w:rPr>
                  <w:rFonts w:ascii="Arial" w:cs="Arial" w:eastAsia="Arial" w:hAnsi="Arial"/>
                  <w:sz w:val="14"/>
                  <w:szCs w:val="14"/>
                  <w:color w:val="0000EE"/>
                  <w:w w:val="89"/>
                </w:rPr>
                <w:t>97</w:t>
              </w:r>
            </w:hyperlink>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34"/>
        </w:trPr>
        <w:tc>
          <w:tcPr>
            <w:tcW w:w="12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c>
          <w:tcPr>
            <w:tcW w:w="46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r>
      <w:tr>
        <w:trPr>
          <w:trHeight w:val="162"/>
        </w:trPr>
        <w:tc>
          <w:tcPr>
            <w:tcW w:w="1280" w:type="dxa"/>
            <w:vAlign w:val="bottom"/>
          </w:tcPr>
          <w:p>
            <w:pPr>
              <w:spacing w:after="0"/>
              <w:rPr>
                <w:sz w:val="14"/>
                <w:szCs w:val="14"/>
                <w:color w:val="auto"/>
              </w:rPr>
            </w:pPr>
          </w:p>
        </w:tc>
        <w:tc>
          <w:tcPr>
            <w:tcW w:w="620" w:type="dxa"/>
            <w:vAlign w:val="bottom"/>
            <w:tcBorders>
              <w:bottom w:val="single" w:sz="8" w:color="0000EE"/>
            </w:tcBorders>
            <w:gridSpan w:val="5"/>
          </w:tcPr>
          <w:p>
            <w:pPr>
              <w:spacing w:after="0"/>
              <w:rPr>
                <w:rFonts w:ascii="Arial" w:cs="Arial" w:eastAsia="Arial" w:hAnsi="Arial"/>
                <w:sz w:val="14"/>
                <w:szCs w:val="14"/>
                <w:color w:val="0000EE"/>
                <w:w w:val="89"/>
              </w:rPr>
            </w:pPr>
            <w:hyperlink w:anchor="page111">
              <w:r>
                <w:rPr>
                  <w:rFonts w:ascii="Arial" w:cs="Arial" w:eastAsia="Arial" w:hAnsi="Arial"/>
                  <w:sz w:val="14"/>
                  <w:szCs w:val="14"/>
                  <w:color w:val="0000EE"/>
                  <w:w w:val="89"/>
                </w:rPr>
                <w:t>Signatures</w:t>
              </w:r>
            </w:hyperlink>
          </w:p>
        </w:tc>
        <w:tc>
          <w:tcPr>
            <w:tcW w:w="9200" w:type="dxa"/>
            <w:vAlign w:val="bottom"/>
            <w:gridSpan w:val="33"/>
          </w:tcPr>
          <w:p>
            <w:pPr>
              <w:spacing w:after="0"/>
              <w:rPr>
                <w:sz w:val="14"/>
                <w:szCs w:val="14"/>
                <w:color w:val="auto"/>
              </w:rPr>
            </w:pPr>
          </w:p>
        </w:tc>
        <w:tc>
          <w:tcPr>
            <w:tcW w:w="220" w:type="dxa"/>
            <w:vAlign w:val="bottom"/>
            <w:tcBorders>
              <w:bottom w:val="single" w:sz="8" w:color="0000EE"/>
            </w:tcBorders>
            <w:gridSpan w:val="5"/>
          </w:tcPr>
          <w:p>
            <w:pPr>
              <w:jc w:val="center"/>
              <w:spacing w:after="0"/>
              <w:rPr>
                <w:rFonts w:ascii="Arial" w:cs="Arial" w:eastAsia="Arial" w:hAnsi="Arial"/>
                <w:sz w:val="14"/>
                <w:szCs w:val="14"/>
                <w:color w:val="0000EE"/>
                <w:w w:val="93"/>
              </w:rPr>
            </w:pPr>
            <w:hyperlink w:anchor="page111">
              <w:r>
                <w:rPr>
                  <w:rFonts w:ascii="Arial" w:cs="Arial" w:eastAsia="Arial" w:hAnsi="Arial"/>
                  <w:sz w:val="14"/>
                  <w:szCs w:val="14"/>
                  <w:color w:val="0000EE"/>
                  <w:w w:val="93"/>
                </w:rPr>
                <w:t>101</w:t>
              </w:r>
            </w:hyperlink>
          </w:p>
        </w:tc>
        <w:tc>
          <w:tcPr>
            <w:tcW w:w="100" w:type="dxa"/>
            <w:vAlign w:val="bottom"/>
          </w:tcPr>
          <w:p>
            <w:pPr>
              <w:spacing w:after="0"/>
              <w:rPr>
                <w:sz w:val="14"/>
                <w:szCs w:val="14"/>
                <w:color w:val="auto"/>
              </w:rPr>
            </w:pPr>
          </w:p>
        </w:tc>
      </w:tr>
    </w:tbl>
    <w:p>
      <w:pPr>
        <w:spacing w:after="0" w:line="35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i</w:t>
      </w:r>
    </w:p>
    <w:p>
      <w:pPr>
        <w:sectPr>
          <w:pgSz w:w="11900" w:h="16838" w:orient="portrait"/>
          <w:cols w:equalWidth="0" w:num="1">
            <w:col w:w="11420"/>
          </w:cols>
          <w:pgMar w:left="220" w:top="319" w:right="25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82"/>
        </w:trPr>
        <w:tc>
          <w:tcPr>
            <w:tcW w:w="3240" w:type="dxa"/>
            <w:vAlign w:val="bottom"/>
          </w:tcPr>
          <w:p>
            <w:pPr>
              <w:spacing w:after="0"/>
              <w:rPr>
                <w:sz w:val="15"/>
                <w:szCs w:val="15"/>
                <w:color w:val="auto"/>
              </w:rPr>
            </w:pPr>
          </w:p>
        </w:tc>
        <w:tc>
          <w:tcPr>
            <w:tcW w:w="8140" w:type="dxa"/>
            <w:vAlign w:val="bottom"/>
          </w:tcPr>
          <w:p>
            <w:pPr>
              <w:ind w:left="2080"/>
              <w:spacing w:after="0"/>
              <w:rPr>
                <w:sz w:val="20"/>
                <w:szCs w:val="20"/>
                <w:color w:val="auto"/>
              </w:rPr>
            </w:pPr>
            <w:r>
              <w:rPr>
                <w:rFonts w:ascii="Arial" w:cs="Arial" w:eastAsia="Arial" w:hAnsi="Arial"/>
                <w:sz w:val="14"/>
                <w:szCs w:val="14"/>
                <w:b w:val="1"/>
                <w:bCs w:val="1"/>
                <w:i w:val="1"/>
                <w:iCs w:val="1"/>
                <w:color w:val="auto"/>
              </w:rPr>
              <w:t>GLOSSARY</w:t>
            </w:r>
          </w:p>
        </w:tc>
      </w:tr>
      <w:tr>
        <w:trPr>
          <w:trHeight w:val="23"/>
        </w:trPr>
        <w:tc>
          <w:tcPr>
            <w:tcW w:w="3240" w:type="dxa"/>
            <w:vAlign w:val="bottom"/>
            <w:tcBorders>
              <w:bottom w:val="single" w:sz="8" w:color="auto"/>
            </w:tcBorders>
          </w:tcPr>
          <w:p>
            <w:pPr>
              <w:spacing w:after="0" w:line="20" w:lineRule="exact"/>
              <w:rPr>
                <w:sz w:val="1"/>
                <w:szCs w:val="1"/>
                <w:color w:val="auto"/>
              </w:rPr>
            </w:pPr>
          </w:p>
        </w:tc>
        <w:tc>
          <w:tcPr>
            <w:tcW w:w="8140" w:type="dxa"/>
            <w:vAlign w:val="bottom"/>
            <w:tcBorders>
              <w:bottom w:val="single" w:sz="8" w:color="auto"/>
            </w:tcBorders>
          </w:tcPr>
          <w:p>
            <w:pPr>
              <w:spacing w:after="0" w:line="20" w:lineRule="exact"/>
              <w:rPr>
                <w:sz w:val="1"/>
                <w:szCs w:val="1"/>
                <w:color w:val="auto"/>
              </w:rPr>
            </w:pPr>
          </w:p>
        </w:tc>
      </w:tr>
      <w:tr>
        <w:trPr>
          <w:trHeight w:val="186"/>
        </w:trPr>
        <w:tc>
          <w:tcPr>
            <w:tcW w:w="3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i w:val="1"/>
                <w:iCs w:val="1"/>
                <w:color w:val="auto"/>
              </w:rPr>
              <w:t>ACE</w:t>
            </w:r>
          </w:p>
        </w:tc>
        <w:tc>
          <w:tcPr>
            <w:tcW w:w="8140" w:type="dxa"/>
            <w:vAlign w:val="bottom"/>
            <w:tcBorders>
              <w:bottom w:val="single" w:sz="8" w:color="CCEEFF"/>
            </w:tcBorders>
            <w:shd w:val="clear" w:color="auto" w:fill="CCEEFF"/>
          </w:tcPr>
          <w:p>
            <w:pPr>
              <w:ind w:left="1460"/>
              <w:spacing w:after="0"/>
              <w:rPr>
                <w:sz w:val="20"/>
                <w:szCs w:val="20"/>
                <w:color w:val="auto"/>
              </w:rPr>
            </w:pPr>
            <w:r>
              <w:rPr>
                <w:rFonts w:ascii="Arial" w:cs="Arial" w:eastAsia="Arial" w:hAnsi="Arial"/>
                <w:sz w:val="14"/>
                <w:szCs w:val="14"/>
                <w:color w:val="auto"/>
              </w:rPr>
              <w:t>Affordable Clean Energy</w:t>
            </w:r>
          </w:p>
        </w:tc>
      </w:tr>
      <w:tr>
        <w:trPr>
          <w:trHeight w:val="193"/>
        </w:trPr>
        <w:tc>
          <w:tcPr>
            <w:tcW w:w="324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ALJ</w:t>
            </w:r>
          </w:p>
        </w:tc>
        <w:tc>
          <w:tcPr>
            <w:tcW w:w="8140" w:type="dxa"/>
            <w:vAlign w:val="bottom"/>
          </w:tcPr>
          <w:p>
            <w:pPr>
              <w:ind w:left="1460"/>
              <w:spacing w:after="0"/>
              <w:rPr>
                <w:sz w:val="20"/>
                <w:szCs w:val="20"/>
                <w:color w:val="auto"/>
              </w:rPr>
            </w:pPr>
            <w:r>
              <w:rPr>
                <w:rFonts w:ascii="Arial" w:cs="Arial" w:eastAsia="Arial" w:hAnsi="Arial"/>
                <w:sz w:val="14"/>
                <w:szCs w:val="14"/>
                <w:color w:val="auto"/>
              </w:rPr>
              <w:t>Administrative Law Judge</w:t>
            </w:r>
          </w:p>
        </w:tc>
      </w:tr>
      <w:tr>
        <w:trPr>
          <w:trHeight w:val="23"/>
        </w:trPr>
        <w:tc>
          <w:tcPr>
            <w:tcW w:w="3240" w:type="dxa"/>
            <w:vAlign w:val="bottom"/>
          </w:tcPr>
          <w:p>
            <w:pPr>
              <w:spacing w:after="0" w:line="20" w:lineRule="exact"/>
              <w:rPr>
                <w:sz w:val="1"/>
                <w:szCs w:val="1"/>
                <w:color w:val="auto"/>
              </w:rPr>
            </w:pPr>
          </w:p>
        </w:tc>
        <w:tc>
          <w:tcPr>
            <w:tcW w:w="8140" w:type="dxa"/>
            <w:vAlign w:val="bottom"/>
          </w:tcPr>
          <w:p>
            <w:pPr>
              <w:spacing w:after="0" w:line="20" w:lineRule="exact"/>
              <w:rPr>
                <w:sz w:val="1"/>
                <w:szCs w:val="1"/>
                <w:color w:val="auto"/>
              </w:rPr>
            </w:pPr>
          </w:p>
        </w:tc>
      </w:tr>
      <w:tr>
        <w:trPr>
          <w:trHeight w:val="196"/>
        </w:trPr>
        <w:tc>
          <w:tcPr>
            <w:tcW w:w="3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i w:val="1"/>
                <w:iCs w:val="1"/>
                <w:color w:val="auto"/>
              </w:rPr>
              <w:t>AMA</w:t>
            </w:r>
          </w:p>
        </w:tc>
        <w:tc>
          <w:tcPr>
            <w:tcW w:w="8140" w:type="dxa"/>
            <w:vAlign w:val="bottom"/>
            <w:tcBorders>
              <w:bottom w:val="single" w:sz="8" w:color="CCEEFF"/>
            </w:tcBorders>
            <w:shd w:val="clear" w:color="auto" w:fill="CCEEFF"/>
          </w:tcPr>
          <w:p>
            <w:pPr>
              <w:ind w:left="1460"/>
              <w:spacing w:after="0"/>
              <w:rPr>
                <w:sz w:val="20"/>
                <w:szCs w:val="20"/>
                <w:color w:val="auto"/>
              </w:rPr>
            </w:pPr>
            <w:r>
              <w:rPr>
                <w:rFonts w:ascii="Arial" w:cs="Arial" w:eastAsia="Arial" w:hAnsi="Arial"/>
                <w:sz w:val="14"/>
                <w:szCs w:val="14"/>
                <w:color w:val="auto"/>
              </w:rPr>
              <w:t>Asset Management Agreement</w:t>
            </w:r>
          </w:p>
        </w:tc>
      </w:tr>
      <w:tr>
        <w:trPr>
          <w:trHeight w:val="193"/>
        </w:trPr>
        <w:tc>
          <w:tcPr>
            <w:tcW w:w="324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AMS</w:t>
            </w:r>
          </w:p>
        </w:tc>
        <w:tc>
          <w:tcPr>
            <w:tcW w:w="8140" w:type="dxa"/>
            <w:vAlign w:val="bottom"/>
          </w:tcPr>
          <w:p>
            <w:pPr>
              <w:ind w:left="1460"/>
              <w:spacing w:after="0"/>
              <w:rPr>
                <w:sz w:val="20"/>
                <w:szCs w:val="20"/>
                <w:color w:val="auto"/>
              </w:rPr>
            </w:pPr>
            <w:r>
              <w:rPr>
                <w:rFonts w:ascii="Arial" w:cs="Arial" w:eastAsia="Arial" w:hAnsi="Arial"/>
                <w:sz w:val="14"/>
                <w:szCs w:val="14"/>
                <w:color w:val="auto"/>
              </w:rPr>
              <w:t>Advanced Metering System</w:t>
            </w:r>
          </w:p>
        </w:tc>
      </w:tr>
      <w:tr>
        <w:trPr>
          <w:trHeight w:val="23"/>
        </w:trPr>
        <w:tc>
          <w:tcPr>
            <w:tcW w:w="3240" w:type="dxa"/>
            <w:vAlign w:val="bottom"/>
          </w:tcPr>
          <w:p>
            <w:pPr>
              <w:spacing w:after="0" w:line="20" w:lineRule="exact"/>
              <w:rPr>
                <w:sz w:val="1"/>
                <w:szCs w:val="1"/>
                <w:color w:val="auto"/>
              </w:rPr>
            </w:pPr>
          </w:p>
        </w:tc>
        <w:tc>
          <w:tcPr>
            <w:tcW w:w="8140" w:type="dxa"/>
            <w:vAlign w:val="bottom"/>
          </w:tcPr>
          <w:p>
            <w:pPr>
              <w:spacing w:after="0" w:line="20" w:lineRule="exact"/>
              <w:rPr>
                <w:sz w:val="1"/>
                <w:szCs w:val="1"/>
                <w:color w:val="auto"/>
              </w:rPr>
            </w:pPr>
          </w:p>
        </w:tc>
      </w:tr>
      <w:tr>
        <w:trPr>
          <w:trHeight w:val="196"/>
        </w:trPr>
        <w:tc>
          <w:tcPr>
            <w:tcW w:w="3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i w:val="1"/>
                <w:iCs w:val="1"/>
                <w:color w:val="auto"/>
              </w:rPr>
              <w:t>APSC</w:t>
            </w:r>
          </w:p>
        </w:tc>
        <w:tc>
          <w:tcPr>
            <w:tcW w:w="8140" w:type="dxa"/>
            <w:vAlign w:val="bottom"/>
            <w:tcBorders>
              <w:bottom w:val="single" w:sz="8" w:color="CCEEFF"/>
            </w:tcBorders>
            <w:shd w:val="clear" w:color="auto" w:fill="CCEEFF"/>
          </w:tcPr>
          <w:p>
            <w:pPr>
              <w:ind w:left="1460"/>
              <w:spacing w:after="0"/>
              <w:rPr>
                <w:sz w:val="20"/>
                <w:szCs w:val="20"/>
                <w:color w:val="auto"/>
              </w:rPr>
            </w:pPr>
            <w:r>
              <w:rPr>
                <w:rFonts w:ascii="Arial" w:cs="Arial" w:eastAsia="Arial" w:hAnsi="Arial"/>
                <w:sz w:val="14"/>
                <w:szCs w:val="14"/>
                <w:color w:val="auto"/>
              </w:rPr>
              <w:t>Arkansas Public Service Commission</w:t>
            </w:r>
          </w:p>
        </w:tc>
      </w:tr>
      <w:tr>
        <w:trPr>
          <w:trHeight w:val="193"/>
        </w:trPr>
        <w:tc>
          <w:tcPr>
            <w:tcW w:w="324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ARO</w:t>
            </w:r>
          </w:p>
        </w:tc>
        <w:tc>
          <w:tcPr>
            <w:tcW w:w="8140" w:type="dxa"/>
            <w:vAlign w:val="bottom"/>
          </w:tcPr>
          <w:p>
            <w:pPr>
              <w:ind w:left="1460"/>
              <w:spacing w:after="0"/>
              <w:rPr>
                <w:sz w:val="20"/>
                <w:szCs w:val="20"/>
                <w:color w:val="auto"/>
              </w:rPr>
            </w:pPr>
            <w:r>
              <w:rPr>
                <w:rFonts w:ascii="Arial" w:cs="Arial" w:eastAsia="Arial" w:hAnsi="Arial"/>
                <w:sz w:val="14"/>
                <w:szCs w:val="14"/>
                <w:color w:val="auto"/>
              </w:rPr>
              <w:t>Asset retirement obligation</w:t>
            </w:r>
          </w:p>
        </w:tc>
      </w:tr>
      <w:tr>
        <w:trPr>
          <w:trHeight w:val="23"/>
        </w:trPr>
        <w:tc>
          <w:tcPr>
            <w:tcW w:w="3240" w:type="dxa"/>
            <w:vAlign w:val="bottom"/>
          </w:tcPr>
          <w:p>
            <w:pPr>
              <w:spacing w:after="0" w:line="20" w:lineRule="exact"/>
              <w:rPr>
                <w:sz w:val="1"/>
                <w:szCs w:val="1"/>
                <w:color w:val="auto"/>
              </w:rPr>
            </w:pPr>
          </w:p>
        </w:tc>
        <w:tc>
          <w:tcPr>
            <w:tcW w:w="8140" w:type="dxa"/>
            <w:vAlign w:val="bottom"/>
          </w:tcPr>
          <w:p>
            <w:pPr>
              <w:spacing w:after="0" w:line="20" w:lineRule="exact"/>
              <w:rPr>
                <w:sz w:val="1"/>
                <w:szCs w:val="1"/>
                <w:color w:val="auto"/>
              </w:rPr>
            </w:pPr>
          </w:p>
        </w:tc>
      </w:tr>
      <w:tr>
        <w:trPr>
          <w:trHeight w:val="196"/>
        </w:trPr>
        <w:tc>
          <w:tcPr>
            <w:tcW w:w="3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i w:val="1"/>
                <w:iCs w:val="1"/>
                <w:color w:val="auto"/>
              </w:rPr>
              <w:t>ARP</w:t>
            </w:r>
          </w:p>
        </w:tc>
        <w:tc>
          <w:tcPr>
            <w:tcW w:w="8140" w:type="dxa"/>
            <w:vAlign w:val="bottom"/>
            <w:tcBorders>
              <w:bottom w:val="single" w:sz="8" w:color="CCEEFF"/>
            </w:tcBorders>
            <w:shd w:val="clear" w:color="auto" w:fill="CCEEFF"/>
          </w:tcPr>
          <w:p>
            <w:pPr>
              <w:ind w:left="1460"/>
              <w:spacing w:after="0"/>
              <w:rPr>
                <w:sz w:val="20"/>
                <w:szCs w:val="20"/>
                <w:color w:val="auto"/>
              </w:rPr>
            </w:pPr>
            <w:r>
              <w:rPr>
                <w:rFonts w:ascii="Arial" w:cs="Arial" w:eastAsia="Arial" w:hAnsi="Arial"/>
                <w:sz w:val="14"/>
                <w:szCs w:val="14"/>
                <w:color w:val="auto"/>
              </w:rPr>
              <w:t>Alternative revenue program</w:t>
            </w:r>
          </w:p>
        </w:tc>
      </w:tr>
      <w:tr>
        <w:trPr>
          <w:trHeight w:val="193"/>
        </w:trPr>
        <w:tc>
          <w:tcPr>
            <w:tcW w:w="324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ASC</w:t>
            </w:r>
          </w:p>
        </w:tc>
        <w:tc>
          <w:tcPr>
            <w:tcW w:w="8140" w:type="dxa"/>
            <w:vAlign w:val="bottom"/>
          </w:tcPr>
          <w:p>
            <w:pPr>
              <w:ind w:left="1460"/>
              <w:spacing w:after="0"/>
              <w:rPr>
                <w:sz w:val="20"/>
                <w:szCs w:val="20"/>
                <w:color w:val="auto"/>
              </w:rPr>
            </w:pPr>
            <w:r>
              <w:rPr>
                <w:rFonts w:ascii="Arial" w:cs="Arial" w:eastAsia="Arial" w:hAnsi="Arial"/>
                <w:sz w:val="14"/>
                <w:szCs w:val="14"/>
                <w:color w:val="auto"/>
              </w:rPr>
              <w:t>Accounting Standards Codification</w:t>
            </w:r>
          </w:p>
        </w:tc>
      </w:tr>
      <w:tr>
        <w:trPr>
          <w:trHeight w:val="23"/>
        </w:trPr>
        <w:tc>
          <w:tcPr>
            <w:tcW w:w="3240" w:type="dxa"/>
            <w:vAlign w:val="bottom"/>
          </w:tcPr>
          <w:p>
            <w:pPr>
              <w:spacing w:after="0" w:line="20" w:lineRule="exact"/>
              <w:rPr>
                <w:sz w:val="1"/>
                <w:szCs w:val="1"/>
                <w:color w:val="auto"/>
              </w:rPr>
            </w:pPr>
          </w:p>
        </w:tc>
        <w:tc>
          <w:tcPr>
            <w:tcW w:w="8140" w:type="dxa"/>
            <w:vAlign w:val="bottom"/>
          </w:tcPr>
          <w:p>
            <w:pPr>
              <w:spacing w:after="0" w:line="20" w:lineRule="exact"/>
              <w:rPr>
                <w:sz w:val="1"/>
                <w:szCs w:val="1"/>
                <w:color w:val="auto"/>
              </w:rPr>
            </w:pPr>
          </w:p>
        </w:tc>
      </w:tr>
      <w:tr>
        <w:trPr>
          <w:trHeight w:val="196"/>
        </w:trPr>
        <w:tc>
          <w:tcPr>
            <w:tcW w:w="3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i w:val="1"/>
                <w:iCs w:val="1"/>
                <w:color w:val="auto"/>
              </w:rPr>
              <w:t>ASU</w:t>
            </w:r>
          </w:p>
        </w:tc>
        <w:tc>
          <w:tcPr>
            <w:tcW w:w="8140" w:type="dxa"/>
            <w:vAlign w:val="bottom"/>
            <w:tcBorders>
              <w:bottom w:val="single" w:sz="8" w:color="CCEEFF"/>
            </w:tcBorders>
            <w:shd w:val="clear" w:color="auto" w:fill="CCEEFF"/>
          </w:tcPr>
          <w:p>
            <w:pPr>
              <w:ind w:left="1460"/>
              <w:spacing w:after="0"/>
              <w:rPr>
                <w:sz w:val="20"/>
                <w:szCs w:val="20"/>
                <w:color w:val="auto"/>
              </w:rPr>
            </w:pPr>
            <w:r>
              <w:rPr>
                <w:rFonts w:ascii="Arial" w:cs="Arial" w:eastAsia="Arial" w:hAnsi="Arial"/>
                <w:sz w:val="14"/>
                <w:szCs w:val="14"/>
                <w:color w:val="auto"/>
              </w:rPr>
              <w:t>Accounting Standards Update</w:t>
            </w:r>
          </w:p>
        </w:tc>
      </w:tr>
      <w:tr>
        <w:trPr>
          <w:trHeight w:val="193"/>
        </w:trPr>
        <w:tc>
          <w:tcPr>
            <w:tcW w:w="324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AT&amp;T Common</w:t>
            </w:r>
          </w:p>
        </w:tc>
        <w:tc>
          <w:tcPr>
            <w:tcW w:w="8140" w:type="dxa"/>
            <w:vAlign w:val="bottom"/>
          </w:tcPr>
          <w:p>
            <w:pPr>
              <w:ind w:left="1460"/>
              <w:spacing w:after="0"/>
              <w:rPr>
                <w:sz w:val="20"/>
                <w:szCs w:val="20"/>
                <w:color w:val="auto"/>
              </w:rPr>
            </w:pPr>
            <w:r>
              <w:rPr>
                <w:rFonts w:ascii="Arial" w:cs="Arial" w:eastAsia="Arial" w:hAnsi="Arial"/>
                <w:sz w:val="14"/>
                <w:szCs w:val="14"/>
                <w:color w:val="auto"/>
              </w:rPr>
              <w:t>AT&amp;T Inc. common stock</w:t>
            </w:r>
          </w:p>
        </w:tc>
      </w:tr>
      <w:tr>
        <w:trPr>
          <w:trHeight w:val="23"/>
        </w:trPr>
        <w:tc>
          <w:tcPr>
            <w:tcW w:w="3240" w:type="dxa"/>
            <w:vAlign w:val="bottom"/>
          </w:tcPr>
          <w:p>
            <w:pPr>
              <w:spacing w:after="0" w:line="20" w:lineRule="exact"/>
              <w:rPr>
                <w:sz w:val="1"/>
                <w:szCs w:val="1"/>
                <w:color w:val="auto"/>
              </w:rPr>
            </w:pPr>
          </w:p>
        </w:tc>
        <w:tc>
          <w:tcPr>
            <w:tcW w:w="8140" w:type="dxa"/>
            <w:vAlign w:val="bottom"/>
          </w:tcPr>
          <w:p>
            <w:pPr>
              <w:spacing w:after="0" w:line="20" w:lineRule="exact"/>
              <w:rPr>
                <w:sz w:val="1"/>
                <w:szCs w:val="1"/>
                <w:color w:val="auto"/>
              </w:rPr>
            </w:pPr>
          </w:p>
        </w:tc>
      </w:tr>
      <w:tr>
        <w:trPr>
          <w:trHeight w:val="183"/>
        </w:trPr>
        <w:tc>
          <w:tcPr>
            <w:tcW w:w="3240" w:type="dxa"/>
            <w:vAlign w:val="bottom"/>
            <w:shd w:val="clear" w:color="auto" w:fill="CCEEFF"/>
          </w:tcPr>
          <w:p>
            <w:pPr>
              <w:ind w:left="20"/>
              <w:spacing w:after="0"/>
              <w:rPr>
                <w:sz w:val="20"/>
                <w:szCs w:val="20"/>
                <w:color w:val="auto"/>
              </w:rPr>
            </w:pPr>
            <w:r>
              <w:rPr>
                <w:rFonts w:ascii="Arial" w:cs="Arial" w:eastAsia="Arial" w:hAnsi="Arial"/>
                <w:sz w:val="14"/>
                <w:szCs w:val="14"/>
                <w:b w:val="1"/>
                <w:bCs w:val="1"/>
                <w:i w:val="1"/>
                <w:iCs w:val="1"/>
                <w:color w:val="auto"/>
              </w:rPr>
              <w:t>Bailey to Jones Creek Project</w:t>
            </w:r>
          </w:p>
        </w:tc>
        <w:tc>
          <w:tcPr>
            <w:tcW w:w="8140" w:type="dxa"/>
            <w:vAlign w:val="bottom"/>
            <w:shd w:val="clear" w:color="auto" w:fill="CCEEFF"/>
          </w:tcPr>
          <w:p>
            <w:pPr>
              <w:ind w:left="1460"/>
              <w:spacing w:after="0"/>
              <w:rPr>
                <w:sz w:val="20"/>
                <w:szCs w:val="20"/>
                <w:color w:val="auto"/>
              </w:rPr>
            </w:pPr>
            <w:r>
              <w:rPr>
                <w:rFonts w:ascii="Arial" w:cs="Arial" w:eastAsia="Arial" w:hAnsi="Arial"/>
                <w:sz w:val="14"/>
                <w:szCs w:val="14"/>
                <w:color w:val="auto"/>
                <w:w w:val="92"/>
              </w:rPr>
              <w:t>A transmission project in the greater Freeport, Texas area, which includes enhancements to two existing substations</w:t>
            </w:r>
          </w:p>
        </w:tc>
      </w:tr>
      <w:tr>
        <w:trPr>
          <w:trHeight w:val="172"/>
        </w:trPr>
        <w:tc>
          <w:tcPr>
            <w:tcW w:w="3240" w:type="dxa"/>
            <w:vAlign w:val="bottom"/>
            <w:shd w:val="clear" w:color="auto" w:fill="CCEEFF"/>
          </w:tcPr>
          <w:p>
            <w:pPr>
              <w:spacing w:after="0"/>
              <w:rPr>
                <w:sz w:val="14"/>
                <w:szCs w:val="14"/>
                <w:color w:val="auto"/>
              </w:rPr>
            </w:pPr>
          </w:p>
        </w:tc>
        <w:tc>
          <w:tcPr>
            <w:tcW w:w="8140" w:type="dxa"/>
            <w:vAlign w:val="bottom"/>
            <w:shd w:val="clear" w:color="auto" w:fill="CCEEFF"/>
          </w:tcPr>
          <w:p>
            <w:pPr>
              <w:ind w:left="1460"/>
              <w:spacing w:after="0"/>
              <w:rPr>
                <w:sz w:val="20"/>
                <w:szCs w:val="20"/>
                <w:color w:val="auto"/>
              </w:rPr>
            </w:pPr>
            <w:r>
              <w:rPr>
                <w:rFonts w:ascii="Arial" w:cs="Arial" w:eastAsia="Arial" w:hAnsi="Arial"/>
                <w:sz w:val="14"/>
                <w:szCs w:val="14"/>
                <w:color w:val="auto"/>
                <w:w w:val="95"/>
              </w:rPr>
              <w:t>and the construction of a new 345 kV double-circuit line to be located in the counties of Brazoria, Matagorda and</w:t>
            </w:r>
          </w:p>
        </w:tc>
      </w:tr>
      <w:tr>
        <w:trPr>
          <w:trHeight w:val="185"/>
        </w:trPr>
        <w:tc>
          <w:tcPr>
            <w:tcW w:w="3240" w:type="dxa"/>
            <w:vAlign w:val="bottom"/>
            <w:tcBorders>
              <w:bottom w:val="single" w:sz="8" w:color="CCEEFF"/>
            </w:tcBorders>
            <w:shd w:val="clear" w:color="auto" w:fill="CCEEFF"/>
          </w:tcPr>
          <w:p>
            <w:pPr>
              <w:spacing w:after="0"/>
              <w:rPr>
                <w:sz w:val="16"/>
                <w:szCs w:val="16"/>
                <w:color w:val="auto"/>
              </w:rPr>
            </w:pPr>
          </w:p>
        </w:tc>
        <w:tc>
          <w:tcPr>
            <w:tcW w:w="8140" w:type="dxa"/>
            <w:vAlign w:val="bottom"/>
            <w:tcBorders>
              <w:bottom w:val="single" w:sz="8" w:color="CCEEFF"/>
            </w:tcBorders>
            <w:shd w:val="clear" w:color="auto" w:fill="CCEEFF"/>
          </w:tcPr>
          <w:p>
            <w:pPr>
              <w:ind w:left="1460"/>
              <w:spacing w:after="0"/>
              <w:rPr>
                <w:sz w:val="20"/>
                <w:szCs w:val="20"/>
                <w:color w:val="auto"/>
              </w:rPr>
            </w:pPr>
            <w:r>
              <w:rPr>
                <w:rFonts w:ascii="Arial" w:cs="Arial" w:eastAsia="Arial" w:hAnsi="Arial"/>
                <w:sz w:val="14"/>
                <w:szCs w:val="14"/>
                <w:color w:val="auto"/>
              </w:rPr>
              <w:t>Wharton</w:t>
            </w:r>
          </w:p>
        </w:tc>
      </w:tr>
      <w:tr>
        <w:trPr>
          <w:trHeight w:val="193"/>
        </w:trPr>
        <w:tc>
          <w:tcPr>
            <w:tcW w:w="324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Bcf</w:t>
            </w:r>
          </w:p>
        </w:tc>
        <w:tc>
          <w:tcPr>
            <w:tcW w:w="8140" w:type="dxa"/>
            <w:vAlign w:val="bottom"/>
          </w:tcPr>
          <w:p>
            <w:pPr>
              <w:ind w:left="1460"/>
              <w:spacing w:after="0"/>
              <w:rPr>
                <w:sz w:val="20"/>
                <w:szCs w:val="20"/>
                <w:color w:val="auto"/>
              </w:rPr>
            </w:pPr>
            <w:r>
              <w:rPr>
                <w:rFonts w:ascii="Arial" w:cs="Arial" w:eastAsia="Arial" w:hAnsi="Arial"/>
                <w:sz w:val="14"/>
                <w:szCs w:val="14"/>
                <w:color w:val="auto"/>
              </w:rPr>
              <w:t>Billion cubic feet</w:t>
            </w:r>
          </w:p>
        </w:tc>
      </w:tr>
      <w:tr>
        <w:trPr>
          <w:trHeight w:val="23"/>
        </w:trPr>
        <w:tc>
          <w:tcPr>
            <w:tcW w:w="3240" w:type="dxa"/>
            <w:vAlign w:val="bottom"/>
          </w:tcPr>
          <w:p>
            <w:pPr>
              <w:spacing w:after="0" w:line="20" w:lineRule="exact"/>
              <w:rPr>
                <w:sz w:val="1"/>
                <w:szCs w:val="1"/>
                <w:color w:val="auto"/>
              </w:rPr>
            </w:pPr>
          </w:p>
        </w:tc>
        <w:tc>
          <w:tcPr>
            <w:tcW w:w="8140" w:type="dxa"/>
            <w:vAlign w:val="bottom"/>
          </w:tcPr>
          <w:p>
            <w:pPr>
              <w:spacing w:after="0" w:line="20" w:lineRule="exact"/>
              <w:rPr>
                <w:sz w:val="1"/>
                <w:szCs w:val="1"/>
                <w:color w:val="auto"/>
              </w:rPr>
            </w:pPr>
          </w:p>
        </w:tc>
      </w:tr>
      <w:tr>
        <w:trPr>
          <w:trHeight w:val="183"/>
        </w:trPr>
        <w:tc>
          <w:tcPr>
            <w:tcW w:w="3240" w:type="dxa"/>
            <w:vAlign w:val="bottom"/>
            <w:shd w:val="clear" w:color="auto" w:fill="CCEEFF"/>
          </w:tcPr>
          <w:p>
            <w:pPr>
              <w:ind w:left="20"/>
              <w:spacing w:after="0"/>
              <w:rPr>
                <w:sz w:val="20"/>
                <w:szCs w:val="20"/>
                <w:color w:val="auto"/>
              </w:rPr>
            </w:pPr>
            <w:r>
              <w:rPr>
                <w:rFonts w:ascii="Arial" w:cs="Arial" w:eastAsia="Arial" w:hAnsi="Arial"/>
                <w:sz w:val="14"/>
                <w:szCs w:val="14"/>
                <w:b w:val="1"/>
                <w:bCs w:val="1"/>
                <w:i w:val="1"/>
                <w:iCs w:val="1"/>
                <w:color w:val="auto"/>
              </w:rPr>
              <w:t>Bond Companies</w:t>
            </w:r>
          </w:p>
        </w:tc>
        <w:tc>
          <w:tcPr>
            <w:tcW w:w="8140" w:type="dxa"/>
            <w:vAlign w:val="bottom"/>
            <w:shd w:val="clear" w:color="auto" w:fill="CCEEFF"/>
          </w:tcPr>
          <w:p>
            <w:pPr>
              <w:ind w:left="1460"/>
              <w:spacing w:after="0"/>
              <w:rPr>
                <w:sz w:val="20"/>
                <w:szCs w:val="20"/>
                <w:color w:val="auto"/>
              </w:rPr>
            </w:pPr>
            <w:r>
              <w:rPr>
                <w:rFonts w:ascii="Arial" w:cs="Arial" w:eastAsia="Arial" w:hAnsi="Arial"/>
                <w:sz w:val="14"/>
                <w:szCs w:val="14"/>
                <w:color w:val="auto"/>
                <w:w w:val="95"/>
              </w:rPr>
              <w:t>Bond Company II, Bond Company III, Bond Company IV and Restoration Bond Company, each a wholly-owned,</w:t>
            </w:r>
          </w:p>
        </w:tc>
      </w:tr>
      <w:tr>
        <w:trPr>
          <w:trHeight w:val="172"/>
        </w:trPr>
        <w:tc>
          <w:tcPr>
            <w:tcW w:w="3240" w:type="dxa"/>
            <w:vAlign w:val="bottom"/>
            <w:shd w:val="clear" w:color="auto" w:fill="CCEEFF"/>
          </w:tcPr>
          <w:p>
            <w:pPr>
              <w:spacing w:after="0"/>
              <w:rPr>
                <w:sz w:val="14"/>
                <w:szCs w:val="14"/>
                <w:color w:val="auto"/>
              </w:rPr>
            </w:pPr>
          </w:p>
        </w:tc>
        <w:tc>
          <w:tcPr>
            <w:tcW w:w="8140" w:type="dxa"/>
            <w:vAlign w:val="bottom"/>
            <w:shd w:val="clear" w:color="auto" w:fill="CCEEFF"/>
          </w:tcPr>
          <w:p>
            <w:pPr>
              <w:ind w:left="1460"/>
              <w:spacing w:after="0"/>
              <w:rPr>
                <w:sz w:val="20"/>
                <w:szCs w:val="20"/>
                <w:color w:val="auto"/>
              </w:rPr>
            </w:pPr>
            <w:r>
              <w:rPr>
                <w:rFonts w:ascii="Arial" w:cs="Arial" w:eastAsia="Arial" w:hAnsi="Arial"/>
                <w:sz w:val="14"/>
                <w:szCs w:val="14"/>
                <w:color w:val="auto"/>
                <w:w w:val="95"/>
              </w:rPr>
              <w:t>bankruptcy remote entity formed solely for the purpose of purchasing and owning transition or system restoration</w:t>
            </w:r>
          </w:p>
        </w:tc>
      </w:tr>
      <w:tr>
        <w:trPr>
          <w:trHeight w:val="185"/>
        </w:trPr>
        <w:tc>
          <w:tcPr>
            <w:tcW w:w="3240" w:type="dxa"/>
            <w:vAlign w:val="bottom"/>
            <w:tcBorders>
              <w:bottom w:val="single" w:sz="8" w:color="CCEEFF"/>
            </w:tcBorders>
            <w:shd w:val="clear" w:color="auto" w:fill="CCEEFF"/>
          </w:tcPr>
          <w:p>
            <w:pPr>
              <w:spacing w:after="0"/>
              <w:rPr>
                <w:sz w:val="16"/>
                <w:szCs w:val="16"/>
                <w:color w:val="auto"/>
              </w:rPr>
            </w:pPr>
          </w:p>
        </w:tc>
        <w:tc>
          <w:tcPr>
            <w:tcW w:w="8140" w:type="dxa"/>
            <w:vAlign w:val="bottom"/>
            <w:tcBorders>
              <w:bottom w:val="single" w:sz="8" w:color="CCEEFF"/>
            </w:tcBorders>
            <w:shd w:val="clear" w:color="auto" w:fill="CCEEFF"/>
          </w:tcPr>
          <w:p>
            <w:pPr>
              <w:ind w:left="1460"/>
              <w:spacing w:after="0"/>
              <w:rPr>
                <w:sz w:val="20"/>
                <w:szCs w:val="20"/>
                <w:color w:val="auto"/>
              </w:rPr>
            </w:pPr>
            <w:r>
              <w:rPr>
                <w:rFonts w:ascii="Arial" w:cs="Arial" w:eastAsia="Arial" w:hAnsi="Arial"/>
                <w:sz w:val="14"/>
                <w:szCs w:val="14"/>
                <w:color w:val="auto"/>
              </w:rPr>
              <w:t>property through the issuance of Securitization Bonds</w:t>
            </w:r>
          </w:p>
        </w:tc>
      </w:tr>
      <w:tr>
        <w:trPr>
          <w:trHeight w:val="193"/>
        </w:trPr>
        <w:tc>
          <w:tcPr>
            <w:tcW w:w="324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Bond Company II</w:t>
            </w:r>
          </w:p>
        </w:tc>
        <w:tc>
          <w:tcPr>
            <w:tcW w:w="8140" w:type="dxa"/>
            <w:vAlign w:val="bottom"/>
          </w:tcPr>
          <w:p>
            <w:pPr>
              <w:ind w:left="1460"/>
              <w:spacing w:after="0"/>
              <w:rPr>
                <w:sz w:val="20"/>
                <w:szCs w:val="20"/>
                <w:color w:val="auto"/>
              </w:rPr>
            </w:pPr>
            <w:r>
              <w:rPr>
                <w:rFonts w:ascii="Arial" w:cs="Arial" w:eastAsia="Arial" w:hAnsi="Arial"/>
                <w:sz w:val="14"/>
                <w:szCs w:val="14"/>
                <w:color w:val="auto"/>
              </w:rPr>
              <w:t>CenterPoint Energy Transition Bond Company II, LLC, a wholly-owned subsidiary of Houston Electric</w:t>
            </w:r>
          </w:p>
        </w:tc>
      </w:tr>
      <w:tr>
        <w:trPr>
          <w:trHeight w:val="23"/>
        </w:trPr>
        <w:tc>
          <w:tcPr>
            <w:tcW w:w="3240" w:type="dxa"/>
            <w:vAlign w:val="bottom"/>
          </w:tcPr>
          <w:p>
            <w:pPr>
              <w:spacing w:after="0" w:line="20" w:lineRule="exact"/>
              <w:rPr>
                <w:sz w:val="1"/>
                <w:szCs w:val="1"/>
                <w:color w:val="auto"/>
              </w:rPr>
            </w:pPr>
          </w:p>
        </w:tc>
        <w:tc>
          <w:tcPr>
            <w:tcW w:w="8140" w:type="dxa"/>
            <w:vAlign w:val="bottom"/>
          </w:tcPr>
          <w:p>
            <w:pPr>
              <w:spacing w:after="0" w:line="20" w:lineRule="exact"/>
              <w:rPr>
                <w:sz w:val="1"/>
                <w:szCs w:val="1"/>
                <w:color w:val="auto"/>
              </w:rPr>
            </w:pPr>
          </w:p>
        </w:tc>
      </w:tr>
      <w:tr>
        <w:trPr>
          <w:trHeight w:val="196"/>
        </w:trPr>
        <w:tc>
          <w:tcPr>
            <w:tcW w:w="3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i w:val="1"/>
                <w:iCs w:val="1"/>
                <w:color w:val="auto"/>
              </w:rPr>
              <w:t>Bond Company III</w:t>
            </w:r>
          </w:p>
        </w:tc>
        <w:tc>
          <w:tcPr>
            <w:tcW w:w="8140" w:type="dxa"/>
            <w:vAlign w:val="bottom"/>
            <w:tcBorders>
              <w:bottom w:val="single" w:sz="8" w:color="CCEEFF"/>
            </w:tcBorders>
            <w:shd w:val="clear" w:color="auto" w:fill="CCEEFF"/>
          </w:tcPr>
          <w:p>
            <w:pPr>
              <w:ind w:left="1460"/>
              <w:spacing w:after="0"/>
              <w:rPr>
                <w:sz w:val="20"/>
                <w:szCs w:val="20"/>
                <w:color w:val="auto"/>
              </w:rPr>
            </w:pPr>
            <w:r>
              <w:rPr>
                <w:rFonts w:ascii="Arial" w:cs="Arial" w:eastAsia="Arial" w:hAnsi="Arial"/>
                <w:sz w:val="14"/>
                <w:szCs w:val="14"/>
                <w:color w:val="auto"/>
              </w:rPr>
              <w:t>CenterPoint Energy Transition Bond Company III, LLC, a wholly-owned subsidiary of Houston Electric</w:t>
            </w:r>
          </w:p>
        </w:tc>
      </w:tr>
      <w:tr>
        <w:trPr>
          <w:trHeight w:val="193"/>
        </w:trPr>
        <w:tc>
          <w:tcPr>
            <w:tcW w:w="324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Bond Company IV</w:t>
            </w:r>
          </w:p>
        </w:tc>
        <w:tc>
          <w:tcPr>
            <w:tcW w:w="8140" w:type="dxa"/>
            <w:vAlign w:val="bottom"/>
          </w:tcPr>
          <w:p>
            <w:pPr>
              <w:ind w:left="1460"/>
              <w:spacing w:after="0"/>
              <w:rPr>
                <w:sz w:val="20"/>
                <w:szCs w:val="20"/>
                <w:color w:val="auto"/>
              </w:rPr>
            </w:pPr>
            <w:r>
              <w:rPr>
                <w:rFonts w:ascii="Arial" w:cs="Arial" w:eastAsia="Arial" w:hAnsi="Arial"/>
                <w:sz w:val="14"/>
                <w:szCs w:val="14"/>
                <w:color w:val="auto"/>
              </w:rPr>
              <w:t>CenterPoint Energy Transition Bond Company IV, LLC, a wholly-owned subsidiary of Houston Electric</w:t>
            </w:r>
          </w:p>
        </w:tc>
      </w:tr>
      <w:tr>
        <w:trPr>
          <w:trHeight w:val="23"/>
        </w:trPr>
        <w:tc>
          <w:tcPr>
            <w:tcW w:w="3240" w:type="dxa"/>
            <w:vAlign w:val="bottom"/>
          </w:tcPr>
          <w:p>
            <w:pPr>
              <w:spacing w:after="0" w:line="20" w:lineRule="exact"/>
              <w:rPr>
                <w:sz w:val="1"/>
                <w:szCs w:val="1"/>
                <w:color w:val="auto"/>
              </w:rPr>
            </w:pPr>
          </w:p>
        </w:tc>
        <w:tc>
          <w:tcPr>
            <w:tcW w:w="8140" w:type="dxa"/>
            <w:vAlign w:val="bottom"/>
          </w:tcPr>
          <w:p>
            <w:pPr>
              <w:spacing w:after="0" w:line="20" w:lineRule="exact"/>
              <w:rPr>
                <w:sz w:val="1"/>
                <w:szCs w:val="1"/>
                <w:color w:val="auto"/>
              </w:rPr>
            </w:pPr>
          </w:p>
        </w:tc>
      </w:tr>
      <w:tr>
        <w:trPr>
          <w:trHeight w:val="183"/>
        </w:trPr>
        <w:tc>
          <w:tcPr>
            <w:tcW w:w="3240" w:type="dxa"/>
            <w:vAlign w:val="bottom"/>
            <w:shd w:val="clear" w:color="auto" w:fill="CCEEFF"/>
          </w:tcPr>
          <w:p>
            <w:pPr>
              <w:ind w:left="20"/>
              <w:spacing w:after="0"/>
              <w:rPr>
                <w:sz w:val="20"/>
                <w:szCs w:val="20"/>
                <w:color w:val="auto"/>
              </w:rPr>
            </w:pPr>
            <w:r>
              <w:rPr>
                <w:rFonts w:ascii="Arial" w:cs="Arial" w:eastAsia="Arial" w:hAnsi="Arial"/>
                <w:sz w:val="14"/>
                <w:szCs w:val="14"/>
                <w:b w:val="1"/>
                <w:bCs w:val="1"/>
                <w:i w:val="1"/>
                <w:iCs w:val="1"/>
                <w:color w:val="auto"/>
              </w:rPr>
              <w:t>Brazos Valley Connection</w:t>
            </w:r>
          </w:p>
        </w:tc>
        <w:tc>
          <w:tcPr>
            <w:tcW w:w="8140" w:type="dxa"/>
            <w:vAlign w:val="bottom"/>
            <w:shd w:val="clear" w:color="auto" w:fill="CCEEFF"/>
          </w:tcPr>
          <w:p>
            <w:pPr>
              <w:ind w:left="1460"/>
              <w:spacing w:after="0"/>
              <w:rPr>
                <w:sz w:val="20"/>
                <w:szCs w:val="20"/>
                <w:color w:val="auto"/>
              </w:rPr>
            </w:pPr>
            <w:r>
              <w:rPr>
                <w:rFonts w:ascii="Arial" w:cs="Arial" w:eastAsia="Arial" w:hAnsi="Arial"/>
                <w:sz w:val="14"/>
                <w:szCs w:val="14"/>
                <w:color w:val="auto"/>
                <w:w w:val="93"/>
              </w:rPr>
              <w:t>A portion of the Houston region transmission project between Houston Electric’s Zenith substation and the Gibbons</w:t>
            </w:r>
          </w:p>
        </w:tc>
      </w:tr>
      <w:tr>
        <w:trPr>
          <w:trHeight w:val="185"/>
        </w:trPr>
        <w:tc>
          <w:tcPr>
            <w:tcW w:w="3240" w:type="dxa"/>
            <w:vAlign w:val="bottom"/>
            <w:tcBorders>
              <w:bottom w:val="single" w:sz="8" w:color="CCEEFF"/>
            </w:tcBorders>
            <w:shd w:val="clear" w:color="auto" w:fill="CCEEFF"/>
          </w:tcPr>
          <w:p>
            <w:pPr>
              <w:spacing w:after="0"/>
              <w:rPr>
                <w:sz w:val="16"/>
                <w:szCs w:val="16"/>
                <w:color w:val="auto"/>
              </w:rPr>
            </w:pPr>
          </w:p>
        </w:tc>
        <w:tc>
          <w:tcPr>
            <w:tcW w:w="8140" w:type="dxa"/>
            <w:vAlign w:val="bottom"/>
            <w:tcBorders>
              <w:bottom w:val="single" w:sz="8" w:color="CCEEFF"/>
            </w:tcBorders>
            <w:shd w:val="clear" w:color="auto" w:fill="CCEEFF"/>
          </w:tcPr>
          <w:p>
            <w:pPr>
              <w:ind w:left="1460"/>
              <w:spacing w:after="0"/>
              <w:rPr>
                <w:sz w:val="20"/>
                <w:szCs w:val="20"/>
                <w:color w:val="auto"/>
              </w:rPr>
            </w:pPr>
            <w:r>
              <w:rPr>
                <w:rFonts w:ascii="Arial" w:cs="Arial" w:eastAsia="Arial" w:hAnsi="Arial"/>
                <w:sz w:val="14"/>
                <w:szCs w:val="14"/>
                <w:color w:val="auto"/>
              </w:rPr>
              <w:t>Creek substation owned by the Texas Municipal Power Agency</w:t>
            </w:r>
          </w:p>
        </w:tc>
      </w:tr>
      <w:tr>
        <w:trPr>
          <w:trHeight w:val="193"/>
        </w:trPr>
        <w:tc>
          <w:tcPr>
            <w:tcW w:w="324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CCR</w:t>
            </w:r>
          </w:p>
        </w:tc>
        <w:tc>
          <w:tcPr>
            <w:tcW w:w="8140" w:type="dxa"/>
            <w:vAlign w:val="bottom"/>
          </w:tcPr>
          <w:p>
            <w:pPr>
              <w:ind w:left="1460"/>
              <w:spacing w:after="0"/>
              <w:rPr>
                <w:sz w:val="20"/>
                <w:szCs w:val="20"/>
                <w:color w:val="auto"/>
              </w:rPr>
            </w:pPr>
            <w:r>
              <w:rPr>
                <w:rFonts w:ascii="Arial" w:cs="Arial" w:eastAsia="Arial" w:hAnsi="Arial"/>
                <w:sz w:val="14"/>
                <w:szCs w:val="14"/>
                <w:color w:val="auto"/>
              </w:rPr>
              <w:t>Coal Combustion Residuals</w:t>
            </w:r>
          </w:p>
        </w:tc>
      </w:tr>
      <w:tr>
        <w:trPr>
          <w:trHeight w:val="23"/>
        </w:trPr>
        <w:tc>
          <w:tcPr>
            <w:tcW w:w="3240" w:type="dxa"/>
            <w:vAlign w:val="bottom"/>
          </w:tcPr>
          <w:p>
            <w:pPr>
              <w:spacing w:after="0" w:line="20" w:lineRule="exact"/>
              <w:rPr>
                <w:sz w:val="1"/>
                <w:szCs w:val="1"/>
                <w:color w:val="auto"/>
              </w:rPr>
            </w:pPr>
          </w:p>
        </w:tc>
        <w:tc>
          <w:tcPr>
            <w:tcW w:w="8140" w:type="dxa"/>
            <w:vAlign w:val="bottom"/>
          </w:tcPr>
          <w:p>
            <w:pPr>
              <w:spacing w:after="0" w:line="20" w:lineRule="exact"/>
              <w:rPr>
                <w:sz w:val="1"/>
                <w:szCs w:val="1"/>
                <w:color w:val="auto"/>
              </w:rPr>
            </w:pPr>
          </w:p>
        </w:tc>
      </w:tr>
      <w:tr>
        <w:trPr>
          <w:trHeight w:val="196"/>
        </w:trPr>
        <w:tc>
          <w:tcPr>
            <w:tcW w:w="3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i w:val="1"/>
                <w:iCs w:val="1"/>
                <w:color w:val="auto"/>
              </w:rPr>
              <w:t>CECA</w:t>
            </w:r>
          </w:p>
        </w:tc>
        <w:tc>
          <w:tcPr>
            <w:tcW w:w="8140" w:type="dxa"/>
            <w:vAlign w:val="bottom"/>
            <w:tcBorders>
              <w:bottom w:val="single" w:sz="8" w:color="CCEEFF"/>
            </w:tcBorders>
            <w:shd w:val="clear" w:color="auto" w:fill="CCEEFF"/>
          </w:tcPr>
          <w:p>
            <w:pPr>
              <w:ind w:left="1460"/>
              <w:spacing w:after="0"/>
              <w:rPr>
                <w:sz w:val="20"/>
                <w:szCs w:val="20"/>
                <w:color w:val="auto"/>
              </w:rPr>
            </w:pPr>
            <w:r>
              <w:rPr>
                <w:rFonts w:ascii="Arial" w:cs="Arial" w:eastAsia="Arial" w:hAnsi="Arial"/>
                <w:sz w:val="14"/>
                <w:szCs w:val="14"/>
                <w:color w:val="auto"/>
              </w:rPr>
              <w:t>Clean Energy Cost Adjustment</w:t>
            </w:r>
          </w:p>
        </w:tc>
      </w:tr>
      <w:tr>
        <w:trPr>
          <w:trHeight w:val="193"/>
        </w:trPr>
        <w:tc>
          <w:tcPr>
            <w:tcW w:w="324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CECL</w:t>
            </w:r>
          </w:p>
        </w:tc>
        <w:tc>
          <w:tcPr>
            <w:tcW w:w="8140" w:type="dxa"/>
            <w:vAlign w:val="bottom"/>
          </w:tcPr>
          <w:p>
            <w:pPr>
              <w:ind w:left="1460"/>
              <w:spacing w:after="0"/>
              <w:rPr>
                <w:sz w:val="20"/>
                <w:szCs w:val="20"/>
                <w:color w:val="auto"/>
              </w:rPr>
            </w:pPr>
            <w:r>
              <w:rPr>
                <w:rFonts w:ascii="Arial" w:cs="Arial" w:eastAsia="Arial" w:hAnsi="Arial"/>
                <w:sz w:val="14"/>
                <w:szCs w:val="14"/>
                <w:color w:val="auto"/>
              </w:rPr>
              <w:t>Current expected credit losses</w:t>
            </w:r>
          </w:p>
        </w:tc>
      </w:tr>
      <w:tr>
        <w:trPr>
          <w:trHeight w:val="23"/>
        </w:trPr>
        <w:tc>
          <w:tcPr>
            <w:tcW w:w="3240" w:type="dxa"/>
            <w:vAlign w:val="bottom"/>
          </w:tcPr>
          <w:p>
            <w:pPr>
              <w:spacing w:after="0" w:line="20" w:lineRule="exact"/>
              <w:rPr>
                <w:sz w:val="1"/>
                <w:szCs w:val="1"/>
                <w:color w:val="auto"/>
              </w:rPr>
            </w:pPr>
          </w:p>
        </w:tc>
        <w:tc>
          <w:tcPr>
            <w:tcW w:w="8140" w:type="dxa"/>
            <w:vAlign w:val="bottom"/>
          </w:tcPr>
          <w:p>
            <w:pPr>
              <w:spacing w:after="0" w:line="20" w:lineRule="exact"/>
              <w:rPr>
                <w:sz w:val="1"/>
                <w:szCs w:val="1"/>
                <w:color w:val="auto"/>
              </w:rPr>
            </w:pPr>
          </w:p>
        </w:tc>
      </w:tr>
      <w:tr>
        <w:trPr>
          <w:trHeight w:val="196"/>
        </w:trPr>
        <w:tc>
          <w:tcPr>
            <w:tcW w:w="3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i w:val="1"/>
                <w:iCs w:val="1"/>
                <w:color w:val="auto"/>
              </w:rPr>
              <w:t>CenterPoint Energy</w:t>
            </w:r>
          </w:p>
        </w:tc>
        <w:tc>
          <w:tcPr>
            <w:tcW w:w="8140" w:type="dxa"/>
            <w:vAlign w:val="bottom"/>
            <w:tcBorders>
              <w:bottom w:val="single" w:sz="8" w:color="CCEEFF"/>
            </w:tcBorders>
            <w:shd w:val="clear" w:color="auto" w:fill="CCEEFF"/>
          </w:tcPr>
          <w:p>
            <w:pPr>
              <w:ind w:left="1460"/>
              <w:spacing w:after="0"/>
              <w:rPr>
                <w:sz w:val="20"/>
                <w:szCs w:val="20"/>
                <w:color w:val="auto"/>
              </w:rPr>
            </w:pPr>
            <w:r>
              <w:rPr>
                <w:rFonts w:ascii="Arial" w:cs="Arial" w:eastAsia="Arial" w:hAnsi="Arial"/>
                <w:sz w:val="14"/>
                <w:szCs w:val="14"/>
                <w:color w:val="auto"/>
              </w:rPr>
              <w:t>CenterPoint Energy, Inc., and its subsidiaries</w:t>
            </w:r>
          </w:p>
        </w:tc>
      </w:tr>
      <w:tr>
        <w:trPr>
          <w:trHeight w:val="193"/>
        </w:trPr>
        <w:tc>
          <w:tcPr>
            <w:tcW w:w="324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CERC</w:t>
            </w:r>
          </w:p>
        </w:tc>
        <w:tc>
          <w:tcPr>
            <w:tcW w:w="8140" w:type="dxa"/>
            <w:vAlign w:val="bottom"/>
          </w:tcPr>
          <w:p>
            <w:pPr>
              <w:ind w:left="1460"/>
              <w:spacing w:after="0"/>
              <w:rPr>
                <w:sz w:val="20"/>
                <w:szCs w:val="20"/>
                <w:color w:val="auto"/>
              </w:rPr>
            </w:pPr>
            <w:r>
              <w:rPr>
                <w:rFonts w:ascii="Arial" w:cs="Arial" w:eastAsia="Arial" w:hAnsi="Arial"/>
                <w:sz w:val="14"/>
                <w:szCs w:val="14"/>
                <w:color w:val="auto"/>
              </w:rPr>
              <w:t>CERC Corp., together with its subsidiaries</w:t>
            </w:r>
          </w:p>
        </w:tc>
      </w:tr>
      <w:tr>
        <w:trPr>
          <w:trHeight w:val="23"/>
        </w:trPr>
        <w:tc>
          <w:tcPr>
            <w:tcW w:w="3240" w:type="dxa"/>
            <w:vAlign w:val="bottom"/>
          </w:tcPr>
          <w:p>
            <w:pPr>
              <w:spacing w:after="0" w:line="20" w:lineRule="exact"/>
              <w:rPr>
                <w:sz w:val="1"/>
                <w:szCs w:val="1"/>
                <w:color w:val="auto"/>
              </w:rPr>
            </w:pPr>
          </w:p>
        </w:tc>
        <w:tc>
          <w:tcPr>
            <w:tcW w:w="8140" w:type="dxa"/>
            <w:vAlign w:val="bottom"/>
          </w:tcPr>
          <w:p>
            <w:pPr>
              <w:spacing w:after="0" w:line="20" w:lineRule="exact"/>
              <w:rPr>
                <w:sz w:val="1"/>
                <w:szCs w:val="1"/>
                <w:color w:val="auto"/>
              </w:rPr>
            </w:pPr>
          </w:p>
        </w:tc>
      </w:tr>
      <w:tr>
        <w:trPr>
          <w:trHeight w:val="196"/>
        </w:trPr>
        <w:tc>
          <w:tcPr>
            <w:tcW w:w="3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i w:val="1"/>
                <w:iCs w:val="1"/>
                <w:color w:val="auto"/>
              </w:rPr>
              <w:t>CERC Corp.</w:t>
            </w:r>
          </w:p>
        </w:tc>
        <w:tc>
          <w:tcPr>
            <w:tcW w:w="8140" w:type="dxa"/>
            <w:vAlign w:val="bottom"/>
            <w:tcBorders>
              <w:bottom w:val="single" w:sz="8" w:color="CCEEFF"/>
            </w:tcBorders>
            <w:shd w:val="clear" w:color="auto" w:fill="CCEEFF"/>
          </w:tcPr>
          <w:p>
            <w:pPr>
              <w:ind w:left="1460"/>
              <w:spacing w:after="0"/>
              <w:rPr>
                <w:sz w:val="20"/>
                <w:szCs w:val="20"/>
                <w:color w:val="auto"/>
              </w:rPr>
            </w:pPr>
            <w:r>
              <w:rPr>
                <w:rFonts w:ascii="Arial" w:cs="Arial" w:eastAsia="Arial" w:hAnsi="Arial"/>
                <w:sz w:val="14"/>
                <w:szCs w:val="14"/>
                <w:color w:val="auto"/>
              </w:rPr>
              <w:t>CenterPoint Energy Resources Corp.</w:t>
            </w:r>
          </w:p>
        </w:tc>
      </w:tr>
      <w:tr>
        <w:trPr>
          <w:trHeight w:val="193"/>
        </w:trPr>
        <w:tc>
          <w:tcPr>
            <w:tcW w:w="324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CES</w:t>
            </w:r>
          </w:p>
        </w:tc>
        <w:tc>
          <w:tcPr>
            <w:tcW w:w="8140" w:type="dxa"/>
            <w:vAlign w:val="bottom"/>
          </w:tcPr>
          <w:p>
            <w:pPr>
              <w:ind w:left="1460"/>
              <w:spacing w:after="0"/>
              <w:rPr>
                <w:sz w:val="20"/>
                <w:szCs w:val="20"/>
                <w:color w:val="auto"/>
              </w:rPr>
            </w:pPr>
            <w:r>
              <w:rPr>
                <w:rFonts w:ascii="Arial" w:cs="Arial" w:eastAsia="Arial" w:hAnsi="Arial"/>
                <w:sz w:val="14"/>
                <w:szCs w:val="14"/>
                <w:color w:val="auto"/>
              </w:rPr>
              <w:t>CenterPoint Energy Services, Inc., a wholly-owned subsidiary of CERC Corp.</w:t>
            </w:r>
          </w:p>
        </w:tc>
      </w:tr>
      <w:tr>
        <w:trPr>
          <w:trHeight w:val="23"/>
        </w:trPr>
        <w:tc>
          <w:tcPr>
            <w:tcW w:w="3240" w:type="dxa"/>
            <w:vAlign w:val="bottom"/>
          </w:tcPr>
          <w:p>
            <w:pPr>
              <w:spacing w:after="0" w:line="20" w:lineRule="exact"/>
              <w:rPr>
                <w:sz w:val="1"/>
                <w:szCs w:val="1"/>
                <w:color w:val="auto"/>
              </w:rPr>
            </w:pPr>
          </w:p>
        </w:tc>
        <w:tc>
          <w:tcPr>
            <w:tcW w:w="8140" w:type="dxa"/>
            <w:vAlign w:val="bottom"/>
          </w:tcPr>
          <w:p>
            <w:pPr>
              <w:spacing w:after="0" w:line="20" w:lineRule="exact"/>
              <w:rPr>
                <w:sz w:val="1"/>
                <w:szCs w:val="1"/>
                <w:color w:val="auto"/>
              </w:rPr>
            </w:pPr>
          </w:p>
        </w:tc>
      </w:tr>
      <w:tr>
        <w:trPr>
          <w:trHeight w:val="196"/>
        </w:trPr>
        <w:tc>
          <w:tcPr>
            <w:tcW w:w="3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i w:val="1"/>
                <w:iCs w:val="1"/>
                <w:color w:val="auto"/>
              </w:rPr>
              <w:t>Charter Common</w:t>
            </w:r>
          </w:p>
        </w:tc>
        <w:tc>
          <w:tcPr>
            <w:tcW w:w="8140" w:type="dxa"/>
            <w:vAlign w:val="bottom"/>
            <w:tcBorders>
              <w:bottom w:val="single" w:sz="8" w:color="CCEEFF"/>
            </w:tcBorders>
            <w:shd w:val="clear" w:color="auto" w:fill="CCEEFF"/>
          </w:tcPr>
          <w:p>
            <w:pPr>
              <w:ind w:left="1460"/>
              <w:spacing w:after="0"/>
              <w:rPr>
                <w:sz w:val="20"/>
                <w:szCs w:val="20"/>
                <w:color w:val="auto"/>
              </w:rPr>
            </w:pPr>
            <w:r>
              <w:rPr>
                <w:rFonts w:ascii="Arial" w:cs="Arial" w:eastAsia="Arial" w:hAnsi="Arial"/>
                <w:sz w:val="14"/>
                <w:szCs w:val="14"/>
                <w:color w:val="auto"/>
              </w:rPr>
              <w:t>Charter Communications, Inc. common stock</w:t>
            </w:r>
          </w:p>
        </w:tc>
      </w:tr>
      <w:tr>
        <w:trPr>
          <w:trHeight w:val="193"/>
        </w:trPr>
        <w:tc>
          <w:tcPr>
            <w:tcW w:w="324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CIP</w:t>
            </w:r>
          </w:p>
        </w:tc>
        <w:tc>
          <w:tcPr>
            <w:tcW w:w="8140" w:type="dxa"/>
            <w:vAlign w:val="bottom"/>
          </w:tcPr>
          <w:p>
            <w:pPr>
              <w:ind w:left="1460"/>
              <w:spacing w:after="0"/>
              <w:rPr>
                <w:sz w:val="20"/>
                <w:szCs w:val="20"/>
                <w:color w:val="auto"/>
              </w:rPr>
            </w:pPr>
            <w:r>
              <w:rPr>
                <w:rFonts w:ascii="Arial" w:cs="Arial" w:eastAsia="Arial" w:hAnsi="Arial"/>
                <w:sz w:val="14"/>
                <w:szCs w:val="14"/>
                <w:color w:val="auto"/>
              </w:rPr>
              <w:t>Conservation Improvement Program</w:t>
            </w:r>
          </w:p>
        </w:tc>
      </w:tr>
      <w:tr>
        <w:trPr>
          <w:trHeight w:val="23"/>
        </w:trPr>
        <w:tc>
          <w:tcPr>
            <w:tcW w:w="3240" w:type="dxa"/>
            <w:vAlign w:val="bottom"/>
          </w:tcPr>
          <w:p>
            <w:pPr>
              <w:spacing w:after="0" w:line="20" w:lineRule="exact"/>
              <w:rPr>
                <w:sz w:val="1"/>
                <w:szCs w:val="1"/>
                <w:color w:val="auto"/>
              </w:rPr>
            </w:pPr>
          </w:p>
        </w:tc>
        <w:tc>
          <w:tcPr>
            <w:tcW w:w="8140" w:type="dxa"/>
            <w:vAlign w:val="bottom"/>
          </w:tcPr>
          <w:p>
            <w:pPr>
              <w:spacing w:after="0" w:line="20" w:lineRule="exact"/>
              <w:rPr>
                <w:sz w:val="1"/>
                <w:szCs w:val="1"/>
                <w:color w:val="auto"/>
              </w:rPr>
            </w:pPr>
          </w:p>
        </w:tc>
      </w:tr>
      <w:tr>
        <w:trPr>
          <w:trHeight w:val="196"/>
        </w:trPr>
        <w:tc>
          <w:tcPr>
            <w:tcW w:w="3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i w:val="1"/>
                <w:iCs w:val="1"/>
                <w:color w:val="auto"/>
              </w:rPr>
              <w:t>CME</w:t>
            </w:r>
          </w:p>
        </w:tc>
        <w:tc>
          <w:tcPr>
            <w:tcW w:w="8140" w:type="dxa"/>
            <w:vAlign w:val="bottom"/>
            <w:tcBorders>
              <w:bottom w:val="single" w:sz="8" w:color="CCEEFF"/>
            </w:tcBorders>
            <w:shd w:val="clear" w:color="auto" w:fill="CCEEFF"/>
          </w:tcPr>
          <w:p>
            <w:pPr>
              <w:ind w:left="1460"/>
              <w:spacing w:after="0"/>
              <w:rPr>
                <w:sz w:val="20"/>
                <w:szCs w:val="20"/>
                <w:color w:val="auto"/>
              </w:rPr>
            </w:pPr>
            <w:r>
              <w:rPr>
                <w:rFonts w:ascii="Arial" w:cs="Arial" w:eastAsia="Arial" w:hAnsi="Arial"/>
                <w:sz w:val="14"/>
                <w:szCs w:val="14"/>
                <w:color w:val="auto"/>
              </w:rPr>
              <w:t>Chicago Mercantile Exchange</w:t>
            </w:r>
          </w:p>
        </w:tc>
      </w:tr>
      <w:tr>
        <w:trPr>
          <w:trHeight w:val="193"/>
        </w:trPr>
        <w:tc>
          <w:tcPr>
            <w:tcW w:w="324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CNP Midstream</w:t>
            </w:r>
          </w:p>
        </w:tc>
        <w:tc>
          <w:tcPr>
            <w:tcW w:w="8140" w:type="dxa"/>
            <w:vAlign w:val="bottom"/>
          </w:tcPr>
          <w:p>
            <w:pPr>
              <w:ind w:left="1460"/>
              <w:spacing w:after="0"/>
              <w:rPr>
                <w:sz w:val="20"/>
                <w:szCs w:val="20"/>
                <w:color w:val="auto"/>
              </w:rPr>
            </w:pPr>
            <w:r>
              <w:rPr>
                <w:rFonts w:ascii="Arial" w:cs="Arial" w:eastAsia="Arial" w:hAnsi="Arial"/>
                <w:sz w:val="14"/>
                <w:szCs w:val="14"/>
                <w:color w:val="auto"/>
              </w:rPr>
              <w:t>CenterPoint Energy Midstream, Inc., a wholly-owned subsidiary of CenterPoint Energy</w:t>
            </w:r>
          </w:p>
        </w:tc>
      </w:tr>
      <w:tr>
        <w:trPr>
          <w:trHeight w:val="23"/>
        </w:trPr>
        <w:tc>
          <w:tcPr>
            <w:tcW w:w="3240" w:type="dxa"/>
            <w:vAlign w:val="bottom"/>
          </w:tcPr>
          <w:p>
            <w:pPr>
              <w:spacing w:after="0" w:line="20" w:lineRule="exact"/>
              <w:rPr>
                <w:sz w:val="1"/>
                <w:szCs w:val="1"/>
                <w:color w:val="auto"/>
              </w:rPr>
            </w:pPr>
          </w:p>
        </w:tc>
        <w:tc>
          <w:tcPr>
            <w:tcW w:w="8140" w:type="dxa"/>
            <w:vAlign w:val="bottom"/>
          </w:tcPr>
          <w:p>
            <w:pPr>
              <w:spacing w:after="0" w:line="20" w:lineRule="exact"/>
              <w:rPr>
                <w:sz w:val="1"/>
                <w:szCs w:val="1"/>
                <w:color w:val="auto"/>
              </w:rPr>
            </w:pPr>
          </w:p>
        </w:tc>
      </w:tr>
      <w:tr>
        <w:trPr>
          <w:trHeight w:val="196"/>
        </w:trPr>
        <w:tc>
          <w:tcPr>
            <w:tcW w:w="3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i w:val="1"/>
                <w:iCs w:val="1"/>
                <w:color w:val="auto"/>
              </w:rPr>
              <w:t>Common Stock</w:t>
            </w:r>
          </w:p>
        </w:tc>
        <w:tc>
          <w:tcPr>
            <w:tcW w:w="8140" w:type="dxa"/>
            <w:vAlign w:val="bottom"/>
            <w:tcBorders>
              <w:bottom w:val="single" w:sz="8" w:color="CCEEFF"/>
            </w:tcBorders>
            <w:shd w:val="clear" w:color="auto" w:fill="CCEEFF"/>
          </w:tcPr>
          <w:p>
            <w:pPr>
              <w:ind w:left="1460"/>
              <w:spacing w:after="0"/>
              <w:rPr>
                <w:sz w:val="20"/>
                <w:szCs w:val="20"/>
                <w:color w:val="auto"/>
              </w:rPr>
            </w:pPr>
            <w:r>
              <w:rPr>
                <w:rFonts w:ascii="Arial" w:cs="Arial" w:eastAsia="Arial" w:hAnsi="Arial"/>
                <w:sz w:val="14"/>
                <w:szCs w:val="14"/>
                <w:color w:val="auto"/>
              </w:rPr>
              <w:t>CenterPoint Energy, Inc. common stock, par value $0.01 per share</w:t>
            </w:r>
          </w:p>
        </w:tc>
      </w:tr>
      <w:tr>
        <w:trPr>
          <w:trHeight w:val="193"/>
        </w:trPr>
        <w:tc>
          <w:tcPr>
            <w:tcW w:w="324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CPCN</w:t>
            </w:r>
          </w:p>
        </w:tc>
        <w:tc>
          <w:tcPr>
            <w:tcW w:w="8140" w:type="dxa"/>
            <w:vAlign w:val="bottom"/>
          </w:tcPr>
          <w:p>
            <w:pPr>
              <w:ind w:left="1460"/>
              <w:spacing w:after="0"/>
              <w:rPr>
                <w:sz w:val="20"/>
                <w:szCs w:val="20"/>
                <w:color w:val="auto"/>
              </w:rPr>
            </w:pPr>
            <w:r>
              <w:rPr>
                <w:rFonts w:ascii="Arial" w:cs="Arial" w:eastAsia="Arial" w:hAnsi="Arial"/>
                <w:sz w:val="14"/>
                <w:szCs w:val="14"/>
                <w:color w:val="auto"/>
              </w:rPr>
              <w:t>Certificate of Public Convenience and Necessity</w:t>
            </w:r>
          </w:p>
        </w:tc>
      </w:tr>
      <w:tr>
        <w:trPr>
          <w:trHeight w:val="23"/>
        </w:trPr>
        <w:tc>
          <w:tcPr>
            <w:tcW w:w="3240" w:type="dxa"/>
            <w:vAlign w:val="bottom"/>
          </w:tcPr>
          <w:p>
            <w:pPr>
              <w:spacing w:after="0" w:line="20" w:lineRule="exact"/>
              <w:rPr>
                <w:sz w:val="1"/>
                <w:szCs w:val="1"/>
                <w:color w:val="auto"/>
              </w:rPr>
            </w:pPr>
          </w:p>
        </w:tc>
        <w:tc>
          <w:tcPr>
            <w:tcW w:w="8140" w:type="dxa"/>
            <w:vAlign w:val="bottom"/>
          </w:tcPr>
          <w:p>
            <w:pPr>
              <w:spacing w:after="0" w:line="20" w:lineRule="exact"/>
              <w:rPr>
                <w:sz w:val="1"/>
                <w:szCs w:val="1"/>
                <w:color w:val="auto"/>
              </w:rPr>
            </w:pPr>
          </w:p>
        </w:tc>
      </w:tr>
      <w:tr>
        <w:trPr>
          <w:trHeight w:val="196"/>
        </w:trPr>
        <w:tc>
          <w:tcPr>
            <w:tcW w:w="3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i w:val="1"/>
                <w:iCs w:val="1"/>
                <w:color w:val="auto"/>
              </w:rPr>
              <w:t>CPP</w:t>
            </w:r>
          </w:p>
        </w:tc>
        <w:tc>
          <w:tcPr>
            <w:tcW w:w="8140" w:type="dxa"/>
            <w:vAlign w:val="bottom"/>
            <w:tcBorders>
              <w:bottom w:val="single" w:sz="8" w:color="CCEEFF"/>
            </w:tcBorders>
            <w:shd w:val="clear" w:color="auto" w:fill="CCEEFF"/>
          </w:tcPr>
          <w:p>
            <w:pPr>
              <w:ind w:left="1460"/>
              <w:spacing w:after="0"/>
              <w:rPr>
                <w:sz w:val="20"/>
                <w:szCs w:val="20"/>
                <w:color w:val="auto"/>
              </w:rPr>
            </w:pPr>
            <w:r>
              <w:rPr>
                <w:rFonts w:ascii="Arial" w:cs="Arial" w:eastAsia="Arial" w:hAnsi="Arial"/>
                <w:sz w:val="14"/>
                <w:szCs w:val="14"/>
                <w:color w:val="auto"/>
              </w:rPr>
              <w:t>Clean Power Plan</w:t>
            </w:r>
          </w:p>
        </w:tc>
      </w:tr>
      <w:tr>
        <w:trPr>
          <w:trHeight w:val="193"/>
        </w:trPr>
        <w:tc>
          <w:tcPr>
            <w:tcW w:w="324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CSIA</w:t>
            </w:r>
          </w:p>
        </w:tc>
        <w:tc>
          <w:tcPr>
            <w:tcW w:w="8140" w:type="dxa"/>
            <w:vAlign w:val="bottom"/>
          </w:tcPr>
          <w:p>
            <w:pPr>
              <w:ind w:left="1460"/>
              <w:spacing w:after="0"/>
              <w:rPr>
                <w:sz w:val="20"/>
                <w:szCs w:val="20"/>
                <w:color w:val="auto"/>
              </w:rPr>
            </w:pPr>
            <w:r>
              <w:rPr>
                <w:rFonts w:ascii="Arial" w:cs="Arial" w:eastAsia="Arial" w:hAnsi="Arial"/>
                <w:sz w:val="14"/>
                <w:szCs w:val="14"/>
                <w:color w:val="auto"/>
              </w:rPr>
              <w:t>Compliance and System Improvement Adjustment</w:t>
            </w:r>
          </w:p>
        </w:tc>
      </w:tr>
      <w:tr>
        <w:trPr>
          <w:trHeight w:val="23"/>
        </w:trPr>
        <w:tc>
          <w:tcPr>
            <w:tcW w:w="3240" w:type="dxa"/>
            <w:vAlign w:val="bottom"/>
          </w:tcPr>
          <w:p>
            <w:pPr>
              <w:spacing w:after="0" w:line="20" w:lineRule="exact"/>
              <w:rPr>
                <w:sz w:val="1"/>
                <w:szCs w:val="1"/>
                <w:color w:val="auto"/>
              </w:rPr>
            </w:pPr>
          </w:p>
        </w:tc>
        <w:tc>
          <w:tcPr>
            <w:tcW w:w="8140" w:type="dxa"/>
            <w:vAlign w:val="bottom"/>
          </w:tcPr>
          <w:p>
            <w:pPr>
              <w:spacing w:after="0" w:line="20" w:lineRule="exact"/>
              <w:rPr>
                <w:sz w:val="1"/>
                <w:szCs w:val="1"/>
                <w:color w:val="auto"/>
              </w:rPr>
            </w:pPr>
          </w:p>
        </w:tc>
      </w:tr>
      <w:tr>
        <w:trPr>
          <w:trHeight w:val="196"/>
        </w:trPr>
        <w:tc>
          <w:tcPr>
            <w:tcW w:w="3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i w:val="1"/>
                <w:iCs w:val="1"/>
                <w:color w:val="auto"/>
              </w:rPr>
              <w:t>DCRF</w:t>
            </w:r>
          </w:p>
        </w:tc>
        <w:tc>
          <w:tcPr>
            <w:tcW w:w="8140" w:type="dxa"/>
            <w:vAlign w:val="bottom"/>
            <w:tcBorders>
              <w:bottom w:val="single" w:sz="8" w:color="CCEEFF"/>
            </w:tcBorders>
            <w:shd w:val="clear" w:color="auto" w:fill="CCEEFF"/>
          </w:tcPr>
          <w:p>
            <w:pPr>
              <w:ind w:left="1460"/>
              <w:spacing w:after="0"/>
              <w:rPr>
                <w:sz w:val="20"/>
                <w:szCs w:val="20"/>
                <w:color w:val="auto"/>
              </w:rPr>
            </w:pPr>
            <w:r>
              <w:rPr>
                <w:rFonts w:ascii="Arial" w:cs="Arial" w:eastAsia="Arial" w:hAnsi="Arial"/>
                <w:sz w:val="14"/>
                <w:szCs w:val="14"/>
                <w:color w:val="auto"/>
              </w:rPr>
              <w:t>Distribution Cost Recovery Factor</w:t>
            </w:r>
          </w:p>
        </w:tc>
      </w:tr>
      <w:tr>
        <w:trPr>
          <w:trHeight w:val="193"/>
        </w:trPr>
        <w:tc>
          <w:tcPr>
            <w:tcW w:w="324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DRR</w:t>
            </w:r>
          </w:p>
        </w:tc>
        <w:tc>
          <w:tcPr>
            <w:tcW w:w="8140" w:type="dxa"/>
            <w:vAlign w:val="bottom"/>
          </w:tcPr>
          <w:p>
            <w:pPr>
              <w:ind w:left="1460"/>
              <w:spacing w:after="0"/>
              <w:rPr>
                <w:sz w:val="20"/>
                <w:szCs w:val="20"/>
                <w:color w:val="auto"/>
              </w:rPr>
            </w:pPr>
            <w:r>
              <w:rPr>
                <w:rFonts w:ascii="Arial" w:cs="Arial" w:eastAsia="Arial" w:hAnsi="Arial"/>
                <w:sz w:val="14"/>
                <w:szCs w:val="14"/>
                <w:color w:val="auto"/>
              </w:rPr>
              <w:t>Distribution Replacement Rider</w:t>
            </w:r>
          </w:p>
        </w:tc>
      </w:tr>
      <w:tr>
        <w:trPr>
          <w:trHeight w:val="23"/>
        </w:trPr>
        <w:tc>
          <w:tcPr>
            <w:tcW w:w="3240" w:type="dxa"/>
            <w:vAlign w:val="bottom"/>
          </w:tcPr>
          <w:p>
            <w:pPr>
              <w:spacing w:after="0" w:line="20" w:lineRule="exact"/>
              <w:rPr>
                <w:sz w:val="1"/>
                <w:szCs w:val="1"/>
                <w:color w:val="auto"/>
              </w:rPr>
            </w:pPr>
          </w:p>
        </w:tc>
        <w:tc>
          <w:tcPr>
            <w:tcW w:w="8140" w:type="dxa"/>
            <w:vAlign w:val="bottom"/>
          </w:tcPr>
          <w:p>
            <w:pPr>
              <w:spacing w:after="0" w:line="20" w:lineRule="exact"/>
              <w:rPr>
                <w:sz w:val="1"/>
                <w:szCs w:val="1"/>
                <w:color w:val="auto"/>
              </w:rPr>
            </w:pPr>
          </w:p>
        </w:tc>
      </w:tr>
      <w:tr>
        <w:trPr>
          <w:trHeight w:val="196"/>
        </w:trPr>
        <w:tc>
          <w:tcPr>
            <w:tcW w:w="3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i w:val="1"/>
                <w:iCs w:val="1"/>
                <w:color w:val="auto"/>
              </w:rPr>
              <w:t>DSMA</w:t>
            </w:r>
          </w:p>
        </w:tc>
        <w:tc>
          <w:tcPr>
            <w:tcW w:w="8140" w:type="dxa"/>
            <w:vAlign w:val="bottom"/>
            <w:tcBorders>
              <w:bottom w:val="single" w:sz="8" w:color="CCEEFF"/>
            </w:tcBorders>
            <w:shd w:val="clear" w:color="auto" w:fill="CCEEFF"/>
          </w:tcPr>
          <w:p>
            <w:pPr>
              <w:ind w:left="1460"/>
              <w:spacing w:after="0"/>
              <w:rPr>
                <w:sz w:val="20"/>
                <w:szCs w:val="20"/>
                <w:color w:val="auto"/>
              </w:rPr>
            </w:pPr>
            <w:r>
              <w:rPr>
                <w:rFonts w:ascii="Arial" w:cs="Arial" w:eastAsia="Arial" w:hAnsi="Arial"/>
                <w:sz w:val="14"/>
                <w:szCs w:val="14"/>
                <w:color w:val="auto"/>
              </w:rPr>
              <w:t>Demand Side Management Adjustment</w:t>
            </w:r>
          </w:p>
        </w:tc>
      </w:tr>
      <w:tr>
        <w:trPr>
          <w:trHeight w:val="193"/>
        </w:trPr>
        <w:tc>
          <w:tcPr>
            <w:tcW w:w="324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ECA</w:t>
            </w:r>
          </w:p>
        </w:tc>
        <w:tc>
          <w:tcPr>
            <w:tcW w:w="8140" w:type="dxa"/>
            <w:vAlign w:val="bottom"/>
          </w:tcPr>
          <w:p>
            <w:pPr>
              <w:ind w:left="1460"/>
              <w:spacing w:after="0"/>
              <w:rPr>
                <w:sz w:val="20"/>
                <w:szCs w:val="20"/>
                <w:color w:val="auto"/>
              </w:rPr>
            </w:pPr>
            <w:r>
              <w:rPr>
                <w:rFonts w:ascii="Arial" w:cs="Arial" w:eastAsia="Arial" w:hAnsi="Arial"/>
                <w:sz w:val="14"/>
                <w:szCs w:val="14"/>
                <w:color w:val="auto"/>
              </w:rPr>
              <w:t>Environmental Cost Adjustment</w:t>
            </w:r>
          </w:p>
        </w:tc>
      </w:tr>
      <w:tr>
        <w:trPr>
          <w:trHeight w:val="23"/>
        </w:trPr>
        <w:tc>
          <w:tcPr>
            <w:tcW w:w="3240" w:type="dxa"/>
            <w:vAlign w:val="bottom"/>
          </w:tcPr>
          <w:p>
            <w:pPr>
              <w:spacing w:after="0" w:line="20" w:lineRule="exact"/>
              <w:rPr>
                <w:sz w:val="1"/>
                <w:szCs w:val="1"/>
                <w:color w:val="auto"/>
              </w:rPr>
            </w:pPr>
          </w:p>
        </w:tc>
        <w:tc>
          <w:tcPr>
            <w:tcW w:w="8140" w:type="dxa"/>
            <w:vAlign w:val="bottom"/>
          </w:tcPr>
          <w:p>
            <w:pPr>
              <w:spacing w:after="0" w:line="20" w:lineRule="exact"/>
              <w:rPr>
                <w:sz w:val="1"/>
                <w:szCs w:val="1"/>
                <w:color w:val="auto"/>
              </w:rPr>
            </w:pPr>
          </w:p>
        </w:tc>
      </w:tr>
      <w:tr>
        <w:trPr>
          <w:trHeight w:val="196"/>
        </w:trPr>
        <w:tc>
          <w:tcPr>
            <w:tcW w:w="3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i w:val="1"/>
                <w:iCs w:val="1"/>
                <w:color w:val="auto"/>
              </w:rPr>
              <w:t>EDIT</w:t>
            </w:r>
          </w:p>
        </w:tc>
        <w:tc>
          <w:tcPr>
            <w:tcW w:w="8140" w:type="dxa"/>
            <w:vAlign w:val="bottom"/>
            <w:tcBorders>
              <w:bottom w:val="single" w:sz="8" w:color="CCEEFF"/>
            </w:tcBorders>
            <w:shd w:val="clear" w:color="auto" w:fill="CCEEFF"/>
          </w:tcPr>
          <w:p>
            <w:pPr>
              <w:ind w:left="1460"/>
              <w:spacing w:after="0"/>
              <w:rPr>
                <w:sz w:val="20"/>
                <w:szCs w:val="20"/>
                <w:color w:val="auto"/>
              </w:rPr>
            </w:pPr>
            <w:r>
              <w:rPr>
                <w:rFonts w:ascii="Arial" w:cs="Arial" w:eastAsia="Arial" w:hAnsi="Arial"/>
                <w:sz w:val="14"/>
                <w:szCs w:val="14"/>
                <w:color w:val="auto"/>
              </w:rPr>
              <w:t>Excess deferred income taxes</w:t>
            </w:r>
          </w:p>
        </w:tc>
      </w:tr>
      <w:tr>
        <w:trPr>
          <w:trHeight w:val="193"/>
        </w:trPr>
        <w:tc>
          <w:tcPr>
            <w:tcW w:w="324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EECR</w:t>
            </w:r>
          </w:p>
        </w:tc>
        <w:tc>
          <w:tcPr>
            <w:tcW w:w="8140" w:type="dxa"/>
            <w:vAlign w:val="bottom"/>
          </w:tcPr>
          <w:p>
            <w:pPr>
              <w:ind w:left="1460"/>
              <w:spacing w:after="0"/>
              <w:rPr>
                <w:sz w:val="20"/>
                <w:szCs w:val="20"/>
                <w:color w:val="auto"/>
              </w:rPr>
            </w:pPr>
            <w:r>
              <w:rPr>
                <w:rFonts w:ascii="Arial" w:cs="Arial" w:eastAsia="Arial" w:hAnsi="Arial"/>
                <w:sz w:val="14"/>
                <w:szCs w:val="14"/>
                <w:color w:val="auto"/>
              </w:rPr>
              <w:t>Energy Efficiency Cost Recovery</w:t>
            </w:r>
          </w:p>
        </w:tc>
      </w:tr>
      <w:tr>
        <w:trPr>
          <w:trHeight w:val="388"/>
        </w:trPr>
        <w:tc>
          <w:tcPr>
            <w:tcW w:w="3240" w:type="dxa"/>
            <w:vAlign w:val="bottom"/>
          </w:tcPr>
          <w:p>
            <w:pPr>
              <w:spacing w:after="0"/>
              <w:rPr>
                <w:sz w:val="24"/>
                <w:szCs w:val="24"/>
                <w:color w:val="auto"/>
              </w:rPr>
            </w:pPr>
          </w:p>
        </w:tc>
        <w:tc>
          <w:tcPr>
            <w:tcW w:w="8140" w:type="dxa"/>
            <w:vAlign w:val="bottom"/>
          </w:tcPr>
          <w:p>
            <w:pPr>
              <w:ind w:left="2420"/>
              <w:spacing w:after="0"/>
              <w:rPr>
                <w:sz w:val="20"/>
                <w:szCs w:val="20"/>
                <w:color w:val="auto"/>
              </w:rPr>
            </w:pPr>
            <w:r>
              <w:rPr>
                <w:rFonts w:ascii="Arial" w:cs="Arial" w:eastAsia="Arial" w:hAnsi="Arial"/>
                <w:sz w:val="14"/>
                <w:szCs w:val="14"/>
                <w:color w:val="auto"/>
              </w:rPr>
              <w:t>ii</w:t>
            </w:r>
          </w:p>
        </w:tc>
      </w:tr>
    </w:tbl>
    <w:p>
      <w:pPr>
        <w:sectPr>
          <w:pgSz w:w="11900" w:h="16838" w:orient="portrait"/>
          <w:cols w:equalWidth="0" w:num="1">
            <w:col w:w="11380"/>
          </w:cols>
          <w:pgMar w:left="260" w:top="625" w:right="259" w:bottom="144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580" w:type="dxa"/>
            <w:vAlign w:val="bottom"/>
          </w:tcPr>
          <w:p>
            <w:pPr>
              <w:spacing w:after="0"/>
              <w:rPr>
                <w:sz w:val="15"/>
                <w:szCs w:val="15"/>
                <w:color w:val="auto"/>
              </w:rPr>
            </w:pPr>
          </w:p>
        </w:tc>
        <w:tc>
          <w:tcPr>
            <w:tcW w:w="7800" w:type="dxa"/>
            <w:vAlign w:val="bottom"/>
          </w:tcPr>
          <w:p>
            <w:pPr>
              <w:ind w:left="1740"/>
              <w:spacing w:after="0"/>
              <w:rPr>
                <w:sz w:val="20"/>
                <w:szCs w:val="20"/>
                <w:color w:val="auto"/>
              </w:rPr>
            </w:pPr>
            <w:r>
              <w:rPr>
                <w:rFonts w:ascii="Arial" w:cs="Arial" w:eastAsia="Arial" w:hAnsi="Arial"/>
                <w:sz w:val="14"/>
                <w:szCs w:val="14"/>
                <w:b w:val="1"/>
                <w:bCs w:val="1"/>
                <w:i w:val="1"/>
                <w:iCs w:val="1"/>
                <w:color w:val="auto"/>
              </w:rPr>
              <w:t>GLOSSARY</w:t>
            </w:r>
          </w:p>
        </w:tc>
      </w:tr>
      <w:tr>
        <w:trPr>
          <w:trHeight w:val="23"/>
        </w:trPr>
        <w:tc>
          <w:tcPr>
            <w:tcW w:w="3580" w:type="dxa"/>
            <w:vAlign w:val="bottom"/>
            <w:tcBorders>
              <w:bottom w:val="single" w:sz="8" w:color="auto"/>
            </w:tcBorders>
          </w:tcPr>
          <w:p>
            <w:pPr>
              <w:spacing w:after="0" w:line="20" w:lineRule="exact"/>
              <w:rPr>
                <w:sz w:val="1"/>
                <w:szCs w:val="1"/>
                <w:color w:val="auto"/>
              </w:rPr>
            </w:pPr>
          </w:p>
        </w:tc>
        <w:tc>
          <w:tcPr>
            <w:tcW w:w="7800" w:type="dxa"/>
            <w:vAlign w:val="bottom"/>
            <w:tcBorders>
              <w:bottom w:val="single" w:sz="8" w:color="auto"/>
            </w:tcBorders>
          </w:tcPr>
          <w:p>
            <w:pPr>
              <w:spacing w:after="0" w:line="20" w:lineRule="exact"/>
              <w:rPr>
                <w:sz w:val="1"/>
                <w:szCs w:val="1"/>
                <w:color w:val="auto"/>
              </w:rPr>
            </w:pPr>
          </w:p>
        </w:tc>
      </w:tr>
      <w:tr>
        <w:trPr>
          <w:trHeight w:val="186"/>
        </w:trPr>
        <w:tc>
          <w:tcPr>
            <w:tcW w:w="3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i w:val="1"/>
                <w:iCs w:val="1"/>
                <w:color w:val="auto"/>
              </w:rPr>
              <w:t>EECRF</w:t>
            </w:r>
          </w:p>
        </w:tc>
        <w:tc>
          <w:tcPr>
            <w:tcW w:w="7800" w:type="dxa"/>
            <w:vAlign w:val="bottom"/>
            <w:tcBorders>
              <w:bottom w:val="single" w:sz="8" w:color="CCEEFF"/>
            </w:tcBorders>
            <w:shd w:val="clear" w:color="auto" w:fill="CCEEFF"/>
          </w:tcPr>
          <w:p>
            <w:pPr>
              <w:ind w:left="1120"/>
              <w:spacing w:after="0"/>
              <w:rPr>
                <w:sz w:val="20"/>
                <w:szCs w:val="20"/>
                <w:color w:val="auto"/>
              </w:rPr>
            </w:pPr>
            <w:r>
              <w:rPr>
                <w:rFonts w:ascii="Arial" w:cs="Arial" w:eastAsia="Arial" w:hAnsi="Arial"/>
                <w:sz w:val="14"/>
                <w:szCs w:val="14"/>
                <w:color w:val="auto"/>
              </w:rPr>
              <w:t>Energy Efficiency Cost Recovery Factor</w:t>
            </w:r>
          </w:p>
        </w:tc>
      </w:tr>
      <w:tr>
        <w:trPr>
          <w:trHeight w:val="193"/>
        </w:trPr>
        <w:tc>
          <w:tcPr>
            <w:tcW w:w="358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EEFC</w:t>
            </w:r>
          </w:p>
        </w:tc>
        <w:tc>
          <w:tcPr>
            <w:tcW w:w="7800" w:type="dxa"/>
            <w:vAlign w:val="bottom"/>
          </w:tcPr>
          <w:p>
            <w:pPr>
              <w:ind w:left="1120"/>
              <w:spacing w:after="0"/>
              <w:rPr>
                <w:sz w:val="20"/>
                <w:szCs w:val="20"/>
                <w:color w:val="auto"/>
              </w:rPr>
            </w:pPr>
            <w:r>
              <w:rPr>
                <w:rFonts w:ascii="Arial" w:cs="Arial" w:eastAsia="Arial" w:hAnsi="Arial"/>
                <w:sz w:val="14"/>
                <w:szCs w:val="14"/>
                <w:color w:val="auto"/>
              </w:rPr>
              <w:t>Energy Efficiency Funding Component</w:t>
            </w:r>
          </w:p>
        </w:tc>
      </w:tr>
      <w:tr>
        <w:trPr>
          <w:trHeight w:val="23"/>
        </w:trPr>
        <w:tc>
          <w:tcPr>
            <w:tcW w:w="3580" w:type="dxa"/>
            <w:vAlign w:val="bottom"/>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r>
      <w:tr>
        <w:trPr>
          <w:trHeight w:val="196"/>
        </w:trPr>
        <w:tc>
          <w:tcPr>
            <w:tcW w:w="3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i w:val="1"/>
                <w:iCs w:val="1"/>
                <w:color w:val="auto"/>
              </w:rPr>
              <w:t>EEFR</w:t>
            </w:r>
          </w:p>
        </w:tc>
        <w:tc>
          <w:tcPr>
            <w:tcW w:w="7800" w:type="dxa"/>
            <w:vAlign w:val="bottom"/>
            <w:tcBorders>
              <w:bottom w:val="single" w:sz="8" w:color="CCEEFF"/>
            </w:tcBorders>
            <w:shd w:val="clear" w:color="auto" w:fill="CCEEFF"/>
          </w:tcPr>
          <w:p>
            <w:pPr>
              <w:ind w:left="1120"/>
              <w:spacing w:after="0"/>
              <w:rPr>
                <w:sz w:val="20"/>
                <w:szCs w:val="20"/>
                <w:color w:val="auto"/>
              </w:rPr>
            </w:pPr>
            <w:r>
              <w:rPr>
                <w:rFonts w:ascii="Arial" w:cs="Arial" w:eastAsia="Arial" w:hAnsi="Arial"/>
                <w:sz w:val="14"/>
                <w:szCs w:val="14"/>
                <w:color w:val="auto"/>
              </w:rPr>
              <w:t>Energy Efficiency Funding Rider</w:t>
            </w:r>
          </w:p>
        </w:tc>
      </w:tr>
      <w:tr>
        <w:trPr>
          <w:trHeight w:val="193"/>
        </w:trPr>
        <w:tc>
          <w:tcPr>
            <w:tcW w:w="358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ELG</w:t>
            </w:r>
          </w:p>
        </w:tc>
        <w:tc>
          <w:tcPr>
            <w:tcW w:w="7800" w:type="dxa"/>
            <w:vAlign w:val="bottom"/>
          </w:tcPr>
          <w:p>
            <w:pPr>
              <w:ind w:left="1120"/>
              <w:spacing w:after="0"/>
              <w:rPr>
                <w:sz w:val="20"/>
                <w:szCs w:val="20"/>
                <w:color w:val="auto"/>
              </w:rPr>
            </w:pPr>
            <w:r>
              <w:rPr>
                <w:rFonts w:ascii="Arial" w:cs="Arial" w:eastAsia="Arial" w:hAnsi="Arial"/>
                <w:sz w:val="14"/>
                <w:szCs w:val="14"/>
                <w:color w:val="auto"/>
              </w:rPr>
              <w:t>Effluent Limitation Guidelines</w:t>
            </w:r>
          </w:p>
        </w:tc>
      </w:tr>
      <w:tr>
        <w:trPr>
          <w:trHeight w:val="23"/>
        </w:trPr>
        <w:tc>
          <w:tcPr>
            <w:tcW w:w="3580" w:type="dxa"/>
            <w:vAlign w:val="bottom"/>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r>
      <w:tr>
        <w:trPr>
          <w:trHeight w:val="196"/>
        </w:trPr>
        <w:tc>
          <w:tcPr>
            <w:tcW w:w="3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i w:val="1"/>
                <w:iCs w:val="1"/>
                <w:color w:val="auto"/>
              </w:rPr>
              <w:t>EMV</w:t>
            </w:r>
          </w:p>
        </w:tc>
        <w:tc>
          <w:tcPr>
            <w:tcW w:w="7800" w:type="dxa"/>
            <w:vAlign w:val="bottom"/>
            <w:tcBorders>
              <w:bottom w:val="single" w:sz="8" w:color="CCEEFF"/>
            </w:tcBorders>
            <w:shd w:val="clear" w:color="auto" w:fill="CCEEFF"/>
          </w:tcPr>
          <w:p>
            <w:pPr>
              <w:ind w:left="1120"/>
              <w:spacing w:after="0"/>
              <w:rPr>
                <w:sz w:val="20"/>
                <w:szCs w:val="20"/>
                <w:color w:val="auto"/>
              </w:rPr>
            </w:pPr>
            <w:r>
              <w:rPr>
                <w:rFonts w:ascii="Arial" w:cs="Arial" w:eastAsia="Arial" w:hAnsi="Arial"/>
                <w:sz w:val="14"/>
                <w:szCs w:val="14"/>
                <w:color w:val="auto"/>
              </w:rPr>
              <w:t>Evaluation, measurement and valuation</w:t>
            </w:r>
          </w:p>
        </w:tc>
      </w:tr>
      <w:tr>
        <w:trPr>
          <w:trHeight w:val="193"/>
        </w:trPr>
        <w:tc>
          <w:tcPr>
            <w:tcW w:w="358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Enable</w:t>
            </w:r>
          </w:p>
        </w:tc>
        <w:tc>
          <w:tcPr>
            <w:tcW w:w="7800" w:type="dxa"/>
            <w:vAlign w:val="bottom"/>
          </w:tcPr>
          <w:p>
            <w:pPr>
              <w:ind w:left="1120"/>
              <w:spacing w:after="0"/>
              <w:rPr>
                <w:sz w:val="20"/>
                <w:szCs w:val="20"/>
                <w:color w:val="auto"/>
              </w:rPr>
            </w:pPr>
            <w:r>
              <w:rPr>
                <w:rFonts w:ascii="Arial" w:cs="Arial" w:eastAsia="Arial" w:hAnsi="Arial"/>
                <w:sz w:val="14"/>
                <w:szCs w:val="14"/>
                <w:color w:val="auto"/>
              </w:rPr>
              <w:t>Enable Midstream Partners, LP</w:t>
            </w:r>
          </w:p>
        </w:tc>
      </w:tr>
      <w:tr>
        <w:trPr>
          <w:trHeight w:val="23"/>
        </w:trPr>
        <w:tc>
          <w:tcPr>
            <w:tcW w:w="3580" w:type="dxa"/>
            <w:vAlign w:val="bottom"/>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r>
      <w:tr>
        <w:trPr>
          <w:trHeight w:val="196"/>
        </w:trPr>
        <w:tc>
          <w:tcPr>
            <w:tcW w:w="3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i w:val="1"/>
                <w:iCs w:val="1"/>
                <w:color w:val="auto"/>
              </w:rPr>
              <w:t>Enable GP</w:t>
            </w:r>
          </w:p>
        </w:tc>
        <w:tc>
          <w:tcPr>
            <w:tcW w:w="7800" w:type="dxa"/>
            <w:vAlign w:val="bottom"/>
            <w:tcBorders>
              <w:bottom w:val="single" w:sz="8" w:color="CCEEFF"/>
            </w:tcBorders>
            <w:shd w:val="clear" w:color="auto" w:fill="CCEEFF"/>
          </w:tcPr>
          <w:p>
            <w:pPr>
              <w:ind w:left="1120"/>
              <w:spacing w:after="0"/>
              <w:rPr>
                <w:sz w:val="20"/>
                <w:szCs w:val="20"/>
                <w:color w:val="auto"/>
              </w:rPr>
            </w:pPr>
            <w:r>
              <w:rPr>
                <w:rFonts w:ascii="Arial" w:cs="Arial" w:eastAsia="Arial" w:hAnsi="Arial"/>
                <w:sz w:val="14"/>
                <w:szCs w:val="14"/>
                <w:color w:val="auto"/>
              </w:rPr>
              <w:t>Enable GP, LLC, Enable’s general partner</w:t>
            </w:r>
          </w:p>
        </w:tc>
      </w:tr>
      <w:tr>
        <w:trPr>
          <w:trHeight w:val="183"/>
        </w:trPr>
        <w:tc>
          <w:tcPr>
            <w:tcW w:w="358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Enable Series A Preferred Units</w:t>
            </w:r>
          </w:p>
        </w:tc>
        <w:tc>
          <w:tcPr>
            <w:tcW w:w="7800" w:type="dxa"/>
            <w:vAlign w:val="bottom"/>
          </w:tcPr>
          <w:p>
            <w:pPr>
              <w:ind w:left="1120"/>
              <w:spacing w:after="0"/>
              <w:rPr>
                <w:sz w:val="20"/>
                <w:szCs w:val="20"/>
                <w:color w:val="auto"/>
              </w:rPr>
            </w:pPr>
            <w:r>
              <w:rPr>
                <w:rFonts w:ascii="Arial" w:cs="Arial" w:eastAsia="Arial" w:hAnsi="Arial"/>
                <w:sz w:val="14"/>
                <w:szCs w:val="14"/>
                <w:color w:val="auto"/>
                <w:w w:val="97"/>
              </w:rPr>
              <w:t>Enable’s 10% Series A Fixed-to-Floating Non-Cumulative Redeemable Perpetual Preferred Units, representing</w:t>
            </w:r>
          </w:p>
        </w:tc>
      </w:tr>
      <w:tr>
        <w:trPr>
          <w:trHeight w:val="182"/>
        </w:trPr>
        <w:tc>
          <w:tcPr>
            <w:tcW w:w="3580" w:type="dxa"/>
            <w:vAlign w:val="bottom"/>
          </w:tcPr>
          <w:p>
            <w:pPr>
              <w:spacing w:after="0"/>
              <w:rPr>
                <w:sz w:val="15"/>
                <w:szCs w:val="15"/>
                <w:color w:val="auto"/>
              </w:rPr>
            </w:pPr>
          </w:p>
        </w:tc>
        <w:tc>
          <w:tcPr>
            <w:tcW w:w="7800" w:type="dxa"/>
            <w:vAlign w:val="bottom"/>
          </w:tcPr>
          <w:p>
            <w:pPr>
              <w:ind w:left="1120"/>
              <w:spacing w:after="0"/>
              <w:rPr>
                <w:sz w:val="20"/>
                <w:szCs w:val="20"/>
                <w:color w:val="auto"/>
              </w:rPr>
            </w:pPr>
            <w:r>
              <w:rPr>
                <w:rFonts w:ascii="Arial" w:cs="Arial" w:eastAsia="Arial" w:hAnsi="Arial"/>
                <w:sz w:val="14"/>
                <w:szCs w:val="14"/>
                <w:color w:val="auto"/>
              </w:rPr>
              <w:t>limited partner interests in Enable</w:t>
            </w:r>
          </w:p>
        </w:tc>
      </w:tr>
      <w:tr>
        <w:trPr>
          <w:trHeight w:val="23"/>
        </w:trPr>
        <w:tc>
          <w:tcPr>
            <w:tcW w:w="3580" w:type="dxa"/>
            <w:vAlign w:val="bottom"/>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r>
      <w:tr>
        <w:trPr>
          <w:trHeight w:val="196"/>
        </w:trPr>
        <w:tc>
          <w:tcPr>
            <w:tcW w:w="3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i w:val="1"/>
                <w:iCs w:val="1"/>
                <w:color w:val="auto"/>
              </w:rPr>
              <w:t>EPA</w:t>
            </w:r>
          </w:p>
        </w:tc>
        <w:tc>
          <w:tcPr>
            <w:tcW w:w="7800" w:type="dxa"/>
            <w:vAlign w:val="bottom"/>
            <w:tcBorders>
              <w:bottom w:val="single" w:sz="8" w:color="CCEEFF"/>
            </w:tcBorders>
            <w:shd w:val="clear" w:color="auto" w:fill="CCEEFF"/>
          </w:tcPr>
          <w:p>
            <w:pPr>
              <w:ind w:left="1120"/>
              <w:spacing w:after="0"/>
              <w:rPr>
                <w:sz w:val="20"/>
                <w:szCs w:val="20"/>
                <w:color w:val="auto"/>
              </w:rPr>
            </w:pPr>
            <w:r>
              <w:rPr>
                <w:rFonts w:ascii="Arial" w:cs="Arial" w:eastAsia="Arial" w:hAnsi="Arial"/>
                <w:sz w:val="14"/>
                <w:szCs w:val="14"/>
                <w:color w:val="auto"/>
              </w:rPr>
              <w:t>Environmental Protection Agency</w:t>
            </w:r>
          </w:p>
        </w:tc>
      </w:tr>
      <w:tr>
        <w:trPr>
          <w:trHeight w:val="193"/>
        </w:trPr>
        <w:tc>
          <w:tcPr>
            <w:tcW w:w="358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ERCOT</w:t>
            </w:r>
          </w:p>
        </w:tc>
        <w:tc>
          <w:tcPr>
            <w:tcW w:w="7800" w:type="dxa"/>
            <w:vAlign w:val="bottom"/>
          </w:tcPr>
          <w:p>
            <w:pPr>
              <w:ind w:left="1120"/>
              <w:spacing w:after="0"/>
              <w:rPr>
                <w:sz w:val="20"/>
                <w:szCs w:val="20"/>
                <w:color w:val="auto"/>
              </w:rPr>
            </w:pPr>
            <w:r>
              <w:rPr>
                <w:rFonts w:ascii="Arial" w:cs="Arial" w:eastAsia="Arial" w:hAnsi="Arial"/>
                <w:sz w:val="14"/>
                <w:szCs w:val="14"/>
                <w:color w:val="auto"/>
              </w:rPr>
              <w:t>Electric Reliability Council of Texas</w:t>
            </w:r>
          </w:p>
        </w:tc>
      </w:tr>
      <w:tr>
        <w:trPr>
          <w:trHeight w:val="23"/>
        </w:trPr>
        <w:tc>
          <w:tcPr>
            <w:tcW w:w="3580" w:type="dxa"/>
            <w:vAlign w:val="bottom"/>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r>
      <w:tr>
        <w:trPr>
          <w:trHeight w:val="196"/>
        </w:trPr>
        <w:tc>
          <w:tcPr>
            <w:tcW w:w="3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i w:val="1"/>
                <w:iCs w:val="1"/>
                <w:color w:val="auto"/>
              </w:rPr>
              <w:t>ESG</w:t>
            </w:r>
          </w:p>
        </w:tc>
        <w:tc>
          <w:tcPr>
            <w:tcW w:w="7800" w:type="dxa"/>
            <w:vAlign w:val="bottom"/>
            <w:tcBorders>
              <w:bottom w:val="single" w:sz="8" w:color="CCEEFF"/>
            </w:tcBorders>
            <w:shd w:val="clear" w:color="auto" w:fill="CCEEFF"/>
          </w:tcPr>
          <w:p>
            <w:pPr>
              <w:ind w:left="1120"/>
              <w:spacing w:after="0"/>
              <w:rPr>
                <w:sz w:val="20"/>
                <w:szCs w:val="20"/>
                <w:color w:val="auto"/>
              </w:rPr>
            </w:pPr>
            <w:r>
              <w:rPr>
                <w:rFonts w:ascii="Arial" w:cs="Arial" w:eastAsia="Arial" w:hAnsi="Arial"/>
                <w:sz w:val="14"/>
                <w:szCs w:val="14"/>
                <w:color w:val="auto"/>
              </w:rPr>
              <w:t>Energy Systems Group, LLC, a wholly-owned subsidiary of Vectren</w:t>
            </w:r>
          </w:p>
        </w:tc>
      </w:tr>
      <w:tr>
        <w:trPr>
          <w:trHeight w:val="193"/>
        </w:trPr>
        <w:tc>
          <w:tcPr>
            <w:tcW w:w="358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FERC</w:t>
            </w:r>
          </w:p>
        </w:tc>
        <w:tc>
          <w:tcPr>
            <w:tcW w:w="7800" w:type="dxa"/>
            <w:vAlign w:val="bottom"/>
          </w:tcPr>
          <w:p>
            <w:pPr>
              <w:ind w:left="1120"/>
              <w:spacing w:after="0"/>
              <w:rPr>
                <w:sz w:val="20"/>
                <w:szCs w:val="20"/>
                <w:color w:val="auto"/>
              </w:rPr>
            </w:pPr>
            <w:r>
              <w:rPr>
                <w:rFonts w:ascii="Arial" w:cs="Arial" w:eastAsia="Arial" w:hAnsi="Arial"/>
                <w:sz w:val="14"/>
                <w:szCs w:val="14"/>
                <w:color w:val="auto"/>
              </w:rPr>
              <w:t>Federal Energy Regulatory Commission</w:t>
            </w:r>
          </w:p>
        </w:tc>
      </w:tr>
      <w:tr>
        <w:trPr>
          <w:trHeight w:val="23"/>
        </w:trPr>
        <w:tc>
          <w:tcPr>
            <w:tcW w:w="3580" w:type="dxa"/>
            <w:vAlign w:val="bottom"/>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r>
      <w:tr>
        <w:trPr>
          <w:trHeight w:val="196"/>
        </w:trPr>
        <w:tc>
          <w:tcPr>
            <w:tcW w:w="3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i w:val="1"/>
                <w:iCs w:val="1"/>
                <w:color w:val="auto"/>
              </w:rPr>
              <w:t>Fitch</w:t>
            </w:r>
          </w:p>
        </w:tc>
        <w:tc>
          <w:tcPr>
            <w:tcW w:w="7800" w:type="dxa"/>
            <w:vAlign w:val="bottom"/>
            <w:tcBorders>
              <w:bottom w:val="single" w:sz="8" w:color="CCEEFF"/>
            </w:tcBorders>
            <w:shd w:val="clear" w:color="auto" w:fill="CCEEFF"/>
          </w:tcPr>
          <w:p>
            <w:pPr>
              <w:ind w:left="1120"/>
              <w:spacing w:after="0"/>
              <w:rPr>
                <w:sz w:val="20"/>
                <w:szCs w:val="20"/>
                <w:color w:val="auto"/>
              </w:rPr>
            </w:pPr>
            <w:r>
              <w:rPr>
                <w:rFonts w:ascii="Arial" w:cs="Arial" w:eastAsia="Arial" w:hAnsi="Arial"/>
                <w:sz w:val="14"/>
                <w:szCs w:val="14"/>
                <w:color w:val="auto"/>
              </w:rPr>
              <w:t>Fitch, Inc.</w:t>
            </w:r>
          </w:p>
        </w:tc>
      </w:tr>
      <w:tr>
        <w:trPr>
          <w:trHeight w:val="193"/>
        </w:trPr>
        <w:tc>
          <w:tcPr>
            <w:tcW w:w="358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Form 10-Q</w:t>
            </w:r>
          </w:p>
        </w:tc>
        <w:tc>
          <w:tcPr>
            <w:tcW w:w="7800" w:type="dxa"/>
            <w:vAlign w:val="bottom"/>
          </w:tcPr>
          <w:p>
            <w:pPr>
              <w:ind w:left="1120"/>
              <w:spacing w:after="0"/>
              <w:rPr>
                <w:sz w:val="20"/>
                <w:szCs w:val="20"/>
                <w:color w:val="auto"/>
              </w:rPr>
            </w:pPr>
            <w:r>
              <w:rPr>
                <w:rFonts w:ascii="Arial" w:cs="Arial" w:eastAsia="Arial" w:hAnsi="Arial"/>
                <w:sz w:val="14"/>
                <w:szCs w:val="14"/>
                <w:color w:val="auto"/>
              </w:rPr>
              <w:t>Quarterly Report on Form 10-Q</w:t>
            </w:r>
          </w:p>
        </w:tc>
      </w:tr>
      <w:tr>
        <w:trPr>
          <w:trHeight w:val="23"/>
        </w:trPr>
        <w:tc>
          <w:tcPr>
            <w:tcW w:w="3580" w:type="dxa"/>
            <w:vAlign w:val="bottom"/>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r>
      <w:tr>
        <w:trPr>
          <w:trHeight w:val="196"/>
        </w:trPr>
        <w:tc>
          <w:tcPr>
            <w:tcW w:w="3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i w:val="1"/>
                <w:iCs w:val="1"/>
                <w:color w:val="auto"/>
              </w:rPr>
              <w:t>FRP</w:t>
            </w:r>
          </w:p>
        </w:tc>
        <w:tc>
          <w:tcPr>
            <w:tcW w:w="7800" w:type="dxa"/>
            <w:vAlign w:val="bottom"/>
            <w:tcBorders>
              <w:bottom w:val="single" w:sz="8" w:color="CCEEFF"/>
            </w:tcBorders>
            <w:shd w:val="clear" w:color="auto" w:fill="CCEEFF"/>
          </w:tcPr>
          <w:p>
            <w:pPr>
              <w:ind w:left="1120"/>
              <w:spacing w:after="0"/>
              <w:rPr>
                <w:sz w:val="20"/>
                <w:szCs w:val="20"/>
                <w:color w:val="auto"/>
              </w:rPr>
            </w:pPr>
            <w:r>
              <w:rPr>
                <w:rFonts w:ascii="Arial" w:cs="Arial" w:eastAsia="Arial" w:hAnsi="Arial"/>
                <w:sz w:val="14"/>
                <w:szCs w:val="14"/>
                <w:color w:val="auto"/>
              </w:rPr>
              <w:t>Formula Rate Plan</w:t>
            </w:r>
          </w:p>
        </w:tc>
      </w:tr>
      <w:tr>
        <w:trPr>
          <w:trHeight w:val="193"/>
        </w:trPr>
        <w:tc>
          <w:tcPr>
            <w:tcW w:w="358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Gas Daily</w:t>
            </w:r>
          </w:p>
        </w:tc>
        <w:tc>
          <w:tcPr>
            <w:tcW w:w="7800" w:type="dxa"/>
            <w:vAlign w:val="bottom"/>
          </w:tcPr>
          <w:p>
            <w:pPr>
              <w:ind w:left="1120"/>
              <w:spacing w:after="0"/>
              <w:rPr>
                <w:sz w:val="20"/>
                <w:szCs w:val="20"/>
                <w:color w:val="auto"/>
              </w:rPr>
            </w:pPr>
            <w:r>
              <w:rPr>
                <w:rFonts w:ascii="Arial" w:cs="Arial" w:eastAsia="Arial" w:hAnsi="Arial"/>
                <w:sz w:val="14"/>
                <w:szCs w:val="14"/>
                <w:color w:val="auto"/>
              </w:rPr>
              <w:t>Platts gas daily indices</w:t>
            </w:r>
          </w:p>
        </w:tc>
      </w:tr>
      <w:tr>
        <w:trPr>
          <w:trHeight w:val="23"/>
        </w:trPr>
        <w:tc>
          <w:tcPr>
            <w:tcW w:w="3580" w:type="dxa"/>
            <w:vAlign w:val="bottom"/>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r>
      <w:tr>
        <w:trPr>
          <w:trHeight w:val="196"/>
        </w:trPr>
        <w:tc>
          <w:tcPr>
            <w:tcW w:w="3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i w:val="1"/>
                <w:iCs w:val="1"/>
                <w:color w:val="auto"/>
              </w:rPr>
              <w:t>GHG</w:t>
            </w:r>
          </w:p>
        </w:tc>
        <w:tc>
          <w:tcPr>
            <w:tcW w:w="7800" w:type="dxa"/>
            <w:vAlign w:val="bottom"/>
            <w:tcBorders>
              <w:bottom w:val="single" w:sz="8" w:color="CCEEFF"/>
            </w:tcBorders>
            <w:shd w:val="clear" w:color="auto" w:fill="CCEEFF"/>
          </w:tcPr>
          <w:p>
            <w:pPr>
              <w:ind w:left="1120"/>
              <w:spacing w:after="0"/>
              <w:rPr>
                <w:sz w:val="20"/>
                <w:szCs w:val="20"/>
                <w:color w:val="auto"/>
              </w:rPr>
            </w:pPr>
            <w:r>
              <w:rPr>
                <w:rFonts w:ascii="Arial" w:cs="Arial" w:eastAsia="Arial" w:hAnsi="Arial"/>
                <w:sz w:val="14"/>
                <w:szCs w:val="14"/>
                <w:color w:val="auto"/>
              </w:rPr>
              <w:t>Greenhouse gases</w:t>
            </w:r>
          </w:p>
        </w:tc>
      </w:tr>
      <w:tr>
        <w:trPr>
          <w:trHeight w:val="193"/>
        </w:trPr>
        <w:tc>
          <w:tcPr>
            <w:tcW w:w="358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GRIP</w:t>
            </w:r>
          </w:p>
        </w:tc>
        <w:tc>
          <w:tcPr>
            <w:tcW w:w="7800" w:type="dxa"/>
            <w:vAlign w:val="bottom"/>
          </w:tcPr>
          <w:p>
            <w:pPr>
              <w:ind w:left="1120"/>
              <w:spacing w:after="0"/>
              <w:rPr>
                <w:sz w:val="20"/>
                <w:szCs w:val="20"/>
                <w:color w:val="auto"/>
              </w:rPr>
            </w:pPr>
            <w:r>
              <w:rPr>
                <w:rFonts w:ascii="Arial" w:cs="Arial" w:eastAsia="Arial" w:hAnsi="Arial"/>
                <w:sz w:val="14"/>
                <w:szCs w:val="14"/>
                <w:color w:val="auto"/>
              </w:rPr>
              <w:t>Gas Reliability Infrastructure Program</w:t>
            </w:r>
          </w:p>
        </w:tc>
      </w:tr>
      <w:tr>
        <w:trPr>
          <w:trHeight w:val="23"/>
        </w:trPr>
        <w:tc>
          <w:tcPr>
            <w:tcW w:w="3580" w:type="dxa"/>
            <w:vAlign w:val="bottom"/>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r>
      <w:tr>
        <w:trPr>
          <w:trHeight w:val="196"/>
        </w:trPr>
        <w:tc>
          <w:tcPr>
            <w:tcW w:w="3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i w:val="1"/>
                <w:iCs w:val="1"/>
                <w:color w:val="auto"/>
              </w:rPr>
              <w:t>GWh</w:t>
            </w:r>
          </w:p>
        </w:tc>
        <w:tc>
          <w:tcPr>
            <w:tcW w:w="7800" w:type="dxa"/>
            <w:vAlign w:val="bottom"/>
            <w:tcBorders>
              <w:bottom w:val="single" w:sz="8" w:color="CCEEFF"/>
            </w:tcBorders>
            <w:shd w:val="clear" w:color="auto" w:fill="CCEEFF"/>
          </w:tcPr>
          <w:p>
            <w:pPr>
              <w:ind w:left="1120"/>
              <w:spacing w:after="0"/>
              <w:rPr>
                <w:sz w:val="20"/>
                <w:szCs w:val="20"/>
                <w:color w:val="auto"/>
              </w:rPr>
            </w:pPr>
            <w:r>
              <w:rPr>
                <w:rFonts w:ascii="Arial" w:cs="Arial" w:eastAsia="Arial" w:hAnsi="Arial"/>
                <w:sz w:val="14"/>
                <w:szCs w:val="14"/>
                <w:color w:val="auto"/>
              </w:rPr>
              <w:t>Gigawatt-hours</w:t>
            </w:r>
          </w:p>
        </w:tc>
      </w:tr>
      <w:tr>
        <w:trPr>
          <w:trHeight w:val="193"/>
        </w:trPr>
        <w:tc>
          <w:tcPr>
            <w:tcW w:w="358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Houston Electric</w:t>
            </w:r>
          </w:p>
        </w:tc>
        <w:tc>
          <w:tcPr>
            <w:tcW w:w="7800" w:type="dxa"/>
            <w:vAlign w:val="bottom"/>
          </w:tcPr>
          <w:p>
            <w:pPr>
              <w:ind w:left="1120"/>
              <w:spacing w:after="0"/>
              <w:rPr>
                <w:sz w:val="20"/>
                <w:szCs w:val="20"/>
                <w:color w:val="auto"/>
              </w:rPr>
            </w:pPr>
            <w:r>
              <w:rPr>
                <w:rFonts w:ascii="Arial" w:cs="Arial" w:eastAsia="Arial" w:hAnsi="Arial"/>
                <w:sz w:val="14"/>
                <w:szCs w:val="14"/>
                <w:color w:val="auto"/>
              </w:rPr>
              <w:t>CenterPoint Energy Houston Electric, LLC and its subsidiaries</w:t>
            </w:r>
          </w:p>
        </w:tc>
      </w:tr>
      <w:tr>
        <w:trPr>
          <w:trHeight w:val="23"/>
        </w:trPr>
        <w:tc>
          <w:tcPr>
            <w:tcW w:w="3580" w:type="dxa"/>
            <w:vAlign w:val="bottom"/>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r>
      <w:tr>
        <w:trPr>
          <w:trHeight w:val="196"/>
        </w:trPr>
        <w:tc>
          <w:tcPr>
            <w:tcW w:w="3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i w:val="1"/>
                <w:iCs w:val="1"/>
                <w:color w:val="auto"/>
              </w:rPr>
              <w:t>IDEM</w:t>
            </w:r>
          </w:p>
        </w:tc>
        <w:tc>
          <w:tcPr>
            <w:tcW w:w="7800" w:type="dxa"/>
            <w:vAlign w:val="bottom"/>
            <w:tcBorders>
              <w:bottom w:val="single" w:sz="8" w:color="CCEEFF"/>
            </w:tcBorders>
            <w:shd w:val="clear" w:color="auto" w:fill="CCEEFF"/>
          </w:tcPr>
          <w:p>
            <w:pPr>
              <w:ind w:left="1120"/>
              <w:spacing w:after="0"/>
              <w:rPr>
                <w:sz w:val="20"/>
                <w:szCs w:val="20"/>
                <w:color w:val="auto"/>
              </w:rPr>
            </w:pPr>
            <w:r>
              <w:rPr>
                <w:rFonts w:ascii="Arial" w:cs="Arial" w:eastAsia="Arial" w:hAnsi="Arial"/>
                <w:sz w:val="14"/>
                <w:szCs w:val="14"/>
                <w:color w:val="auto"/>
              </w:rPr>
              <w:t>Indiana Department of Environmental Management</w:t>
            </w:r>
          </w:p>
        </w:tc>
      </w:tr>
      <w:tr>
        <w:trPr>
          <w:trHeight w:val="183"/>
        </w:trPr>
        <w:tc>
          <w:tcPr>
            <w:tcW w:w="358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Indiana Electric</w:t>
            </w:r>
          </w:p>
        </w:tc>
        <w:tc>
          <w:tcPr>
            <w:tcW w:w="7800" w:type="dxa"/>
            <w:vAlign w:val="bottom"/>
          </w:tcPr>
          <w:p>
            <w:pPr>
              <w:ind w:left="1120"/>
              <w:spacing w:after="0"/>
              <w:rPr>
                <w:sz w:val="20"/>
                <w:szCs w:val="20"/>
                <w:color w:val="auto"/>
              </w:rPr>
            </w:pPr>
            <w:r>
              <w:rPr>
                <w:rFonts w:ascii="Arial" w:cs="Arial" w:eastAsia="Arial" w:hAnsi="Arial"/>
                <w:sz w:val="14"/>
                <w:szCs w:val="14"/>
                <w:color w:val="auto"/>
                <w:w w:val="97"/>
              </w:rPr>
              <w:t>Operations of SIGECO’s electric transmission and distribution services, and includes its power generating and</w:t>
            </w:r>
          </w:p>
        </w:tc>
      </w:tr>
      <w:tr>
        <w:trPr>
          <w:trHeight w:val="182"/>
        </w:trPr>
        <w:tc>
          <w:tcPr>
            <w:tcW w:w="3580" w:type="dxa"/>
            <w:vAlign w:val="bottom"/>
          </w:tcPr>
          <w:p>
            <w:pPr>
              <w:spacing w:after="0"/>
              <w:rPr>
                <w:sz w:val="15"/>
                <w:szCs w:val="15"/>
                <w:color w:val="auto"/>
              </w:rPr>
            </w:pPr>
          </w:p>
        </w:tc>
        <w:tc>
          <w:tcPr>
            <w:tcW w:w="7800" w:type="dxa"/>
            <w:vAlign w:val="bottom"/>
          </w:tcPr>
          <w:p>
            <w:pPr>
              <w:ind w:left="1120"/>
              <w:spacing w:after="0"/>
              <w:rPr>
                <w:sz w:val="20"/>
                <w:szCs w:val="20"/>
                <w:color w:val="auto"/>
              </w:rPr>
            </w:pPr>
            <w:r>
              <w:rPr>
                <w:rFonts w:ascii="Arial" w:cs="Arial" w:eastAsia="Arial" w:hAnsi="Arial"/>
                <w:sz w:val="14"/>
                <w:szCs w:val="14"/>
                <w:color w:val="auto"/>
              </w:rPr>
              <w:t>wholesale power operations</w:t>
            </w:r>
          </w:p>
        </w:tc>
      </w:tr>
      <w:tr>
        <w:trPr>
          <w:trHeight w:val="23"/>
        </w:trPr>
        <w:tc>
          <w:tcPr>
            <w:tcW w:w="3580" w:type="dxa"/>
            <w:vAlign w:val="bottom"/>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r>
      <w:tr>
        <w:trPr>
          <w:trHeight w:val="196"/>
        </w:trPr>
        <w:tc>
          <w:tcPr>
            <w:tcW w:w="3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i w:val="1"/>
                <w:iCs w:val="1"/>
                <w:color w:val="auto"/>
              </w:rPr>
              <w:t>Indiana Gas</w:t>
            </w:r>
          </w:p>
        </w:tc>
        <w:tc>
          <w:tcPr>
            <w:tcW w:w="7800" w:type="dxa"/>
            <w:vAlign w:val="bottom"/>
            <w:tcBorders>
              <w:bottom w:val="single" w:sz="8" w:color="CCEEFF"/>
            </w:tcBorders>
            <w:shd w:val="clear" w:color="auto" w:fill="CCEEFF"/>
          </w:tcPr>
          <w:p>
            <w:pPr>
              <w:ind w:left="1120"/>
              <w:spacing w:after="0"/>
              <w:rPr>
                <w:sz w:val="20"/>
                <w:szCs w:val="20"/>
                <w:color w:val="auto"/>
              </w:rPr>
            </w:pPr>
            <w:r>
              <w:rPr>
                <w:rFonts w:ascii="Arial" w:cs="Arial" w:eastAsia="Arial" w:hAnsi="Arial"/>
                <w:sz w:val="14"/>
                <w:szCs w:val="14"/>
                <w:color w:val="auto"/>
              </w:rPr>
              <w:t>Indiana Gas Company, Inc., a wholly-owned subsidiary of Vectren</w:t>
            </w:r>
          </w:p>
        </w:tc>
      </w:tr>
      <w:tr>
        <w:trPr>
          <w:trHeight w:val="193"/>
        </w:trPr>
        <w:tc>
          <w:tcPr>
            <w:tcW w:w="358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Indiana North</w:t>
            </w:r>
          </w:p>
        </w:tc>
        <w:tc>
          <w:tcPr>
            <w:tcW w:w="7800" w:type="dxa"/>
            <w:vAlign w:val="bottom"/>
          </w:tcPr>
          <w:p>
            <w:pPr>
              <w:ind w:left="1120"/>
              <w:spacing w:after="0"/>
              <w:rPr>
                <w:sz w:val="20"/>
                <w:szCs w:val="20"/>
                <w:color w:val="auto"/>
              </w:rPr>
            </w:pPr>
            <w:r>
              <w:rPr>
                <w:rFonts w:ascii="Arial" w:cs="Arial" w:eastAsia="Arial" w:hAnsi="Arial"/>
                <w:sz w:val="14"/>
                <w:szCs w:val="14"/>
                <w:color w:val="auto"/>
              </w:rPr>
              <w:t>Gas operations of Indiana Gas</w:t>
            </w:r>
          </w:p>
        </w:tc>
      </w:tr>
      <w:tr>
        <w:trPr>
          <w:trHeight w:val="23"/>
        </w:trPr>
        <w:tc>
          <w:tcPr>
            <w:tcW w:w="3580" w:type="dxa"/>
            <w:vAlign w:val="bottom"/>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r>
      <w:tr>
        <w:trPr>
          <w:trHeight w:val="196"/>
        </w:trPr>
        <w:tc>
          <w:tcPr>
            <w:tcW w:w="3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i w:val="1"/>
                <w:iCs w:val="1"/>
                <w:color w:val="auto"/>
              </w:rPr>
              <w:t>Indiana South</w:t>
            </w:r>
          </w:p>
        </w:tc>
        <w:tc>
          <w:tcPr>
            <w:tcW w:w="7800" w:type="dxa"/>
            <w:vAlign w:val="bottom"/>
            <w:tcBorders>
              <w:bottom w:val="single" w:sz="8" w:color="CCEEFF"/>
            </w:tcBorders>
            <w:shd w:val="clear" w:color="auto" w:fill="CCEEFF"/>
          </w:tcPr>
          <w:p>
            <w:pPr>
              <w:ind w:left="1120"/>
              <w:spacing w:after="0"/>
              <w:rPr>
                <w:sz w:val="20"/>
                <w:szCs w:val="20"/>
                <w:color w:val="auto"/>
              </w:rPr>
            </w:pPr>
            <w:r>
              <w:rPr>
                <w:rFonts w:ascii="Arial" w:cs="Arial" w:eastAsia="Arial" w:hAnsi="Arial"/>
                <w:sz w:val="14"/>
                <w:szCs w:val="14"/>
                <w:color w:val="auto"/>
              </w:rPr>
              <w:t>Gas operations of SIGECO</w:t>
            </w:r>
          </w:p>
        </w:tc>
      </w:tr>
      <w:tr>
        <w:trPr>
          <w:trHeight w:val="193"/>
        </w:trPr>
        <w:tc>
          <w:tcPr>
            <w:tcW w:w="358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Indiana Utilities</w:t>
            </w:r>
          </w:p>
        </w:tc>
        <w:tc>
          <w:tcPr>
            <w:tcW w:w="7800" w:type="dxa"/>
            <w:vAlign w:val="bottom"/>
          </w:tcPr>
          <w:p>
            <w:pPr>
              <w:ind w:left="1120"/>
              <w:spacing w:after="0"/>
              <w:rPr>
                <w:sz w:val="20"/>
                <w:szCs w:val="20"/>
                <w:color w:val="auto"/>
              </w:rPr>
            </w:pPr>
            <w:r>
              <w:rPr>
                <w:rFonts w:ascii="Arial" w:cs="Arial" w:eastAsia="Arial" w:hAnsi="Arial"/>
                <w:sz w:val="14"/>
                <w:szCs w:val="14"/>
                <w:color w:val="auto"/>
              </w:rPr>
              <w:t>The combination of Indiana Electric, Indiana North and Indiana South</w:t>
            </w:r>
          </w:p>
        </w:tc>
      </w:tr>
      <w:tr>
        <w:trPr>
          <w:trHeight w:val="23"/>
        </w:trPr>
        <w:tc>
          <w:tcPr>
            <w:tcW w:w="3580" w:type="dxa"/>
            <w:vAlign w:val="bottom"/>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r>
      <w:tr>
        <w:trPr>
          <w:trHeight w:val="196"/>
        </w:trPr>
        <w:tc>
          <w:tcPr>
            <w:tcW w:w="3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i w:val="1"/>
                <w:iCs w:val="1"/>
                <w:color w:val="auto"/>
              </w:rPr>
              <w:t>Interim Condensed Financial Statements</w:t>
            </w:r>
          </w:p>
        </w:tc>
        <w:tc>
          <w:tcPr>
            <w:tcW w:w="7800" w:type="dxa"/>
            <w:vAlign w:val="bottom"/>
            <w:tcBorders>
              <w:bottom w:val="single" w:sz="8" w:color="CCEEFF"/>
            </w:tcBorders>
            <w:shd w:val="clear" w:color="auto" w:fill="CCEEFF"/>
          </w:tcPr>
          <w:p>
            <w:pPr>
              <w:ind w:left="1120"/>
              <w:spacing w:after="0"/>
              <w:rPr>
                <w:sz w:val="20"/>
                <w:szCs w:val="20"/>
                <w:color w:val="auto"/>
              </w:rPr>
            </w:pPr>
            <w:r>
              <w:rPr>
                <w:rFonts w:ascii="Arial" w:cs="Arial" w:eastAsia="Arial" w:hAnsi="Arial"/>
                <w:sz w:val="14"/>
                <w:szCs w:val="14"/>
                <w:color w:val="auto"/>
              </w:rPr>
              <w:t>Unaudited condensed consolidated interim financial statements and combined notes</w:t>
            </w:r>
          </w:p>
        </w:tc>
      </w:tr>
      <w:tr>
        <w:trPr>
          <w:trHeight w:val="183"/>
        </w:trPr>
        <w:tc>
          <w:tcPr>
            <w:tcW w:w="358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Internal Spin</w:t>
            </w:r>
          </w:p>
        </w:tc>
        <w:tc>
          <w:tcPr>
            <w:tcW w:w="7800" w:type="dxa"/>
            <w:vAlign w:val="bottom"/>
          </w:tcPr>
          <w:p>
            <w:pPr>
              <w:ind w:left="1120"/>
              <w:spacing w:after="0"/>
              <w:rPr>
                <w:sz w:val="20"/>
                <w:szCs w:val="20"/>
                <w:color w:val="auto"/>
              </w:rPr>
            </w:pPr>
            <w:r>
              <w:rPr>
                <w:rFonts w:ascii="Arial" w:cs="Arial" w:eastAsia="Arial" w:hAnsi="Arial"/>
                <w:sz w:val="14"/>
                <w:szCs w:val="14"/>
                <w:color w:val="auto"/>
                <w:w w:val="96"/>
              </w:rPr>
              <w:t>The series of internal transactions consummated on September 4, 2018 whereby CERC (i) contributed its equity</w:t>
            </w:r>
          </w:p>
        </w:tc>
      </w:tr>
      <w:tr>
        <w:trPr>
          <w:trHeight w:val="172"/>
        </w:trPr>
        <w:tc>
          <w:tcPr>
            <w:tcW w:w="3580" w:type="dxa"/>
            <w:vAlign w:val="bottom"/>
          </w:tcPr>
          <w:p>
            <w:pPr>
              <w:spacing w:after="0"/>
              <w:rPr>
                <w:sz w:val="14"/>
                <w:szCs w:val="14"/>
                <w:color w:val="auto"/>
              </w:rPr>
            </w:pPr>
          </w:p>
        </w:tc>
        <w:tc>
          <w:tcPr>
            <w:tcW w:w="7800" w:type="dxa"/>
            <w:vAlign w:val="bottom"/>
          </w:tcPr>
          <w:p>
            <w:pPr>
              <w:ind w:left="1120"/>
              <w:spacing w:after="0"/>
              <w:rPr>
                <w:sz w:val="20"/>
                <w:szCs w:val="20"/>
                <w:color w:val="auto"/>
              </w:rPr>
            </w:pPr>
            <w:r>
              <w:rPr>
                <w:rFonts w:ascii="Arial" w:cs="Arial" w:eastAsia="Arial" w:hAnsi="Arial"/>
                <w:sz w:val="14"/>
                <w:szCs w:val="14"/>
                <w:color w:val="auto"/>
                <w:w w:val="94"/>
              </w:rPr>
              <w:t>investment in Enable consisting of Enable common units and its interests in Enable GP to CNP Midstream and (ii)</w:t>
            </w:r>
          </w:p>
        </w:tc>
      </w:tr>
      <w:tr>
        <w:trPr>
          <w:trHeight w:val="182"/>
        </w:trPr>
        <w:tc>
          <w:tcPr>
            <w:tcW w:w="3580" w:type="dxa"/>
            <w:vAlign w:val="bottom"/>
          </w:tcPr>
          <w:p>
            <w:pPr>
              <w:spacing w:after="0"/>
              <w:rPr>
                <w:sz w:val="15"/>
                <w:szCs w:val="15"/>
                <w:color w:val="auto"/>
              </w:rPr>
            </w:pPr>
          </w:p>
        </w:tc>
        <w:tc>
          <w:tcPr>
            <w:tcW w:w="7800" w:type="dxa"/>
            <w:vAlign w:val="bottom"/>
          </w:tcPr>
          <w:p>
            <w:pPr>
              <w:ind w:left="1120"/>
              <w:spacing w:after="0"/>
              <w:rPr>
                <w:sz w:val="20"/>
                <w:szCs w:val="20"/>
                <w:color w:val="auto"/>
              </w:rPr>
            </w:pPr>
            <w:r>
              <w:rPr>
                <w:rFonts w:ascii="Arial" w:cs="Arial" w:eastAsia="Arial" w:hAnsi="Arial"/>
                <w:sz w:val="14"/>
                <w:szCs w:val="14"/>
                <w:color w:val="auto"/>
              </w:rPr>
              <w:t>transferred all of its interest in CNP Midstream to CenterPoint Energy</w:t>
            </w:r>
          </w:p>
        </w:tc>
      </w:tr>
      <w:tr>
        <w:trPr>
          <w:trHeight w:val="130"/>
        </w:trPr>
        <w:tc>
          <w:tcPr>
            <w:tcW w:w="3580" w:type="dxa"/>
            <w:vAlign w:val="bottom"/>
          </w:tcPr>
          <w:p>
            <w:pPr>
              <w:spacing w:after="0"/>
              <w:rPr>
                <w:sz w:val="11"/>
                <w:szCs w:val="11"/>
                <w:color w:val="auto"/>
              </w:rPr>
            </w:pPr>
          </w:p>
        </w:tc>
        <w:tc>
          <w:tcPr>
            <w:tcW w:w="7800" w:type="dxa"/>
            <w:vAlign w:val="bottom"/>
          </w:tcPr>
          <w:p>
            <w:pPr>
              <w:spacing w:after="0"/>
              <w:rPr>
                <w:sz w:val="11"/>
                <w:szCs w:val="11"/>
                <w:color w:val="auto"/>
              </w:rPr>
            </w:pPr>
          </w:p>
        </w:tc>
      </w:tr>
      <w:tr>
        <w:trPr>
          <w:trHeight w:val="196"/>
        </w:trPr>
        <w:tc>
          <w:tcPr>
            <w:tcW w:w="3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i w:val="1"/>
                <w:iCs w:val="1"/>
                <w:color w:val="auto"/>
              </w:rPr>
              <w:t>IRP</w:t>
            </w:r>
          </w:p>
        </w:tc>
        <w:tc>
          <w:tcPr>
            <w:tcW w:w="7800" w:type="dxa"/>
            <w:vAlign w:val="bottom"/>
            <w:tcBorders>
              <w:bottom w:val="single" w:sz="8" w:color="CCEEFF"/>
            </w:tcBorders>
            <w:shd w:val="clear" w:color="auto" w:fill="CCEEFF"/>
          </w:tcPr>
          <w:p>
            <w:pPr>
              <w:ind w:left="1120"/>
              <w:spacing w:after="0"/>
              <w:rPr>
                <w:sz w:val="20"/>
                <w:szCs w:val="20"/>
                <w:color w:val="auto"/>
              </w:rPr>
            </w:pPr>
            <w:r>
              <w:rPr>
                <w:rFonts w:ascii="Arial" w:cs="Arial" w:eastAsia="Arial" w:hAnsi="Arial"/>
                <w:sz w:val="14"/>
                <w:szCs w:val="14"/>
                <w:color w:val="auto"/>
              </w:rPr>
              <w:t>Integrated Resource Plan</w:t>
            </w:r>
          </w:p>
        </w:tc>
      </w:tr>
      <w:tr>
        <w:trPr>
          <w:trHeight w:val="193"/>
        </w:trPr>
        <w:tc>
          <w:tcPr>
            <w:tcW w:w="358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IRS</w:t>
            </w:r>
          </w:p>
        </w:tc>
        <w:tc>
          <w:tcPr>
            <w:tcW w:w="7800" w:type="dxa"/>
            <w:vAlign w:val="bottom"/>
          </w:tcPr>
          <w:p>
            <w:pPr>
              <w:ind w:left="1120"/>
              <w:spacing w:after="0"/>
              <w:rPr>
                <w:sz w:val="20"/>
                <w:szCs w:val="20"/>
                <w:color w:val="auto"/>
              </w:rPr>
            </w:pPr>
            <w:r>
              <w:rPr>
                <w:rFonts w:ascii="Arial" w:cs="Arial" w:eastAsia="Arial" w:hAnsi="Arial"/>
                <w:sz w:val="14"/>
                <w:szCs w:val="14"/>
                <w:color w:val="auto"/>
              </w:rPr>
              <w:t>Internal Revenue Service</w:t>
            </w:r>
          </w:p>
        </w:tc>
      </w:tr>
      <w:tr>
        <w:trPr>
          <w:trHeight w:val="23"/>
        </w:trPr>
        <w:tc>
          <w:tcPr>
            <w:tcW w:w="3580" w:type="dxa"/>
            <w:vAlign w:val="bottom"/>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r>
      <w:tr>
        <w:trPr>
          <w:trHeight w:val="196"/>
        </w:trPr>
        <w:tc>
          <w:tcPr>
            <w:tcW w:w="3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i w:val="1"/>
                <w:iCs w:val="1"/>
                <w:color w:val="auto"/>
              </w:rPr>
              <w:t>IURC</w:t>
            </w:r>
          </w:p>
        </w:tc>
        <w:tc>
          <w:tcPr>
            <w:tcW w:w="7800" w:type="dxa"/>
            <w:vAlign w:val="bottom"/>
            <w:tcBorders>
              <w:bottom w:val="single" w:sz="8" w:color="CCEEFF"/>
            </w:tcBorders>
            <w:shd w:val="clear" w:color="auto" w:fill="CCEEFF"/>
          </w:tcPr>
          <w:p>
            <w:pPr>
              <w:ind w:left="1120"/>
              <w:spacing w:after="0"/>
              <w:rPr>
                <w:sz w:val="20"/>
                <w:szCs w:val="20"/>
                <w:color w:val="auto"/>
              </w:rPr>
            </w:pPr>
            <w:r>
              <w:rPr>
                <w:rFonts w:ascii="Arial" w:cs="Arial" w:eastAsia="Arial" w:hAnsi="Arial"/>
                <w:sz w:val="14"/>
                <w:szCs w:val="14"/>
                <w:color w:val="auto"/>
              </w:rPr>
              <w:t>Indiana Utility Regulatory Commission</w:t>
            </w:r>
          </w:p>
        </w:tc>
      </w:tr>
      <w:tr>
        <w:trPr>
          <w:trHeight w:val="193"/>
        </w:trPr>
        <w:tc>
          <w:tcPr>
            <w:tcW w:w="358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kV</w:t>
            </w:r>
          </w:p>
        </w:tc>
        <w:tc>
          <w:tcPr>
            <w:tcW w:w="7800" w:type="dxa"/>
            <w:vAlign w:val="bottom"/>
          </w:tcPr>
          <w:p>
            <w:pPr>
              <w:ind w:left="1120"/>
              <w:spacing w:after="0"/>
              <w:rPr>
                <w:sz w:val="20"/>
                <w:szCs w:val="20"/>
                <w:color w:val="auto"/>
              </w:rPr>
            </w:pPr>
            <w:r>
              <w:rPr>
                <w:rFonts w:ascii="Arial" w:cs="Arial" w:eastAsia="Arial" w:hAnsi="Arial"/>
                <w:sz w:val="14"/>
                <w:szCs w:val="14"/>
                <w:color w:val="auto"/>
              </w:rPr>
              <w:t>Kilovolt</w:t>
            </w:r>
          </w:p>
        </w:tc>
      </w:tr>
      <w:tr>
        <w:trPr>
          <w:trHeight w:val="23"/>
        </w:trPr>
        <w:tc>
          <w:tcPr>
            <w:tcW w:w="3580" w:type="dxa"/>
            <w:vAlign w:val="bottom"/>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r>
      <w:tr>
        <w:trPr>
          <w:trHeight w:val="196"/>
        </w:trPr>
        <w:tc>
          <w:tcPr>
            <w:tcW w:w="3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i w:val="1"/>
                <w:iCs w:val="1"/>
                <w:color w:val="auto"/>
              </w:rPr>
              <w:t>LIBOR</w:t>
            </w:r>
          </w:p>
        </w:tc>
        <w:tc>
          <w:tcPr>
            <w:tcW w:w="7800" w:type="dxa"/>
            <w:vAlign w:val="bottom"/>
            <w:tcBorders>
              <w:bottom w:val="single" w:sz="8" w:color="CCEEFF"/>
            </w:tcBorders>
            <w:shd w:val="clear" w:color="auto" w:fill="CCEEFF"/>
          </w:tcPr>
          <w:p>
            <w:pPr>
              <w:ind w:left="1120"/>
              <w:spacing w:after="0"/>
              <w:rPr>
                <w:sz w:val="20"/>
                <w:szCs w:val="20"/>
                <w:color w:val="auto"/>
              </w:rPr>
            </w:pPr>
            <w:r>
              <w:rPr>
                <w:rFonts w:ascii="Arial" w:cs="Arial" w:eastAsia="Arial" w:hAnsi="Arial"/>
                <w:sz w:val="14"/>
                <w:szCs w:val="14"/>
                <w:color w:val="auto"/>
              </w:rPr>
              <w:t>London Interbank Offered Rate</w:t>
            </w:r>
          </w:p>
        </w:tc>
      </w:tr>
      <w:tr>
        <w:trPr>
          <w:trHeight w:val="193"/>
        </w:trPr>
        <w:tc>
          <w:tcPr>
            <w:tcW w:w="358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MATS</w:t>
            </w:r>
          </w:p>
        </w:tc>
        <w:tc>
          <w:tcPr>
            <w:tcW w:w="7800" w:type="dxa"/>
            <w:vAlign w:val="bottom"/>
          </w:tcPr>
          <w:p>
            <w:pPr>
              <w:ind w:left="1120"/>
              <w:spacing w:after="0"/>
              <w:rPr>
                <w:sz w:val="20"/>
                <w:szCs w:val="20"/>
                <w:color w:val="auto"/>
              </w:rPr>
            </w:pPr>
            <w:r>
              <w:rPr>
                <w:rFonts w:ascii="Arial" w:cs="Arial" w:eastAsia="Arial" w:hAnsi="Arial"/>
                <w:sz w:val="14"/>
                <w:szCs w:val="14"/>
                <w:color w:val="auto"/>
              </w:rPr>
              <w:t>Mercury and Air Toxics Standards</w:t>
            </w:r>
          </w:p>
        </w:tc>
      </w:tr>
      <w:tr>
        <w:trPr>
          <w:trHeight w:val="23"/>
        </w:trPr>
        <w:tc>
          <w:tcPr>
            <w:tcW w:w="3580" w:type="dxa"/>
            <w:vAlign w:val="bottom"/>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r>
      <w:tr>
        <w:trPr>
          <w:trHeight w:val="183"/>
        </w:trPr>
        <w:tc>
          <w:tcPr>
            <w:tcW w:w="3580" w:type="dxa"/>
            <w:vAlign w:val="bottom"/>
            <w:shd w:val="clear" w:color="auto" w:fill="CCEEFF"/>
          </w:tcPr>
          <w:p>
            <w:pPr>
              <w:ind w:left="20"/>
              <w:spacing w:after="0"/>
              <w:rPr>
                <w:sz w:val="20"/>
                <w:szCs w:val="20"/>
                <w:color w:val="auto"/>
              </w:rPr>
            </w:pPr>
            <w:r>
              <w:rPr>
                <w:rFonts w:ascii="Arial" w:cs="Arial" w:eastAsia="Arial" w:hAnsi="Arial"/>
                <w:sz w:val="14"/>
                <w:szCs w:val="14"/>
                <w:b w:val="1"/>
                <w:bCs w:val="1"/>
                <w:i w:val="1"/>
                <w:iCs w:val="1"/>
                <w:color w:val="auto"/>
              </w:rPr>
              <w:t>Merger</w:t>
            </w:r>
          </w:p>
        </w:tc>
        <w:tc>
          <w:tcPr>
            <w:tcW w:w="7800" w:type="dxa"/>
            <w:vAlign w:val="bottom"/>
            <w:shd w:val="clear" w:color="auto" w:fill="CCEEFF"/>
          </w:tcPr>
          <w:p>
            <w:pPr>
              <w:ind w:left="1120"/>
              <w:spacing w:after="0"/>
              <w:rPr>
                <w:sz w:val="20"/>
                <w:szCs w:val="20"/>
                <w:color w:val="auto"/>
              </w:rPr>
            </w:pPr>
            <w:r>
              <w:rPr>
                <w:rFonts w:ascii="Arial" w:cs="Arial" w:eastAsia="Arial" w:hAnsi="Arial"/>
                <w:sz w:val="14"/>
                <w:szCs w:val="14"/>
                <w:color w:val="auto"/>
                <w:w w:val="94"/>
              </w:rPr>
              <w:t>The merger of Merger Sub with and into Vectren on the terms and subject to the conditions set forth in the Merger</w:t>
            </w:r>
          </w:p>
        </w:tc>
      </w:tr>
      <w:tr>
        <w:trPr>
          <w:trHeight w:val="172"/>
        </w:trPr>
        <w:tc>
          <w:tcPr>
            <w:tcW w:w="3580" w:type="dxa"/>
            <w:vAlign w:val="bottom"/>
            <w:shd w:val="clear" w:color="auto" w:fill="CCEEFF"/>
          </w:tcPr>
          <w:p>
            <w:pPr>
              <w:spacing w:after="0"/>
              <w:rPr>
                <w:sz w:val="14"/>
                <w:szCs w:val="14"/>
                <w:color w:val="auto"/>
              </w:rPr>
            </w:pPr>
          </w:p>
        </w:tc>
        <w:tc>
          <w:tcPr>
            <w:tcW w:w="7800" w:type="dxa"/>
            <w:vAlign w:val="bottom"/>
            <w:shd w:val="clear" w:color="auto" w:fill="CCEEFF"/>
          </w:tcPr>
          <w:p>
            <w:pPr>
              <w:ind w:left="1120"/>
              <w:spacing w:after="0"/>
              <w:rPr>
                <w:sz w:val="20"/>
                <w:szCs w:val="20"/>
                <w:color w:val="auto"/>
              </w:rPr>
            </w:pPr>
            <w:r>
              <w:rPr>
                <w:rFonts w:ascii="Arial" w:cs="Arial" w:eastAsia="Arial" w:hAnsi="Arial"/>
                <w:sz w:val="14"/>
                <w:szCs w:val="14"/>
                <w:color w:val="auto"/>
                <w:w w:val="94"/>
              </w:rPr>
              <w:t>Agreement, with Vectren continuing as the surviving corporation and as a wholly-owned subsidiary of CenterPoint</w:t>
            </w:r>
          </w:p>
        </w:tc>
      </w:tr>
      <w:tr>
        <w:trPr>
          <w:trHeight w:val="185"/>
        </w:trPr>
        <w:tc>
          <w:tcPr>
            <w:tcW w:w="3580" w:type="dxa"/>
            <w:vAlign w:val="bottom"/>
            <w:tcBorders>
              <w:bottom w:val="single" w:sz="8" w:color="CCEEFF"/>
            </w:tcBorders>
            <w:shd w:val="clear" w:color="auto" w:fill="CCEEFF"/>
          </w:tcPr>
          <w:p>
            <w:pPr>
              <w:spacing w:after="0"/>
              <w:rPr>
                <w:sz w:val="16"/>
                <w:szCs w:val="16"/>
                <w:color w:val="auto"/>
              </w:rPr>
            </w:pPr>
          </w:p>
        </w:tc>
        <w:tc>
          <w:tcPr>
            <w:tcW w:w="7800" w:type="dxa"/>
            <w:vAlign w:val="bottom"/>
            <w:tcBorders>
              <w:bottom w:val="single" w:sz="8" w:color="CCEEFF"/>
            </w:tcBorders>
            <w:shd w:val="clear" w:color="auto" w:fill="CCEEFF"/>
          </w:tcPr>
          <w:p>
            <w:pPr>
              <w:ind w:left="1120"/>
              <w:spacing w:after="0"/>
              <w:rPr>
                <w:sz w:val="20"/>
                <w:szCs w:val="20"/>
                <w:color w:val="auto"/>
              </w:rPr>
            </w:pPr>
            <w:r>
              <w:rPr>
                <w:rFonts w:ascii="Arial" w:cs="Arial" w:eastAsia="Arial" w:hAnsi="Arial"/>
                <w:sz w:val="14"/>
                <w:szCs w:val="14"/>
                <w:color w:val="auto"/>
              </w:rPr>
              <w:t>Energy, Inc.</w:t>
            </w:r>
          </w:p>
        </w:tc>
      </w:tr>
      <w:tr>
        <w:trPr>
          <w:trHeight w:val="193"/>
        </w:trPr>
        <w:tc>
          <w:tcPr>
            <w:tcW w:w="358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Merger Agreement</w:t>
            </w:r>
          </w:p>
        </w:tc>
        <w:tc>
          <w:tcPr>
            <w:tcW w:w="7800" w:type="dxa"/>
            <w:vAlign w:val="bottom"/>
          </w:tcPr>
          <w:p>
            <w:pPr>
              <w:ind w:left="1120"/>
              <w:spacing w:after="0"/>
              <w:rPr>
                <w:sz w:val="20"/>
                <w:szCs w:val="20"/>
                <w:color w:val="auto"/>
              </w:rPr>
            </w:pPr>
            <w:r>
              <w:rPr>
                <w:rFonts w:ascii="Arial" w:cs="Arial" w:eastAsia="Arial" w:hAnsi="Arial"/>
                <w:sz w:val="14"/>
                <w:szCs w:val="14"/>
                <w:color w:val="auto"/>
                <w:w w:val="95"/>
              </w:rPr>
              <w:t>Agreement and Plan of Merger, dated as of April 21, 2018, among CenterPoint Energy, Vectren and Merger Sub</w:t>
            </w:r>
          </w:p>
        </w:tc>
      </w:tr>
      <w:tr>
        <w:trPr>
          <w:trHeight w:val="23"/>
        </w:trPr>
        <w:tc>
          <w:tcPr>
            <w:tcW w:w="3580" w:type="dxa"/>
            <w:vAlign w:val="bottom"/>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r>
      <w:tr>
        <w:trPr>
          <w:trHeight w:val="196"/>
        </w:trPr>
        <w:tc>
          <w:tcPr>
            <w:tcW w:w="3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i w:val="1"/>
                <w:iCs w:val="1"/>
                <w:color w:val="auto"/>
              </w:rPr>
              <w:t>Merger Date</w:t>
            </w:r>
          </w:p>
        </w:tc>
        <w:tc>
          <w:tcPr>
            <w:tcW w:w="7800" w:type="dxa"/>
            <w:vAlign w:val="bottom"/>
            <w:tcBorders>
              <w:bottom w:val="single" w:sz="8" w:color="CCEEFF"/>
            </w:tcBorders>
            <w:shd w:val="clear" w:color="auto" w:fill="CCEEFF"/>
          </w:tcPr>
          <w:p>
            <w:pPr>
              <w:ind w:left="1120"/>
              <w:spacing w:after="0"/>
              <w:rPr>
                <w:sz w:val="20"/>
                <w:szCs w:val="20"/>
                <w:color w:val="auto"/>
              </w:rPr>
            </w:pPr>
            <w:r>
              <w:rPr>
                <w:rFonts w:ascii="Arial" w:cs="Arial" w:eastAsia="Arial" w:hAnsi="Arial"/>
                <w:sz w:val="14"/>
                <w:szCs w:val="14"/>
                <w:color w:val="auto"/>
              </w:rPr>
              <w:t>February 1, 2019</w:t>
            </w:r>
          </w:p>
        </w:tc>
      </w:tr>
      <w:tr>
        <w:trPr>
          <w:trHeight w:val="193"/>
        </w:trPr>
        <w:tc>
          <w:tcPr>
            <w:tcW w:w="358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Merger Sub</w:t>
            </w:r>
          </w:p>
        </w:tc>
        <w:tc>
          <w:tcPr>
            <w:tcW w:w="7800" w:type="dxa"/>
            <w:vAlign w:val="bottom"/>
          </w:tcPr>
          <w:p>
            <w:pPr>
              <w:ind w:left="1120"/>
              <w:spacing w:after="0"/>
              <w:rPr>
                <w:sz w:val="20"/>
                <w:szCs w:val="20"/>
                <w:color w:val="auto"/>
              </w:rPr>
            </w:pPr>
            <w:r>
              <w:rPr>
                <w:rFonts w:ascii="Arial" w:cs="Arial" w:eastAsia="Arial" w:hAnsi="Arial"/>
                <w:sz w:val="14"/>
                <w:szCs w:val="14"/>
                <w:color w:val="auto"/>
              </w:rPr>
              <w:t>Pacer Merger Sub, Inc., an Indiana corporation and wholly-owned subsidiary of CenterPoint Energy</w:t>
            </w:r>
          </w:p>
        </w:tc>
      </w:tr>
      <w:tr>
        <w:trPr>
          <w:trHeight w:val="23"/>
        </w:trPr>
        <w:tc>
          <w:tcPr>
            <w:tcW w:w="3580" w:type="dxa"/>
            <w:vAlign w:val="bottom"/>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r>
      <w:tr>
        <w:trPr>
          <w:trHeight w:val="196"/>
        </w:trPr>
        <w:tc>
          <w:tcPr>
            <w:tcW w:w="3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i w:val="1"/>
                <w:iCs w:val="1"/>
                <w:color w:val="auto"/>
              </w:rPr>
              <w:t>MGP</w:t>
            </w:r>
          </w:p>
        </w:tc>
        <w:tc>
          <w:tcPr>
            <w:tcW w:w="7800" w:type="dxa"/>
            <w:vAlign w:val="bottom"/>
            <w:tcBorders>
              <w:bottom w:val="single" w:sz="8" w:color="CCEEFF"/>
            </w:tcBorders>
            <w:shd w:val="clear" w:color="auto" w:fill="CCEEFF"/>
          </w:tcPr>
          <w:p>
            <w:pPr>
              <w:ind w:left="1120"/>
              <w:spacing w:after="0"/>
              <w:rPr>
                <w:sz w:val="20"/>
                <w:szCs w:val="20"/>
                <w:color w:val="auto"/>
              </w:rPr>
            </w:pPr>
            <w:r>
              <w:rPr>
                <w:rFonts w:ascii="Arial" w:cs="Arial" w:eastAsia="Arial" w:hAnsi="Arial"/>
                <w:sz w:val="14"/>
                <w:szCs w:val="14"/>
                <w:color w:val="auto"/>
              </w:rPr>
              <w:t>Manufactured gas plant</w:t>
            </w:r>
          </w:p>
        </w:tc>
      </w:tr>
      <w:tr>
        <w:trPr>
          <w:trHeight w:val="365"/>
        </w:trPr>
        <w:tc>
          <w:tcPr>
            <w:tcW w:w="3580" w:type="dxa"/>
            <w:vAlign w:val="bottom"/>
          </w:tcPr>
          <w:p>
            <w:pPr>
              <w:spacing w:after="0"/>
              <w:rPr>
                <w:sz w:val="24"/>
                <w:szCs w:val="24"/>
                <w:color w:val="auto"/>
              </w:rPr>
            </w:pPr>
          </w:p>
        </w:tc>
        <w:tc>
          <w:tcPr>
            <w:tcW w:w="7800" w:type="dxa"/>
            <w:vAlign w:val="bottom"/>
          </w:tcPr>
          <w:p>
            <w:pPr>
              <w:ind w:left="2060"/>
              <w:spacing w:after="0"/>
              <w:rPr>
                <w:sz w:val="20"/>
                <w:szCs w:val="20"/>
                <w:color w:val="auto"/>
              </w:rPr>
            </w:pPr>
            <w:r>
              <w:rPr>
                <w:rFonts w:ascii="Arial" w:cs="Arial" w:eastAsia="Arial" w:hAnsi="Arial"/>
                <w:sz w:val="14"/>
                <w:szCs w:val="14"/>
                <w:color w:val="auto"/>
              </w:rPr>
              <w:t>iii</w:t>
            </w:r>
          </w:p>
        </w:tc>
      </w:tr>
    </w:tbl>
    <w:p>
      <w:pPr>
        <w:sectPr>
          <w:pgSz w:w="11900" w:h="16838" w:orient="portrait"/>
          <w:cols w:equalWidth="0" w:num="1">
            <w:col w:w="11380"/>
          </w:cols>
          <w:pgMar w:left="260" w:top="452" w:right="259" w:bottom="144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180" w:type="dxa"/>
            <w:vAlign w:val="bottom"/>
          </w:tcPr>
          <w:p>
            <w:pPr>
              <w:spacing w:after="0"/>
              <w:rPr>
                <w:sz w:val="15"/>
                <w:szCs w:val="15"/>
                <w:color w:val="auto"/>
              </w:rPr>
            </w:pPr>
          </w:p>
        </w:tc>
        <w:tc>
          <w:tcPr>
            <w:tcW w:w="8200" w:type="dxa"/>
            <w:vAlign w:val="bottom"/>
          </w:tcPr>
          <w:p>
            <w:pPr>
              <w:ind w:left="2140"/>
              <w:spacing w:after="0"/>
              <w:rPr>
                <w:sz w:val="20"/>
                <w:szCs w:val="20"/>
                <w:color w:val="auto"/>
              </w:rPr>
            </w:pPr>
            <w:r>
              <w:rPr>
                <w:rFonts w:ascii="Arial" w:cs="Arial" w:eastAsia="Arial" w:hAnsi="Arial"/>
                <w:sz w:val="14"/>
                <w:szCs w:val="14"/>
                <w:b w:val="1"/>
                <w:bCs w:val="1"/>
                <w:i w:val="1"/>
                <w:iCs w:val="1"/>
                <w:color w:val="auto"/>
              </w:rPr>
              <w:t>GLOSSARY</w:t>
            </w:r>
          </w:p>
        </w:tc>
      </w:tr>
      <w:tr>
        <w:trPr>
          <w:trHeight w:val="23"/>
        </w:trPr>
        <w:tc>
          <w:tcPr>
            <w:tcW w:w="3180" w:type="dxa"/>
            <w:vAlign w:val="bottom"/>
            <w:tcBorders>
              <w:bottom w:val="single" w:sz="8" w:color="auto"/>
            </w:tcBorders>
          </w:tcPr>
          <w:p>
            <w:pPr>
              <w:spacing w:after="0" w:line="20" w:lineRule="exact"/>
              <w:rPr>
                <w:sz w:val="1"/>
                <w:szCs w:val="1"/>
                <w:color w:val="auto"/>
              </w:rPr>
            </w:pPr>
          </w:p>
        </w:tc>
        <w:tc>
          <w:tcPr>
            <w:tcW w:w="8200" w:type="dxa"/>
            <w:vAlign w:val="bottom"/>
            <w:tcBorders>
              <w:bottom w:val="single" w:sz="8" w:color="auto"/>
            </w:tcBorders>
          </w:tcPr>
          <w:p>
            <w:pPr>
              <w:spacing w:after="0" w:line="20" w:lineRule="exact"/>
              <w:rPr>
                <w:sz w:val="1"/>
                <w:szCs w:val="1"/>
                <w:color w:val="auto"/>
              </w:rPr>
            </w:pPr>
          </w:p>
        </w:tc>
      </w:tr>
      <w:tr>
        <w:trPr>
          <w:trHeight w:val="184"/>
        </w:trPr>
        <w:tc>
          <w:tcPr>
            <w:tcW w:w="318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MISO</w:t>
            </w:r>
          </w:p>
        </w:tc>
        <w:tc>
          <w:tcPr>
            <w:tcW w:w="8200" w:type="dxa"/>
            <w:vAlign w:val="bottom"/>
          </w:tcPr>
          <w:p>
            <w:pPr>
              <w:ind w:left="1520"/>
              <w:spacing w:after="0"/>
              <w:rPr>
                <w:sz w:val="20"/>
                <w:szCs w:val="20"/>
                <w:color w:val="auto"/>
              </w:rPr>
            </w:pPr>
            <w:r>
              <w:rPr>
                <w:rFonts w:ascii="Arial" w:cs="Arial" w:eastAsia="Arial" w:hAnsi="Arial"/>
                <w:sz w:val="14"/>
                <w:szCs w:val="14"/>
                <w:color w:val="auto"/>
              </w:rPr>
              <w:t>Midcontinent Independent System Operator</w:t>
            </w:r>
          </w:p>
        </w:tc>
      </w:tr>
      <w:tr>
        <w:trPr>
          <w:trHeight w:val="23"/>
        </w:trPr>
        <w:tc>
          <w:tcPr>
            <w:tcW w:w="3180" w:type="dxa"/>
            <w:vAlign w:val="bottom"/>
          </w:tcPr>
          <w:p>
            <w:pPr>
              <w:spacing w:after="0" w:line="20" w:lineRule="exact"/>
              <w:rPr>
                <w:sz w:val="1"/>
                <w:szCs w:val="1"/>
                <w:color w:val="auto"/>
              </w:rPr>
            </w:pPr>
          </w:p>
        </w:tc>
        <w:tc>
          <w:tcPr>
            <w:tcW w:w="8200" w:type="dxa"/>
            <w:vAlign w:val="bottom"/>
          </w:tcPr>
          <w:p>
            <w:pPr>
              <w:spacing w:after="0" w:line="20" w:lineRule="exact"/>
              <w:rPr>
                <w:sz w:val="1"/>
                <w:szCs w:val="1"/>
                <w:color w:val="auto"/>
              </w:rPr>
            </w:pPr>
          </w:p>
        </w:tc>
      </w:tr>
      <w:tr>
        <w:trPr>
          <w:trHeight w:val="196"/>
        </w:trPr>
        <w:tc>
          <w:tcPr>
            <w:tcW w:w="3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i w:val="1"/>
                <w:iCs w:val="1"/>
                <w:color w:val="auto"/>
              </w:rPr>
              <w:t>MLP</w:t>
            </w:r>
          </w:p>
        </w:tc>
        <w:tc>
          <w:tcPr>
            <w:tcW w:w="8200" w:type="dxa"/>
            <w:vAlign w:val="bottom"/>
            <w:tcBorders>
              <w:bottom w:val="single" w:sz="8" w:color="CCEEFF"/>
            </w:tcBorders>
            <w:shd w:val="clear" w:color="auto" w:fill="CCEEFF"/>
          </w:tcPr>
          <w:p>
            <w:pPr>
              <w:ind w:left="1520"/>
              <w:spacing w:after="0"/>
              <w:rPr>
                <w:sz w:val="20"/>
                <w:szCs w:val="20"/>
                <w:color w:val="auto"/>
              </w:rPr>
            </w:pPr>
            <w:r>
              <w:rPr>
                <w:rFonts w:ascii="Arial" w:cs="Arial" w:eastAsia="Arial" w:hAnsi="Arial"/>
                <w:sz w:val="14"/>
                <w:szCs w:val="14"/>
                <w:color w:val="auto"/>
              </w:rPr>
              <w:t>Master Limited Partnership</w:t>
            </w:r>
          </w:p>
        </w:tc>
      </w:tr>
      <w:tr>
        <w:trPr>
          <w:trHeight w:val="193"/>
        </w:trPr>
        <w:tc>
          <w:tcPr>
            <w:tcW w:w="318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MMBtu</w:t>
            </w:r>
          </w:p>
        </w:tc>
        <w:tc>
          <w:tcPr>
            <w:tcW w:w="8200" w:type="dxa"/>
            <w:vAlign w:val="bottom"/>
          </w:tcPr>
          <w:p>
            <w:pPr>
              <w:ind w:left="1520"/>
              <w:spacing w:after="0"/>
              <w:rPr>
                <w:sz w:val="20"/>
                <w:szCs w:val="20"/>
                <w:color w:val="auto"/>
              </w:rPr>
            </w:pPr>
            <w:r>
              <w:rPr>
                <w:rFonts w:ascii="Arial" w:cs="Arial" w:eastAsia="Arial" w:hAnsi="Arial"/>
                <w:sz w:val="14"/>
                <w:szCs w:val="14"/>
                <w:color w:val="auto"/>
              </w:rPr>
              <w:t>One million British thermal units</w:t>
            </w:r>
          </w:p>
        </w:tc>
      </w:tr>
      <w:tr>
        <w:trPr>
          <w:trHeight w:val="23"/>
        </w:trPr>
        <w:tc>
          <w:tcPr>
            <w:tcW w:w="3180" w:type="dxa"/>
            <w:vAlign w:val="bottom"/>
          </w:tcPr>
          <w:p>
            <w:pPr>
              <w:spacing w:after="0" w:line="20" w:lineRule="exact"/>
              <w:rPr>
                <w:sz w:val="1"/>
                <w:szCs w:val="1"/>
                <w:color w:val="auto"/>
              </w:rPr>
            </w:pPr>
          </w:p>
        </w:tc>
        <w:tc>
          <w:tcPr>
            <w:tcW w:w="8200" w:type="dxa"/>
            <w:vAlign w:val="bottom"/>
          </w:tcPr>
          <w:p>
            <w:pPr>
              <w:spacing w:after="0" w:line="20" w:lineRule="exact"/>
              <w:rPr>
                <w:sz w:val="1"/>
                <w:szCs w:val="1"/>
                <w:color w:val="auto"/>
              </w:rPr>
            </w:pPr>
          </w:p>
        </w:tc>
      </w:tr>
      <w:tr>
        <w:trPr>
          <w:trHeight w:val="196"/>
        </w:trPr>
        <w:tc>
          <w:tcPr>
            <w:tcW w:w="3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i w:val="1"/>
                <w:iCs w:val="1"/>
                <w:color w:val="auto"/>
              </w:rPr>
              <w:t>Moody’s</w:t>
            </w:r>
          </w:p>
        </w:tc>
        <w:tc>
          <w:tcPr>
            <w:tcW w:w="8200" w:type="dxa"/>
            <w:vAlign w:val="bottom"/>
            <w:tcBorders>
              <w:bottom w:val="single" w:sz="8" w:color="CCEEFF"/>
            </w:tcBorders>
            <w:shd w:val="clear" w:color="auto" w:fill="CCEEFF"/>
          </w:tcPr>
          <w:p>
            <w:pPr>
              <w:ind w:left="1520"/>
              <w:spacing w:after="0"/>
              <w:rPr>
                <w:sz w:val="20"/>
                <w:szCs w:val="20"/>
                <w:color w:val="auto"/>
              </w:rPr>
            </w:pPr>
            <w:r>
              <w:rPr>
                <w:rFonts w:ascii="Arial" w:cs="Arial" w:eastAsia="Arial" w:hAnsi="Arial"/>
                <w:sz w:val="14"/>
                <w:szCs w:val="14"/>
                <w:color w:val="auto"/>
              </w:rPr>
              <w:t>Moody’s Investors Service, Inc.</w:t>
            </w:r>
          </w:p>
        </w:tc>
      </w:tr>
      <w:tr>
        <w:trPr>
          <w:trHeight w:val="193"/>
        </w:trPr>
        <w:tc>
          <w:tcPr>
            <w:tcW w:w="318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MPSC</w:t>
            </w:r>
          </w:p>
        </w:tc>
        <w:tc>
          <w:tcPr>
            <w:tcW w:w="8200" w:type="dxa"/>
            <w:vAlign w:val="bottom"/>
          </w:tcPr>
          <w:p>
            <w:pPr>
              <w:ind w:left="1520"/>
              <w:spacing w:after="0"/>
              <w:rPr>
                <w:sz w:val="20"/>
                <w:szCs w:val="20"/>
                <w:color w:val="auto"/>
              </w:rPr>
            </w:pPr>
            <w:r>
              <w:rPr>
                <w:rFonts w:ascii="Arial" w:cs="Arial" w:eastAsia="Arial" w:hAnsi="Arial"/>
                <w:sz w:val="14"/>
                <w:szCs w:val="14"/>
                <w:color w:val="auto"/>
              </w:rPr>
              <w:t>Mississippi Public Service Commission</w:t>
            </w:r>
          </w:p>
        </w:tc>
      </w:tr>
      <w:tr>
        <w:trPr>
          <w:trHeight w:val="23"/>
        </w:trPr>
        <w:tc>
          <w:tcPr>
            <w:tcW w:w="3180" w:type="dxa"/>
            <w:vAlign w:val="bottom"/>
          </w:tcPr>
          <w:p>
            <w:pPr>
              <w:spacing w:after="0" w:line="20" w:lineRule="exact"/>
              <w:rPr>
                <w:sz w:val="1"/>
                <w:szCs w:val="1"/>
                <w:color w:val="auto"/>
              </w:rPr>
            </w:pPr>
          </w:p>
        </w:tc>
        <w:tc>
          <w:tcPr>
            <w:tcW w:w="8200" w:type="dxa"/>
            <w:vAlign w:val="bottom"/>
          </w:tcPr>
          <w:p>
            <w:pPr>
              <w:spacing w:after="0" w:line="20" w:lineRule="exact"/>
              <w:rPr>
                <w:sz w:val="1"/>
                <w:szCs w:val="1"/>
                <w:color w:val="auto"/>
              </w:rPr>
            </w:pPr>
          </w:p>
        </w:tc>
      </w:tr>
      <w:tr>
        <w:trPr>
          <w:trHeight w:val="196"/>
        </w:trPr>
        <w:tc>
          <w:tcPr>
            <w:tcW w:w="3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i w:val="1"/>
                <w:iCs w:val="1"/>
                <w:color w:val="auto"/>
              </w:rPr>
              <w:t>MPUC</w:t>
            </w:r>
          </w:p>
        </w:tc>
        <w:tc>
          <w:tcPr>
            <w:tcW w:w="8200" w:type="dxa"/>
            <w:vAlign w:val="bottom"/>
            <w:tcBorders>
              <w:bottom w:val="single" w:sz="8" w:color="CCEEFF"/>
            </w:tcBorders>
            <w:shd w:val="clear" w:color="auto" w:fill="CCEEFF"/>
          </w:tcPr>
          <w:p>
            <w:pPr>
              <w:ind w:left="1520"/>
              <w:spacing w:after="0"/>
              <w:rPr>
                <w:sz w:val="20"/>
                <w:szCs w:val="20"/>
                <w:color w:val="auto"/>
              </w:rPr>
            </w:pPr>
            <w:r>
              <w:rPr>
                <w:rFonts w:ascii="Arial" w:cs="Arial" w:eastAsia="Arial" w:hAnsi="Arial"/>
                <w:sz w:val="14"/>
                <w:szCs w:val="14"/>
                <w:color w:val="auto"/>
              </w:rPr>
              <w:t>Minnesota Public Utilities Commission</w:t>
            </w:r>
          </w:p>
        </w:tc>
      </w:tr>
      <w:tr>
        <w:trPr>
          <w:trHeight w:val="193"/>
        </w:trPr>
        <w:tc>
          <w:tcPr>
            <w:tcW w:w="318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MRT</w:t>
            </w:r>
          </w:p>
        </w:tc>
        <w:tc>
          <w:tcPr>
            <w:tcW w:w="8200" w:type="dxa"/>
            <w:vAlign w:val="bottom"/>
          </w:tcPr>
          <w:p>
            <w:pPr>
              <w:ind w:left="1520"/>
              <w:spacing w:after="0"/>
              <w:rPr>
                <w:sz w:val="20"/>
                <w:szCs w:val="20"/>
                <w:color w:val="auto"/>
              </w:rPr>
            </w:pPr>
            <w:r>
              <w:rPr>
                <w:rFonts w:ascii="Arial" w:cs="Arial" w:eastAsia="Arial" w:hAnsi="Arial"/>
                <w:sz w:val="14"/>
                <w:szCs w:val="14"/>
                <w:color w:val="auto"/>
              </w:rPr>
              <w:t>Enable Mississippi River Transmission, LLC</w:t>
            </w:r>
          </w:p>
        </w:tc>
      </w:tr>
      <w:tr>
        <w:trPr>
          <w:trHeight w:val="23"/>
        </w:trPr>
        <w:tc>
          <w:tcPr>
            <w:tcW w:w="3180" w:type="dxa"/>
            <w:vAlign w:val="bottom"/>
          </w:tcPr>
          <w:p>
            <w:pPr>
              <w:spacing w:after="0" w:line="20" w:lineRule="exact"/>
              <w:rPr>
                <w:sz w:val="1"/>
                <w:szCs w:val="1"/>
                <w:color w:val="auto"/>
              </w:rPr>
            </w:pPr>
          </w:p>
        </w:tc>
        <w:tc>
          <w:tcPr>
            <w:tcW w:w="8200" w:type="dxa"/>
            <w:vAlign w:val="bottom"/>
          </w:tcPr>
          <w:p>
            <w:pPr>
              <w:spacing w:after="0" w:line="20" w:lineRule="exact"/>
              <w:rPr>
                <w:sz w:val="1"/>
                <w:szCs w:val="1"/>
                <w:color w:val="auto"/>
              </w:rPr>
            </w:pPr>
          </w:p>
        </w:tc>
      </w:tr>
      <w:tr>
        <w:trPr>
          <w:trHeight w:val="196"/>
        </w:trPr>
        <w:tc>
          <w:tcPr>
            <w:tcW w:w="3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i w:val="1"/>
                <w:iCs w:val="1"/>
                <w:color w:val="auto"/>
              </w:rPr>
              <w:t>MW</w:t>
            </w:r>
          </w:p>
        </w:tc>
        <w:tc>
          <w:tcPr>
            <w:tcW w:w="8200" w:type="dxa"/>
            <w:vAlign w:val="bottom"/>
            <w:tcBorders>
              <w:bottom w:val="single" w:sz="8" w:color="CCEEFF"/>
            </w:tcBorders>
            <w:shd w:val="clear" w:color="auto" w:fill="CCEEFF"/>
          </w:tcPr>
          <w:p>
            <w:pPr>
              <w:ind w:left="1520"/>
              <w:spacing w:after="0"/>
              <w:rPr>
                <w:sz w:val="20"/>
                <w:szCs w:val="20"/>
                <w:color w:val="auto"/>
              </w:rPr>
            </w:pPr>
            <w:r>
              <w:rPr>
                <w:rFonts w:ascii="Arial" w:cs="Arial" w:eastAsia="Arial" w:hAnsi="Arial"/>
                <w:sz w:val="14"/>
                <w:szCs w:val="14"/>
                <w:color w:val="auto"/>
              </w:rPr>
              <w:t>Megawatts</w:t>
            </w:r>
          </w:p>
        </w:tc>
      </w:tr>
      <w:tr>
        <w:trPr>
          <w:trHeight w:val="193"/>
        </w:trPr>
        <w:tc>
          <w:tcPr>
            <w:tcW w:w="318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NGD</w:t>
            </w:r>
          </w:p>
        </w:tc>
        <w:tc>
          <w:tcPr>
            <w:tcW w:w="8200" w:type="dxa"/>
            <w:vAlign w:val="bottom"/>
          </w:tcPr>
          <w:p>
            <w:pPr>
              <w:ind w:left="1520"/>
              <w:spacing w:after="0"/>
              <w:rPr>
                <w:sz w:val="20"/>
                <w:szCs w:val="20"/>
                <w:color w:val="auto"/>
              </w:rPr>
            </w:pPr>
            <w:r>
              <w:rPr>
                <w:rFonts w:ascii="Arial" w:cs="Arial" w:eastAsia="Arial" w:hAnsi="Arial"/>
                <w:sz w:val="14"/>
                <w:szCs w:val="14"/>
                <w:color w:val="auto"/>
              </w:rPr>
              <w:t>Natural gas distribution business</w:t>
            </w:r>
          </w:p>
        </w:tc>
      </w:tr>
      <w:tr>
        <w:trPr>
          <w:trHeight w:val="23"/>
        </w:trPr>
        <w:tc>
          <w:tcPr>
            <w:tcW w:w="3180" w:type="dxa"/>
            <w:vAlign w:val="bottom"/>
          </w:tcPr>
          <w:p>
            <w:pPr>
              <w:spacing w:after="0" w:line="20" w:lineRule="exact"/>
              <w:rPr>
                <w:sz w:val="1"/>
                <w:szCs w:val="1"/>
                <w:color w:val="auto"/>
              </w:rPr>
            </w:pPr>
          </w:p>
        </w:tc>
        <w:tc>
          <w:tcPr>
            <w:tcW w:w="8200" w:type="dxa"/>
            <w:vAlign w:val="bottom"/>
          </w:tcPr>
          <w:p>
            <w:pPr>
              <w:spacing w:after="0" w:line="20" w:lineRule="exact"/>
              <w:rPr>
                <w:sz w:val="1"/>
                <w:szCs w:val="1"/>
                <w:color w:val="auto"/>
              </w:rPr>
            </w:pPr>
          </w:p>
        </w:tc>
      </w:tr>
      <w:tr>
        <w:trPr>
          <w:trHeight w:val="196"/>
        </w:trPr>
        <w:tc>
          <w:tcPr>
            <w:tcW w:w="3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i w:val="1"/>
                <w:iCs w:val="1"/>
                <w:color w:val="auto"/>
              </w:rPr>
              <w:t>NGLs</w:t>
            </w:r>
          </w:p>
        </w:tc>
        <w:tc>
          <w:tcPr>
            <w:tcW w:w="8200" w:type="dxa"/>
            <w:vAlign w:val="bottom"/>
            <w:tcBorders>
              <w:bottom w:val="single" w:sz="8" w:color="CCEEFF"/>
            </w:tcBorders>
            <w:shd w:val="clear" w:color="auto" w:fill="CCEEFF"/>
          </w:tcPr>
          <w:p>
            <w:pPr>
              <w:ind w:left="1520"/>
              <w:spacing w:after="0"/>
              <w:rPr>
                <w:sz w:val="20"/>
                <w:szCs w:val="20"/>
                <w:color w:val="auto"/>
              </w:rPr>
            </w:pPr>
            <w:r>
              <w:rPr>
                <w:rFonts w:ascii="Arial" w:cs="Arial" w:eastAsia="Arial" w:hAnsi="Arial"/>
                <w:sz w:val="14"/>
                <w:szCs w:val="14"/>
                <w:color w:val="auto"/>
              </w:rPr>
              <w:t>Natural gas liquids</w:t>
            </w:r>
          </w:p>
        </w:tc>
      </w:tr>
      <w:tr>
        <w:trPr>
          <w:trHeight w:val="193"/>
        </w:trPr>
        <w:tc>
          <w:tcPr>
            <w:tcW w:w="318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NRG</w:t>
            </w:r>
          </w:p>
        </w:tc>
        <w:tc>
          <w:tcPr>
            <w:tcW w:w="8200" w:type="dxa"/>
            <w:vAlign w:val="bottom"/>
          </w:tcPr>
          <w:p>
            <w:pPr>
              <w:ind w:left="1520"/>
              <w:spacing w:after="0"/>
              <w:rPr>
                <w:sz w:val="20"/>
                <w:szCs w:val="20"/>
                <w:color w:val="auto"/>
              </w:rPr>
            </w:pPr>
            <w:r>
              <w:rPr>
                <w:rFonts w:ascii="Arial" w:cs="Arial" w:eastAsia="Arial" w:hAnsi="Arial"/>
                <w:sz w:val="14"/>
                <w:szCs w:val="14"/>
                <w:color w:val="auto"/>
              </w:rPr>
              <w:t>NRG Energy, Inc.</w:t>
            </w:r>
          </w:p>
        </w:tc>
      </w:tr>
      <w:tr>
        <w:trPr>
          <w:trHeight w:val="23"/>
        </w:trPr>
        <w:tc>
          <w:tcPr>
            <w:tcW w:w="3180" w:type="dxa"/>
            <w:vAlign w:val="bottom"/>
          </w:tcPr>
          <w:p>
            <w:pPr>
              <w:spacing w:after="0" w:line="20" w:lineRule="exact"/>
              <w:rPr>
                <w:sz w:val="1"/>
                <w:szCs w:val="1"/>
                <w:color w:val="auto"/>
              </w:rPr>
            </w:pPr>
          </w:p>
        </w:tc>
        <w:tc>
          <w:tcPr>
            <w:tcW w:w="8200" w:type="dxa"/>
            <w:vAlign w:val="bottom"/>
          </w:tcPr>
          <w:p>
            <w:pPr>
              <w:spacing w:after="0" w:line="20" w:lineRule="exact"/>
              <w:rPr>
                <w:sz w:val="1"/>
                <w:szCs w:val="1"/>
                <w:color w:val="auto"/>
              </w:rPr>
            </w:pPr>
          </w:p>
        </w:tc>
      </w:tr>
      <w:tr>
        <w:trPr>
          <w:trHeight w:val="196"/>
        </w:trPr>
        <w:tc>
          <w:tcPr>
            <w:tcW w:w="3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i w:val="1"/>
                <w:iCs w:val="1"/>
                <w:color w:val="auto"/>
              </w:rPr>
              <w:t>NYMEX</w:t>
            </w:r>
          </w:p>
        </w:tc>
        <w:tc>
          <w:tcPr>
            <w:tcW w:w="8200" w:type="dxa"/>
            <w:vAlign w:val="bottom"/>
            <w:tcBorders>
              <w:bottom w:val="single" w:sz="8" w:color="CCEEFF"/>
            </w:tcBorders>
            <w:shd w:val="clear" w:color="auto" w:fill="CCEEFF"/>
          </w:tcPr>
          <w:p>
            <w:pPr>
              <w:ind w:left="1520"/>
              <w:spacing w:after="0"/>
              <w:rPr>
                <w:sz w:val="20"/>
                <w:szCs w:val="20"/>
                <w:color w:val="auto"/>
              </w:rPr>
            </w:pPr>
            <w:r>
              <w:rPr>
                <w:rFonts w:ascii="Arial" w:cs="Arial" w:eastAsia="Arial" w:hAnsi="Arial"/>
                <w:sz w:val="14"/>
                <w:szCs w:val="14"/>
                <w:color w:val="auto"/>
              </w:rPr>
              <w:t>New York Mercantile Exchange</w:t>
            </w:r>
          </w:p>
        </w:tc>
      </w:tr>
      <w:tr>
        <w:trPr>
          <w:trHeight w:val="193"/>
        </w:trPr>
        <w:tc>
          <w:tcPr>
            <w:tcW w:w="318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NYSE</w:t>
            </w:r>
          </w:p>
        </w:tc>
        <w:tc>
          <w:tcPr>
            <w:tcW w:w="8200" w:type="dxa"/>
            <w:vAlign w:val="bottom"/>
          </w:tcPr>
          <w:p>
            <w:pPr>
              <w:ind w:left="1520"/>
              <w:spacing w:after="0"/>
              <w:rPr>
                <w:sz w:val="20"/>
                <w:szCs w:val="20"/>
                <w:color w:val="auto"/>
              </w:rPr>
            </w:pPr>
            <w:r>
              <w:rPr>
                <w:rFonts w:ascii="Arial" w:cs="Arial" w:eastAsia="Arial" w:hAnsi="Arial"/>
                <w:sz w:val="14"/>
                <w:szCs w:val="14"/>
                <w:color w:val="auto"/>
              </w:rPr>
              <w:t>New York Stock Exchange</w:t>
            </w:r>
          </w:p>
        </w:tc>
      </w:tr>
      <w:tr>
        <w:trPr>
          <w:trHeight w:val="23"/>
        </w:trPr>
        <w:tc>
          <w:tcPr>
            <w:tcW w:w="3180" w:type="dxa"/>
            <w:vAlign w:val="bottom"/>
          </w:tcPr>
          <w:p>
            <w:pPr>
              <w:spacing w:after="0" w:line="20" w:lineRule="exact"/>
              <w:rPr>
                <w:sz w:val="1"/>
                <w:szCs w:val="1"/>
                <w:color w:val="auto"/>
              </w:rPr>
            </w:pPr>
          </w:p>
        </w:tc>
        <w:tc>
          <w:tcPr>
            <w:tcW w:w="8200" w:type="dxa"/>
            <w:vAlign w:val="bottom"/>
          </w:tcPr>
          <w:p>
            <w:pPr>
              <w:spacing w:after="0" w:line="20" w:lineRule="exact"/>
              <w:rPr>
                <w:sz w:val="1"/>
                <w:szCs w:val="1"/>
                <w:color w:val="auto"/>
              </w:rPr>
            </w:pPr>
          </w:p>
        </w:tc>
      </w:tr>
      <w:tr>
        <w:trPr>
          <w:trHeight w:val="196"/>
        </w:trPr>
        <w:tc>
          <w:tcPr>
            <w:tcW w:w="3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i w:val="1"/>
                <w:iCs w:val="1"/>
                <w:color w:val="auto"/>
              </w:rPr>
              <w:t>OCC</w:t>
            </w:r>
          </w:p>
        </w:tc>
        <w:tc>
          <w:tcPr>
            <w:tcW w:w="8200" w:type="dxa"/>
            <w:vAlign w:val="bottom"/>
            <w:tcBorders>
              <w:bottom w:val="single" w:sz="8" w:color="CCEEFF"/>
            </w:tcBorders>
            <w:shd w:val="clear" w:color="auto" w:fill="CCEEFF"/>
          </w:tcPr>
          <w:p>
            <w:pPr>
              <w:ind w:left="1520"/>
              <w:spacing w:after="0"/>
              <w:rPr>
                <w:sz w:val="20"/>
                <w:szCs w:val="20"/>
                <w:color w:val="auto"/>
              </w:rPr>
            </w:pPr>
            <w:r>
              <w:rPr>
                <w:rFonts w:ascii="Arial" w:cs="Arial" w:eastAsia="Arial" w:hAnsi="Arial"/>
                <w:sz w:val="14"/>
                <w:szCs w:val="14"/>
                <w:color w:val="auto"/>
              </w:rPr>
              <w:t>Oklahoma Corporation Commission</w:t>
            </w:r>
          </w:p>
        </w:tc>
      </w:tr>
      <w:tr>
        <w:trPr>
          <w:trHeight w:val="193"/>
        </w:trPr>
        <w:tc>
          <w:tcPr>
            <w:tcW w:w="318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OGE</w:t>
            </w:r>
          </w:p>
        </w:tc>
        <w:tc>
          <w:tcPr>
            <w:tcW w:w="8200" w:type="dxa"/>
            <w:vAlign w:val="bottom"/>
          </w:tcPr>
          <w:p>
            <w:pPr>
              <w:ind w:left="1520"/>
              <w:spacing w:after="0"/>
              <w:rPr>
                <w:sz w:val="20"/>
                <w:szCs w:val="20"/>
                <w:color w:val="auto"/>
              </w:rPr>
            </w:pPr>
            <w:r>
              <w:rPr>
                <w:rFonts w:ascii="Arial" w:cs="Arial" w:eastAsia="Arial" w:hAnsi="Arial"/>
                <w:sz w:val="14"/>
                <w:szCs w:val="14"/>
                <w:color w:val="auto"/>
              </w:rPr>
              <w:t>OGE Energy Corp.</w:t>
            </w:r>
          </w:p>
        </w:tc>
      </w:tr>
      <w:tr>
        <w:trPr>
          <w:trHeight w:val="23"/>
        </w:trPr>
        <w:tc>
          <w:tcPr>
            <w:tcW w:w="3180" w:type="dxa"/>
            <w:vAlign w:val="bottom"/>
          </w:tcPr>
          <w:p>
            <w:pPr>
              <w:spacing w:after="0" w:line="20" w:lineRule="exact"/>
              <w:rPr>
                <w:sz w:val="1"/>
                <w:szCs w:val="1"/>
                <w:color w:val="auto"/>
              </w:rPr>
            </w:pPr>
          </w:p>
        </w:tc>
        <w:tc>
          <w:tcPr>
            <w:tcW w:w="8200" w:type="dxa"/>
            <w:vAlign w:val="bottom"/>
          </w:tcPr>
          <w:p>
            <w:pPr>
              <w:spacing w:after="0" w:line="20" w:lineRule="exact"/>
              <w:rPr>
                <w:sz w:val="1"/>
                <w:szCs w:val="1"/>
                <w:color w:val="auto"/>
              </w:rPr>
            </w:pPr>
          </w:p>
        </w:tc>
      </w:tr>
      <w:tr>
        <w:trPr>
          <w:trHeight w:val="196"/>
        </w:trPr>
        <w:tc>
          <w:tcPr>
            <w:tcW w:w="3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i w:val="1"/>
                <w:iCs w:val="1"/>
                <w:color w:val="auto"/>
              </w:rPr>
              <w:t>PBRC</w:t>
            </w:r>
          </w:p>
        </w:tc>
        <w:tc>
          <w:tcPr>
            <w:tcW w:w="8200" w:type="dxa"/>
            <w:vAlign w:val="bottom"/>
            <w:tcBorders>
              <w:bottom w:val="single" w:sz="8" w:color="CCEEFF"/>
            </w:tcBorders>
            <w:shd w:val="clear" w:color="auto" w:fill="CCEEFF"/>
          </w:tcPr>
          <w:p>
            <w:pPr>
              <w:ind w:left="1520"/>
              <w:spacing w:after="0"/>
              <w:rPr>
                <w:sz w:val="20"/>
                <w:szCs w:val="20"/>
                <w:color w:val="auto"/>
              </w:rPr>
            </w:pPr>
            <w:r>
              <w:rPr>
                <w:rFonts w:ascii="Arial" w:cs="Arial" w:eastAsia="Arial" w:hAnsi="Arial"/>
                <w:sz w:val="14"/>
                <w:szCs w:val="14"/>
                <w:color w:val="auto"/>
              </w:rPr>
              <w:t>Performance Based Rate Change</w:t>
            </w:r>
          </w:p>
        </w:tc>
      </w:tr>
      <w:tr>
        <w:trPr>
          <w:trHeight w:val="193"/>
        </w:trPr>
        <w:tc>
          <w:tcPr>
            <w:tcW w:w="318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PFD</w:t>
            </w:r>
          </w:p>
        </w:tc>
        <w:tc>
          <w:tcPr>
            <w:tcW w:w="8200" w:type="dxa"/>
            <w:vAlign w:val="bottom"/>
          </w:tcPr>
          <w:p>
            <w:pPr>
              <w:ind w:left="1520"/>
              <w:spacing w:after="0"/>
              <w:rPr>
                <w:sz w:val="20"/>
                <w:szCs w:val="20"/>
                <w:color w:val="auto"/>
              </w:rPr>
            </w:pPr>
            <w:r>
              <w:rPr>
                <w:rFonts w:ascii="Arial" w:cs="Arial" w:eastAsia="Arial" w:hAnsi="Arial"/>
                <w:sz w:val="14"/>
                <w:szCs w:val="14"/>
                <w:color w:val="auto"/>
              </w:rPr>
              <w:t>Proposal for decision</w:t>
            </w:r>
          </w:p>
        </w:tc>
      </w:tr>
      <w:tr>
        <w:trPr>
          <w:trHeight w:val="23"/>
        </w:trPr>
        <w:tc>
          <w:tcPr>
            <w:tcW w:w="3180" w:type="dxa"/>
            <w:vAlign w:val="bottom"/>
          </w:tcPr>
          <w:p>
            <w:pPr>
              <w:spacing w:after="0" w:line="20" w:lineRule="exact"/>
              <w:rPr>
                <w:sz w:val="1"/>
                <w:szCs w:val="1"/>
                <w:color w:val="auto"/>
              </w:rPr>
            </w:pPr>
          </w:p>
        </w:tc>
        <w:tc>
          <w:tcPr>
            <w:tcW w:w="8200" w:type="dxa"/>
            <w:vAlign w:val="bottom"/>
          </w:tcPr>
          <w:p>
            <w:pPr>
              <w:spacing w:after="0" w:line="20" w:lineRule="exact"/>
              <w:rPr>
                <w:sz w:val="1"/>
                <w:szCs w:val="1"/>
                <w:color w:val="auto"/>
              </w:rPr>
            </w:pPr>
          </w:p>
        </w:tc>
      </w:tr>
      <w:tr>
        <w:trPr>
          <w:trHeight w:val="196"/>
        </w:trPr>
        <w:tc>
          <w:tcPr>
            <w:tcW w:w="3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i w:val="1"/>
                <w:iCs w:val="1"/>
                <w:color w:val="auto"/>
              </w:rPr>
              <w:t>PRPs</w:t>
            </w:r>
          </w:p>
        </w:tc>
        <w:tc>
          <w:tcPr>
            <w:tcW w:w="8200" w:type="dxa"/>
            <w:vAlign w:val="bottom"/>
            <w:tcBorders>
              <w:bottom w:val="single" w:sz="8" w:color="CCEEFF"/>
            </w:tcBorders>
            <w:shd w:val="clear" w:color="auto" w:fill="CCEEFF"/>
          </w:tcPr>
          <w:p>
            <w:pPr>
              <w:ind w:left="1520"/>
              <w:spacing w:after="0"/>
              <w:rPr>
                <w:sz w:val="20"/>
                <w:szCs w:val="20"/>
                <w:color w:val="auto"/>
              </w:rPr>
            </w:pPr>
            <w:r>
              <w:rPr>
                <w:rFonts w:ascii="Arial" w:cs="Arial" w:eastAsia="Arial" w:hAnsi="Arial"/>
                <w:sz w:val="14"/>
                <w:szCs w:val="14"/>
                <w:color w:val="auto"/>
              </w:rPr>
              <w:t>Potentially responsible parties</w:t>
            </w:r>
          </w:p>
        </w:tc>
      </w:tr>
      <w:tr>
        <w:trPr>
          <w:trHeight w:val="193"/>
        </w:trPr>
        <w:tc>
          <w:tcPr>
            <w:tcW w:w="318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PUCO</w:t>
            </w:r>
          </w:p>
        </w:tc>
        <w:tc>
          <w:tcPr>
            <w:tcW w:w="8200" w:type="dxa"/>
            <w:vAlign w:val="bottom"/>
          </w:tcPr>
          <w:p>
            <w:pPr>
              <w:ind w:left="1520"/>
              <w:spacing w:after="0"/>
              <w:rPr>
                <w:sz w:val="20"/>
                <w:szCs w:val="20"/>
                <w:color w:val="auto"/>
              </w:rPr>
            </w:pPr>
            <w:r>
              <w:rPr>
                <w:rFonts w:ascii="Arial" w:cs="Arial" w:eastAsia="Arial" w:hAnsi="Arial"/>
                <w:sz w:val="14"/>
                <w:szCs w:val="14"/>
                <w:color w:val="auto"/>
              </w:rPr>
              <w:t>Public Utilities Commission of Ohio</w:t>
            </w:r>
          </w:p>
        </w:tc>
      </w:tr>
      <w:tr>
        <w:trPr>
          <w:trHeight w:val="23"/>
        </w:trPr>
        <w:tc>
          <w:tcPr>
            <w:tcW w:w="3180" w:type="dxa"/>
            <w:vAlign w:val="bottom"/>
          </w:tcPr>
          <w:p>
            <w:pPr>
              <w:spacing w:after="0" w:line="20" w:lineRule="exact"/>
              <w:rPr>
                <w:sz w:val="1"/>
                <w:szCs w:val="1"/>
                <w:color w:val="auto"/>
              </w:rPr>
            </w:pPr>
          </w:p>
        </w:tc>
        <w:tc>
          <w:tcPr>
            <w:tcW w:w="8200" w:type="dxa"/>
            <w:vAlign w:val="bottom"/>
          </w:tcPr>
          <w:p>
            <w:pPr>
              <w:spacing w:after="0" w:line="20" w:lineRule="exact"/>
              <w:rPr>
                <w:sz w:val="1"/>
                <w:szCs w:val="1"/>
                <w:color w:val="auto"/>
              </w:rPr>
            </w:pPr>
          </w:p>
        </w:tc>
      </w:tr>
      <w:tr>
        <w:trPr>
          <w:trHeight w:val="196"/>
        </w:trPr>
        <w:tc>
          <w:tcPr>
            <w:tcW w:w="3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i w:val="1"/>
                <w:iCs w:val="1"/>
                <w:color w:val="auto"/>
              </w:rPr>
              <w:t>PUCT</w:t>
            </w:r>
          </w:p>
        </w:tc>
        <w:tc>
          <w:tcPr>
            <w:tcW w:w="8200" w:type="dxa"/>
            <w:vAlign w:val="bottom"/>
            <w:tcBorders>
              <w:bottom w:val="single" w:sz="8" w:color="CCEEFF"/>
            </w:tcBorders>
            <w:shd w:val="clear" w:color="auto" w:fill="CCEEFF"/>
          </w:tcPr>
          <w:p>
            <w:pPr>
              <w:ind w:left="1520"/>
              <w:spacing w:after="0"/>
              <w:rPr>
                <w:sz w:val="20"/>
                <w:szCs w:val="20"/>
                <w:color w:val="auto"/>
              </w:rPr>
            </w:pPr>
            <w:r>
              <w:rPr>
                <w:rFonts w:ascii="Arial" w:cs="Arial" w:eastAsia="Arial" w:hAnsi="Arial"/>
                <w:sz w:val="14"/>
                <w:szCs w:val="14"/>
                <w:color w:val="auto"/>
              </w:rPr>
              <w:t>Public Utility Commission of Texas</w:t>
            </w:r>
          </w:p>
        </w:tc>
      </w:tr>
      <w:tr>
        <w:trPr>
          <w:trHeight w:val="193"/>
        </w:trPr>
        <w:tc>
          <w:tcPr>
            <w:tcW w:w="318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Railroad Commission</w:t>
            </w:r>
          </w:p>
        </w:tc>
        <w:tc>
          <w:tcPr>
            <w:tcW w:w="8200" w:type="dxa"/>
            <w:vAlign w:val="bottom"/>
          </w:tcPr>
          <w:p>
            <w:pPr>
              <w:ind w:left="1520"/>
              <w:spacing w:after="0"/>
              <w:rPr>
                <w:sz w:val="20"/>
                <w:szCs w:val="20"/>
                <w:color w:val="auto"/>
              </w:rPr>
            </w:pPr>
            <w:r>
              <w:rPr>
                <w:rFonts w:ascii="Arial" w:cs="Arial" w:eastAsia="Arial" w:hAnsi="Arial"/>
                <w:sz w:val="14"/>
                <w:szCs w:val="14"/>
                <w:color w:val="auto"/>
              </w:rPr>
              <w:t>Railroad Commission of Texas</w:t>
            </w:r>
          </w:p>
        </w:tc>
      </w:tr>
      <w:tr>
        <w:trPr>
          <w:trHeight w:val="23"/>
        </w:trPr>
        <w:tc>
          <w:tcPr>
            <w:tcW w:w="3180" w:type="dxa"/>
            <w:vAlign w:val="bottom"/>
          </w:tcPr>
          <w:p>
            <w:pPr>
              <w:spacing w:after="0" w:line="20" w:lineRule="exact"/>
              <w:rPr>
                <w:sz w:val="1"/>
                <w:szCs w:val="1"/>
                <w:color w:val="auto"/>
              </w:rPr>
            </w:pPr>
          </w:p>
        </w:tc>
        <w:tc>
          <w:tcPr>
            <w:tcW w:w="8200" w:type="dxa"/>
            <w:vAlign w:val="bottom"/>
          </w:tcPr>
          <w:p>
            <w:pPr>
              <w:spacing w:after="0" w:line="20" w:lineRule="exact"/>
              <w:rPr>
                <w:sz w:val="1"/>
                <w:szCs w:val="1"/>
                <w:color w:val="auto"/>
              </w:rPr>
            </w:pPr>
          </w:p>
        </w:tc>
      </w:tr>
      <w:tr>
        <w:trPr>
          <w:trHeight w:val="196"/>
        </w:trPr>
        <w:tc>
          <w:tcPr>
            <w:tcW w:w="3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i w:val="1"/>
                <w:iCs w:val="1"/>
                <w:color w:val="auto"/>
              </w:rPr>
              <w:t>RCRA</w:t>
            </w:r>
          </w:p>
        </w:tc>
        <w:tc>
          <w:tcPr>
            <w:tcW w:w="8200" w:type="dxa"/>
            <w:vAlign w:val="bottom"/>
            <w:tcBorders>
              <w:bottom w:val="single" w:sz="8" w:color="CCEEFF"/>
            </w:tcBorders>
            <w:shd w:val="clear" w:color="auto" w:fill="CCEEFF"/>
          </w:tcPr>
          <w:p>
            <w:pPr>
              <w:ind w:left="1520"/>
              <w:spacing w:after="0"/>
              <w:rPr>
                <w:sz w:val="20"/>
                <w:szCs w:val="20"/>
                <w:color w:val="auto"/>
              </w:rPr>
            </w:pPr>
            <w:r>
              <w:rPr>
                <w:rFonts w:ascii="Arial" w:cs="Arial" w:eastAsia="Arial" w:hAnsi="Arial"/>
                <w:sz w:val="14"/>
                <w:szCs w:val="14"/>
                <w:color w:val="auto"/>
              </w:rPr>
              <w:t>Resource Conservation and Recovery Act of 1976</w:t>
            </w:r>
          </w:p>
        </w:tc>
      </w:tr>
      <w:tr>
        <w:trPr>
          <w:trHeight w:val="193"/>
        </w:trPr>
        <w:tc>
          <w:tcPr>
            <w:tcW w:w="318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Registrants</w:t>
            </w:r>
          </w:p>
        </w:tc>
        <w:tc>
          <w:tcPr>
            <w:tcW w:w="8200" w:type="dxa"/>
            <w:vAlign w:val="bottom"/>
          </w:tcPr>
          <w:p>
            <w:pPr>
              <w:ind w:left="1520"/>
              <w:spacing w:after="0"/>
              <w:rPr>
                <w:sz w:val="20"/>
                <w:szCs w:val="20"/>
                <w:color w:val="auto"/>
              </w:rPr>
            </w:pPr>
            <w:r>
              <w:rPr>
                <w:rFonts w:ascii="Arial" w:cs="Arial" w:eastAsia="Arial" w:hAnsi="Arial"/>
                <w:sz w:val="14"/>
                <w:szCs w:val="14"/>
                <w:color w:val="auto"/>
              </w:rPr>
              <w:t>CenterPoint Energy, Houston Electric and CERC, collectively</w:t>
            </w:r>
          </w:p>
        </w:tc>
      </w:tr>
      <w:tr>
        <w:trPr>
          <w:trHeight w:val="23"/>
        </w:trPr>
        <w:tc>
          <w:tcPr>
            <w:tcW w:w="3180" w:type="dxa"/>
            <w:vAlign w:val="bottom"/>
          </w:tcPr>
          <w:p>
            <w:pPr>
              <w:spacing w:after="0" w:line="20" w:lineRule="exact"/>
              <w:rPr>
                <w:sz w:val="1"/>
                <w:szCs w:val="1"/>
                <w:color w:val="auto"/>
              </w:rPr>
            </w:pPr>
          </w:p>
        </w:tc>
        <w:tc>
          <w:tcPr>
            <w:tcW w:w="8200" w:type="dxa"/>
            <w:vAlign w:val="bottom"/>
          </w:tcPr>
          <w:p>
            <w:pPr>
              <w:spacing w:after="0" w:line="20" w:lineRule="exact"/>
              <w:rPr>
                <w:sz w:val="1"/>
                <w:szCs w:val="1"/>
                <w:color w:val="auto"/>
              </w:rPr>
            </w:pPr>
          </w:p>
        </w:tc>
      </w:tr>
      <w:tr>
        <w:trPr>
          <w:trHeight w:val="196"/>
        </w:trPr>
        <w:tc>
          <w:tcPr>
            <w:tcW w:w="3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i w:val="1"/>
                <w:iCs w:val="1"/>
                <w:color w:val="auto"/>
              </w:rPr>
              <w:t>Reliant Energy</w:t>
            </w:r>
          </w:p>
        </w:tc>
        <w:tc>
          <w:tcPr>
            <w:tcW w:w="8200" w:type="dxa"/>
            <w:vAlign w:val="bottom"/>
            <w:tcBorders>
              <w:bottom w:val="single" w:sz="8" w:color="CCEEFF"/>
            </w:tcBorders>
            <w:shd w:val="clear" w:color="auto" w:fill="CCEEFF"/>
          </w:tcPr>
          <w:p>
            <w:pPr>
              <w:ind w:left="1520"/>
              <w:spacing w:after="0"/>
              <w:rPr>
                <w:sz w:val="20"/>
                <w:szCs w:val="20"/>
                <w:color w:val="auto"/>
              </w:rPr>
            </w:pPr>
            <w:r>
              <w:rPr>
                <w:rFonts w:ascii="Arial" w:cs="Arial" w:eastAsia="Arial" w:hAnsi="Arial"/>
                <w:sz w:val="14"/>
                <w:szCs w:val="14"/>
                <w:color w:val="auto"/>
              </w:rPr>
              <w:t>Reliant Energy, Incorporated</w:t>
            </w:r>
          </w:p>
        </w:tc>
      </w:tr>
      <w:tr>
        <w:trPr>
          <w:trHeight w:val="193"/>
        </w:trPr>
        <w:tc>
          <w:tcPr>
            <w:tcW w:w="318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REP</w:t>
            </w:r>
          </w:p>
        </w:tc>
        <w:tc>
          <w:tcPr>
            <w:tcW w:w="8200" w:type="dxa"/>
            <w:vAlign w:val="bottom"/>
          </w:tcPr>
          <w:p>
            <w:pPr>
              <w:ind w:left="1520"/>
              <w:spacing w:after="0"/>
              <w:rPr>
                <w:sz w:val="20"/>
                <w:szCs w:val="20"/>
                <w:color w:val="auto"/>
              </w:rPr>
            </w:pPr>
            <w:r>
              <w:rPr>
                <w:rFonts w:ascii="Arial" w:cs="Arial" w:eastAsia="Arial" w:hAnsi="Arial"/>
                <w:sz w:val="14"/>
                <w:szCs w:val="14"/>
                <w:color w:val="auto"/>
              </w:rPr>
              <w:t>Retail electric provider</w:t>
            </w:r>
          </w:p>
        </w:tc>
      </w:tr>
      <w:tr>
        <w:trPr>
          <w:trHeight w:val="23"/>
        </w:trPr>
        <w:tc>
          <w:tcPr>
            <w:tcW w:w="3180" w:type="dxa"/>
            <w:vAlign w:val="bottom"/>
          </w:tcPr>
          <w:p>
            <w:pPr>
              <w:spacing w:after="0" w:line="20" w:lineRule="exact"/>
              <w:rPr>
                <w:sz w:val="1"/>
                <w:szCs w:val="1"/>
                <w:color w:val="auto"/>
              </w:rPr>
            </w:pPr>
          </w:p>
        </w:tc>
        <w:tc>
          <w:tcPr>
            <w:tcW w:w="8200" w:type="dxa"/>
            <w:vAlign w:val="bottom"/>
          </w:tcPr>
          <w:p>
            <w:pPr>
              <w:spacing w:after="0" w:line="20" w:lineRule="exact"/>
              <w:rPr>
                <w:sz w:val="1"/>
                <w:szCs w:val="1"/>
                <w:color w:val="auto"/>
              </w:rPr>
            </w:pPr>
          </w:p>
        </w:tc>
      </w:tr>
      <w:tr>
        <w:trPr>
          <w:trHeight w:val="196"/>
        </w:trPr>
        <w:tc>
          <w:tcPr>
            <w:tcW w:w="3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i w:val="1"/>
                <w:iCs w:val="1"/>
                <w:color w:val="auto"/>
              </w:rPr>
              <w:t>Restoration Bond Company</w:t>
            </w:r>
          </w:p>
        </w:tc>
        <w:tc>
          <w:tcPr>
            <w:tcW w:w="8200" w:type="dxa"/>
            <w:vAlign w:val="bottom"/>
            <w:tcBorders>
              <w:bottom w:val="single" w:sz="8" w:color="CCEEFF"/>
            </w:tcBorders>
            <w:shd w:val="clear" w:color="auto" w:fill="CCEEFF"/>
          </w:tcPr>
          <w:p>
            <w:pPr>
              <w:ind w:left="1520"/>
              <w:spacing w:after="0"/>
              <w:rPr>
                <w:sz w:val="20"/>
                <w:szCs w:val="20"/>
                <w:color w:val="auto"/>
              </w:rPr>
            </w:pPr>
            <w:r>
              <w:rPr>
                <w:rFonts w:ascii="Arial" w:cs="Arial" w:eastAsia="Arial" w:hAnsi="Arial"/>
                <w:sz w:val="14"/>
                <w:szCs w:val="14"/>
                <w:color w:val="auto"/>
              </w:rPr>
              <w:t>CenterPoint Energy Restoration Bond Company, LLC, a wholly-owned subsidiary of Houston Electric</w:t>
            </w:r>
          </w:p>
        </w:tc>
      </w:tr>
      <w:tr>
        <w:trPr>
          <w:trHeight w:val="193"/>
        </w:trPr>
        <w:tc>
          <w:tcPr>
            <w:tcW w:w="318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Revised Policy Statement</w:t>
            </w:r>
          </w:p>
        </w:tc>
        <w:tc>
          <w:tcPr>
            <w:tcW w:w="8200" w:type="dxa"/>
            <w:vAlign w:val="bottom"/>
          </w:tcPr>
          <w:p>
            <w:pPr>
              <w:ind w:left="1520"/>
              <w:spacing w:after="0"/>
              <w:rPr>
                <w:sz w:val="20"/>
                <w:szCs w:val="20"/>
                <w:color w:val="auto"/>
              </w:rPr>
            </w:pPr>
            <w:r>
              <w:rPr>
                <w:rFonts w:ascii="Arial" w:cs="Arial" w:eastAsia="Arial" w:hAnsi="Arial"/>
                <w:sz w:val="14"/>
                <w:szCs w:val="14"/>
                <w:color w:val="auto"/>
              </w:rPr>
              <w:t>Revised Policy Statement on Treatment of Income Taxes</w:t>
            </w:r>
          </w:p>
        </w:tc>
      </w:tr>
      <w:tr>
        <w:trPr>
          <w:trHeight w:val="23"/>
        </w:trPr>
        <w:tc>
          <w:tcPr>
            <w:tcW w:w="3180" w:type="dxa"/>
            <w:vAlign w:val="bottom"/>
          </w:tcPr>
          <w:p>
            <w:pPr>
              <w:spacing w:after="0" w:line="20" w:lineRule="exact"/>
              <w:rPr>
                <w:sz w:val="1"/>
                <w:szCs w:val="1"/>
                <w:color w:val="auto"/>
              </w:rPr>
            </w:pPr>
          </w:p>
        </w:tc>
        <w:tc>
          <w:tcPr>
            <w:tcW w:w="8200" w:type="dxa"/>
            <w:vAlign w:val="bottom"/>
          </w:tcPr>
          <w:p>
            <w:pPr>
              <w:spacing w:after="0" w:line="20" w:lineRule="exact"/>
              <w:rPr>
                <w:sz w:val="1"/>
                <w:szCs w:val="1"/>
                <w:color w:val="auto"/>
              </w:rPr>
            </w:pPr>
          </w:p>
        </w:tc>
      </w:tr>
      <w:tr>
        <w:trPr>
          <w:trHeight w:val="196"/>
        </w:trPr>
        <w:tc>
          <w:tcPr>
            <w:tcW w:w="3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i w:val="1"/>
                <w:iCs w:val="1"/>
                <w:color w:val="auto"/>
              </w:rPr>
              <w:t>ROE</w:t>
            </w:r>
          </w:p>
        </w:tc>
        <w:tc>
          <w:tcPr>
            <w:tcW w:w="8200" w:type="dxa"/>
            <w:vAlign w:val="bottom"/>
            <w:tcBorders>
              <w:bottom w:val="single" w:sz="8" w:color="CCEEFF"/>
            </w:tcBorders>
            <w:shd w:val="clear" w:color="auto" w:fill="CCEEFF"/>
          </w:tcPr>
          <w:p>
            <w:pPr>
              <w:ind w:left="1520"/>
              <w:spacing w:after="0"/>
              <w:rPr>
                <w:sz w:val="20"/>
                <w:szCs w:val="20"/>
                <w:color w:val="auto"/>
              </w:rPr>
            </w:pPr>
            <w:r>
              <w:rPr>
                <w:rFonts w:ascii="Arial" w:cs="Arial" w:eastAsia="Arial" w:hAnsi="Arial"/>
                <w:sz w:val="14"/>
                <w:szCs w:val="14"/>
                <w:color w:val="auto"/>
              </w:rPr>
              <w:t>Return on equity</w:t>
            </w:r>
          </w:p>
        </w:tc>
      </w:tr>
      <w:tr>
        <w:trPr>
          <w:trHeight w:val="193"/>
        </w:trPr>
        <w:tc>
          <w:tcPr>
            <w:tcW w:w="318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ROU</w:t>
            </w:r>
          </w:p>
        </w:tc>
        <w:tc>
          <w:tcPr>
            <w:tcW w:w="8200" w:type="dxa"/>
            <w:vAlign w:val="bottom"/>
          </w:tcPr>
          <w:p>
            <w:pPr>
              <w:ind w:left="1520"/>
              <w:spacing w:after="0"/>
              <w:rPr>
                <w:sz w:val="20"/>
                <w:szCs w:val="20"/>
                <w:color w:val="auto"/>
              </w:rPr>
            </w:pPr>
            <w:r>
              <w:rPr>
                <w:rFonts w:ascii="Arial" w:cs="Arial" w:eastAsia="Arial" w:hAnsi="Arial"/>
                <w:sz w:val="14"/>
                <w:szCs w:val="14"/>
                <w:color w:val="auto"/>
              </w:rPr>
              <w:t>Right of use</w:t>
            </w:r>
          </w:p>
        </w:tc>
      </w:tr>
      <w:tr>
        <w:trPr>
          <w:trHeight w:val="23"/>
        </w:trPr>
        <w:tc>
          <w:tcPr>
            <w:tcW w:w="3180" w:type="dxa"/>
            <w:vAlign w:val="bottom"/>
          </w:tcPr>
          <w:p>
            <w:pPr>
              <w:spacing w:after="0" w:line="20" w:lineRule="exact"/>
              <w:rPr>
                <w:sz w:val="1"/>
                <w:szCs w:val="1"/>
                <w:color w:val="auto"/>
              </w:rPr>
            </w:pPr>
          </w:p>
        </w:tc>
        <w:tc>
          <w:tcPr>
            <w:tcW w:w="8200" w:type="dxa"/>
            <w:vAlign w:val="bottom"/>
          </w:tcPr>
          <w:p>
            <w:pPr>
              <w:spacing w:after="0" w:line="20" w:lineRule="exact"/>
              <w:rPr>
                <w:sz w:val="1"/>
                <w:szCs w:val="1"/>
                <w:color w:val="auto"/>
              </w:rPr>
            </w:pPr>
          </w:p>
        </w:tc>
      </w:tr>
      <w:tr>
        <w:trPr>
          <w:trHeight w:val="196"/>
        </w:trPr>
        <w:tc>
          <w:tcPr>
            <w:tcW w:w="3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i w:val="1"/>
                <w:iCs w:val="1"/>
                <w:color w:val="auto"/>
              </w:rPr>
              <w:t>RRA</w:t>
            </w:r>
          </w:p>
        </w:tc>
        <w:tc>
          <w:tcPr>
            <w:tcW w:w="8200" w:type="dxa"/>
            <w:vAlign w:val="bottom"/>
            <w:tcBorders>
              <w:bottom w:val="single" w:sz="8" w:color="CCEEFF"/>
            </w:tcBorders>
            <w:shd w:val="clear" w:color="auto" w:fill="CCEEFF"/>
          </w:tcPr>
          <w:p>
            <w:pPr>
              <w:ind w:left="1520"/>
              <w:spacing w:after="0"/>
              <w:rPr>
                <w:sz w:val="20"/>
                <w:szCs w:val="20"/>
                <w:color w:val="auto"/>
              </w:rPr>
            </w:pPr>
            <w:r>
              <w:rPr>
                <w:rFonts w:ascii="Arial" w:cs="Arial" w:eastAsia="Arial" w:hAnsi="Arial"/>
                <w:sz w:val="14"/>
                <w:szCs w:val="14"/>
                <w:color w:val="auto"/>
              </w:rPr>
              <w:t>Rate Regulation Adjustment</w:t>
            </w:r>
          </w:p>
        </w:tc>
      </w:tr>
      <w:tr>
        <w:trPr>
          <w:trHeight w:val="193"/>
        </w:trPr>
        <w:tc>
          <w:tcPr>
            <w:tcW w:w="318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RRI</w:t>
            </w:r>
          </w:p>
        </w:tc>
        <w:tc>
          <w:tcPr>
            <w:tcW w:w="8200" w:type="dxa"/>
            <w:vAlign w:val="bottom"/>
          </w:tcPr>
          <w:p>
            <w:pPr>
              <w:ind w:left="1520"/>
              <w:spacing w:after="0"/>
              <w:rPr>
                <w:sz w:val="20"/>
                <w:szCs w:val="20"/>
                <w:color w:val="auto"/>
              </w:rPr>
            </w:pPr>
            <w:r>
              <w:rPr>
                <w:rFonts w:ascii="Arial" w:cs="Arial" w:eastAsia="Arial" w:hAnsi="Arial"/>
                <w:sz w:val="14"/>
                <w:szCs w:val="14"/>
                <w:color w:val="auto"/>
              </w:rPr>
              <w:t>Reliant Resources, Inc.</w:t>
            </w:r>
          </w:p>
        </w:tc>
      </w:tr>
      <w:tr>
        <w:trPr>
          <w:trHeight w:val="23"/>
        </w:trPr>
        <w:tc>
          <w:tcPr>
            <w:tcW w:w="3180" w:type="dxa"/>
            <w:vAlign w:val="bottom"/>
          </w:tcPr>
          <w:p>
            <w:pPr>
              <w:spacing w:after="0" w:line="20" w:lineRule="exact"/>
              <w:rPr>
                <w:sz w:val="1"/>
                <w:szCs w:val="1"/>
                <w:color w:val="auto"/>
              </w:rPr>
            </w:pPr>
          </w:p>
        </w:tc>
        <w:tc>
          <w:tcPr>
            <w:tcW w:w="8200" w:type="dxa"/>
            <w:vAlign w:val="bottom"/>
          </w:tcPr>
          <w:p>
            <w:pPr>
              <w:spacing w:after="0" w:line="20" w:lineRule="exact"/>
              <w:rPr>
                <w:sz w:val="1"/>
                <w:szCs w:val="1"/>
                <w:color w:val="auto"/>
              </w:rPr>
            </w:pPr>
          </w:p>
        </w:tc>
      </w:tr>
      <w:tr>
        <w:trPr>
          <w:trHeight w:val="196"/>
        </w:trPr>
        <w:tc>
          <w:tcPr>
            <w:tcW w:w="3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i w:val="1"/>
                <w:iCs w:val="1"/>
                <w:color w:val="auto"/>
              </w:rPr>
              <w:t>RSP</w:t>
            </w:r>
          </w:p>
        </w:tc>
        <w:tc>
          <w:tcPr>
            <w:tcW w:w="8200" w:type="dxa"/>
            <w:vAlign w:val="bottom"/>
            <w:tcBorders>
              <w:bottom w:val="single" w:sz="8" w:color="CCEEFF"/>
            </w:tcBorders>
            <w:shd w:val="clear" w:color="auto" w:fill="CCEEFF"/>
          </w:tcPr>
          <w:p>
            <w:pPr>
              <w:ind w:left="1520"/>
              <w:spacing w:after="0"/>
              <w:rPr>
                <w:sz w:val="20"/>
                <w:szCs w:val="20"/>
                <w:color w:val="auto"/>
              </w:rPr>
            </w:pPr>
            <w:r>
              <w:rPr>
                <w:rFonts w:ascii="Arial" w:cs="Arial" w:eastAsia="Arial" w:hAnsi="Arial"/>
                <w:sz w:val="14"/>
                <w:szCs w:val="14"/>
                <w:color w:val="auto"/>
              </w:rPr>
              <w:t>Rate Stabilization Plan</w:t>
            </w:r>
          </w:p>
        </w:tc>
      </w:tr>
      <w:tr>
        <w:trPr>
          <w:trHeight w:val="193"/>
        </w:trPr>
        <w:tc>
          <w:tcPr>
            <w:tcW w:w="318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SEC</w:t>
            </w:r>
          </w:p>
        </w:tc>
        <w:tc>
          <w:tcPr>
            <w:tcW w:w="8200" w:type="dxa"/>
            <w:vAlign w:val="bottom"/>
          </w:tcPr>
          <w:p>
            <w:pPr>
              <w:ind w:left="1520"/>
              <w:spacing w:after="0"/>
              <w:rPr>
                <w:sz w:val="20"/>
                <w:szCs w:val="20"/>
                <w:color w:val="auto"/>
              </w:rPr>
            </w:pPr>
            <w:r>
              <w:rPr>
                <w:rFonts w:ascii="Arial" w:cs="Arial" w:eastAsia="Arial" w:hAnsi="Arial"/>
                <w:sz w:val="14"/>
                <w:szCs w:val="14"/>
                <w:color w:val="auto"/>
              </w:rPr>
              <w:t>Securities and Exchange Commission</w:t>
            </w:r>
          </w:p>
        </w:tc>
      </w:tr>
      <w:tr>
        <w:trPr>
          <w:trHeight w:val="23"/>
        </w:trPr>
        <w:tc>
          <w:tcPr>
            <w:tcW w:w="3180" w:type="dxa"/>
            <w:vAlign w:val="bottom"/>
          </w:tcPr>
          <w:p>
            <w:pPr>
              <w:spacing w:after="0" w:line="20" w:lineRule="exact"/>
              <w:rPr>
                <w:sz w:val="1"/>
                <w:szCs w:val="1"/>
                <w:color w:val="auto"/>
              </w:rPr>
            </w:pPr>
          </w:p>
        </w:tc>
        <w:tc>
          <w:tcPr>
            <w:tcW w:w="8200" w:type="dxa"/>
            <w:vAlign w:val="bottom"/>
          </w:tcPr>
          <w:p>
            <w:pPr>
              <w:spacing w:after="0" w:line="20" w:lineRule="exact"/>
              <w:rPr>
                <w:sz w:val="1"/>
                <w:szCs w:val="1"/>
                <w:color w:val="auto"/>
              </w:rPr>
            </w:pPr>
          </w:p>
        </w:tc>
      </w:tr>
      <w:tr>
        <w:trPr>
          <w:trHeight w:val="196"/>
        </w:trPr>
        <w:tc>
          <w:tcPr>
            <w:tcW w:w="3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i w:val="1"/>
                <w:iCs w:val="1"/>
                <w:color w:val="auto"/>
              </w:rPr>
              <w:t>Securitization Bonds</w:t>
            </w:r>
          </w:p>
        </w:tc>
        <w:tc>
          <w:tcPr>
            <w:tcW w:w="8200" w:type="dxa"/>
            <w:vAlign w:val="bottom"/>
            <w:tcBorders>
              <w:bottom w:val="single" w:sz="8" w:color="CCEEFF"/>
            </w:tcBorders>
            <w:shd w:val="clear" w:color="auto" w:fill="CCEEFF"/>
          </w:tcPr>
          <w:p>
            <w:pPr>
              <w:ind w:left="1520"/>
              <w:spacing w:after="0"/>
              <w:rPr>
                <w:sz w:val="20"/>
                <w:szCs w:val="20"/>
                <w:color w:val="auto"/>
              </w:rPr>
            </w:pPr>
            <w:r>
              <w:rPr>
                <w:rFonts w:ascii="Arial" w:cs="Arial" w:eastAsia="Arial" w:hAnsi="Arial"/>
                <w:sz w:val="14"/>
                <w:szCs w:val="14"/>
                <w:color w:val="auto"/>
              </w:rPr>
              <w:t>Transition and system restoration bonds</w:t>
            </w:r>
          </w:p>
        </w:tc>
      </w:tr>
      <w:tr>
        <w:trPr>
          <w:trHeight w:val="183"/>
        </w:trPr>
        <w:tc>
          <w:tcPr>
            <w:tcW w:w="318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Series A Preferred Stock</w:t>
            </w:r>
          </w:p>
        </w:tc>
        <w:tc>
          <w:tcPr>
            <w:tcW w:w="8200" w:type="dxa"/>
            <w:vAlign w:val="bottom"/>
          </w:tcPr>
          <w:p>
            <w:pPr>
              <w:ind w:left="1520"/>
              <w:spacing w:after="0"/>
              <w:rPr>
                <w:sz w:val="20"/>
                <w:szCs w:val="20"/>
                <w:color w:val="auto"/>
              </w:rPr>
            </w:pPr>
            <w:r>
              <w:rPr>
                <w:rFonts w:ascii="Arial" w:cs="Arial" w:eastAsia="Arial" w:hAnsi="Arial"/>
                <w:sz w:val="14"/>
                <w:szCs w:val="14"/>
                <w:color w:val="auto"/>
                <w:w w:val="92"/>
              </w:rPr>
              <w:t>CenterPoint Energy’s Series A Fixed-to-Floating Rate Cumulative Redeemable Perpetual Preferred Stock, par value</w:t>
            </w:r>
          </w:p>
        </w:tc>
      </w:tr>
      <w:tr>
        <w:trPr>
          <w:trHeight w:val="182"/>
        </w:trPr>
        <w:tc>
          <w:tcPr>
            <w:tcW w:w="3180" w:type="dxa"/>
            <w:vAlign w:val="bottom"/>
          </w:tcPr>
          <w:p>
            <w:pPr>
              <w:spacing w:after="0"/>
              <w:rPr>
                <w:sz w:val="15"/>
                <w:szCs w:val="15"/>
                <w:color w:val="auto"/>
              </w:rPr>
            </w:pPr>
          </w:p>
        </w:tc>
        <w:tc>
          <w:tcPr>
            <w:tcW w:w="8200" w:type="dxa"/>
            <w:vAlign w:val="bottom"/>
          </w:tcPr>
          <w:p>
            <w:pPr>
              <w:ind w:left="1520"/>
              <w:spacing w:after="0"/>
              <w:rPr>
                <w:sz w:val="20"/>
                <w:szCs w:val="20"/>
                <w:color w:val="auto"/>
              </w:rPr>
            </w:pPr>
            <w:r>
              <w:rPr>
                <w:rFonts w:ascii="Arial" w:cs="Arial" w:eastAsia="Arial" w:hAnsi="Arial"/>
                <w:sz w:val="14"/>
                <w:szCs w:val="14"/>
                <w:color w:val="auto"/>
              </w:rPr>
              <w:t>$0.01 per share, with a liquidation preference of $1,000 per share</w:t>
            </w:r>
          </w:p>
        </w:tc>
      </w:tr>
      <w:tr>
        <w:trPr>
          <w:trHeight w:val="23"/>
        </w:trPr>
        <w:tc>
          <w:tcPr>
            <w:tcW w:w="3180" w:type="dxa"/>
            <w:vAlign w:val="bottom"/>
          </w:tcPr>
          <w:p>
            <w:pPr>
              <w:spacing w:after="0" w:line="20" w:lineRule="exact"/>
              <w:rPr>
                <w:sz w:val="1"/>
                <w:szCs w:val="1"/>
                <w:color w:val="auto"/>
              </w:rPr>
            </w:pPr>
          </w:p>
        </w:tc>
        <w:tc>
          <w:tcPr>
            <w:tcW w:w="8200" w:type="dxa"/>
            <w:vAlign w:val="bottom"/>
          </w:tcPr>
          <w:p>
            <w:pPr>
              <w:spacing w:after="0" w:line="20" w:lineRule="exact"/>
              <w:rPr>
                <w:sz w:val="1"/>
                <w:szCs w:val="1"/>
                <w:color w:val="auto"/>
              </w:rPr>
            </w:pPr>
          </w:p>
        </w:tc>
      </w:tr>
      <w:tr>
        <w:trPr>
          <w:trHeight w:val="183"/>
        </w:trPr>
        <w:tc>
          <w:tcPr>
            <w:tcW w:w="3180" w:type="dxa"/>
            <w:vAlign w:val="bottom"/>
            <w:shd w:val="clear" w:color="auto" w:fill="CCEEFF"/>
          </w:tcPr>
          <w:p>
            <w:pPr>
              <w:ind w:left="20"/>
              <w:spacing w:after="0"/>
              <w:rPr>
                <w:sz w:val="20"/>
                <w:szCs w:val="20"/>
                <w:color w:val="auto"/>
              </w:rPr>
            </w:pPr>
            <w:r>
              <w:rPr>
                <w:rFonts w:ascii="Arial" w:cs="Arial" w:eastAsia="Arial" w:hAnsi="Arial"/>
                <w:sz w:val="14"/>
                <w:szCs w:val="14"/>
                <w:b w:val="1"/>
                <w:bCs w:val="1"/>
                <w:i w:val="1"/>
                <w:iCs w:val="1"/>
                <w:color w:val="auto"/>
              </w:rPr>
              <w:t>Series B Preferred Stock</w:t>
            </w:r>
          </w:p>
        </w:tc>
        <w:tc>
          <w:tcPr>
            <w:tcW w:w="8200" w:type="dxa"/>
            <w:vAlign w:val="bottom"/>
            <w:shd w:val="clear" w:color="auto" w:fill="CCEEFF"/>
          </w:tcPr>
          <w:p>
            <w:pPr>
              <w:ind w:left="1520"/>
              <w:spacing w:after="0"/>
              <w:rPr>
                <w:sz w:val="20"/>
                <w:szCs w:val="20"/>
                <w:color w:val="auto"/>
              </w:rPr>
            </w:pPr>
            <w:r>
              <w:rPr>
                <w:rFonts w:ascii="Arial" w:cs="Arial" w:eastAsia="Arial" w:hAnsi="Arial"/>
                <w:sz w:val="14"/>
                <w:szCs w:val="14"/>
                <w:color w:val="auto"/>
                <w:w w:val="96"/>
              </w:rPr>
              <w:t>CenterPoint Energy’s 7.00% Series B Mandatory Convertible Preferred Stock, par value $0.01 per share, with a</w:t>
            </w:r>
          </w:p>
        </w:tc>
      </w:tr>
      <w:tr>
        <w:trPr>
          <w:trHeight w:val="185"/>
        </w:trPr>
        <w:tc>
          <w:tcPr>
            <w:tcW w:w="3180" w:type="dxa"/>
            <w:vAlign w:val="bottom"/>
            <w:tcBorders>
              <w:bottom w:val="single" w:sz="8" w:color="CCEEFF"/>
            </w:tcBorders>
            <w:shd w:val="clear" w:color="auto" w:fill="CCEEFF"/>
          </w:tcPr>
          <w:p>
            <w:pPr>
              <w:spacing w:after="0"/>
              <w:rPr>
                <w:sz w:val="16"/>
                <w:szCs w:val="16"/>
                <w:color w:val="auto"/>
              </w:rPr>
            </w:pPr>
          </w:p>
        </w:tc>
        <w:tc>
          <w:tcPr>
            <w:tcW w:w="8200" w:type="dxa"/>
            <w:vAlign w:val="bottom"/>
            <w:tcBorders>
              <w:bottom w:val="single" w:sz="8" w:color="CCEEFF"/>
            </w:tcBorders>
            <w:shd w:val="clear" w:color="auto" w:fill="CCEEFF"/>
          </w:tcPr>
          <w:p>
            <w:pPr>
              <w:ind w:left="1520"/>
              <w:spacing w:after="0"/>
              <w:rPr>
                <w:sz w:val="20"/>
                <w:szCs w:val="20"/>
                <w:color w:val="auto"/>
              </w:rPr>
            </w:pPr>
            <w:r>
              <w:rPr>
                <w:rFonts w:ascii="Arial" w:cs="Arial" w:eastAsia="Arial" w:hAnsi="Arial"/>
                <w:sz w:val="14"/>
                <w:szCs w:val="14"/>
                <w:color w:val="auto"/>
              </w:rPr>
              <w:t>liquidation preference of $1,000 per share</w:t>
            </w:r>
          </w:p>
        </w:tc>
      </w:tr>
      <w:tr>
        <w:trPr>
          <w:trHeight w:val="193"/>
        </w:trPr>
        <w:tc>
          <w:tcPr>
            <w:tcW w:w="318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SERP</w:t>
            </w:r>
          </w:p>
        </w:tc>
        <w:tc>
          <w:tcPr>
            <w:tcW w:w="8200" w:type="dxa"/>
            <w:vAlign w:val="bottom"/>
          </w:tcPr>
          <w:p>
            <w:pPr>
              <w:ind w:left="1520"/>
              <w:spacing w:after="0"/>
              <w:rPr>
                <w:sz w:val="20"/>
                <w:szCs w:val="20"/>
                <w:color w:val="auto"/>
              </w:rPr>
            </w:pPr>
            <w:r>
              <w:rPr>
                <w:rFonts w:ascii="Arial" w:cs="Arial" w:eastAsia="Arial" w:hAnsi="Arial"/>
                <w:sz w:val="14"/>
                <w:szCs w:val="14"/>
                <w:color w:val="auto"/>
              </w:rPr>
              <w:t>Supplemental Executive Retirement Plan</w:t>
            </w:r>
          </w:p>
        </w:tc>
      </w:tr>
      <w:tr>
        <w:trPr>
          <w:trHeight w:val="23"/>
        </w:trPr>
        <w:tc>
          <w:tcPr>
            <w:tcW w:w="3180" w:type="dxa"/>
            <w:vAlign w:val="bottom"/>
          </w:tcPr>
          <w:p>
            <w:pPr>
              <w:spacing w:after="0" w:line="20" w:lineRule="exact"/>
              <w:rPr>
                <w:sz w:val="1"/>
                <w:szCs w:val="1"/>
                <w:color w:val="auto"/>
              </w:rPr>
            </w:pPr>
          </w:p>
        </w:tc>
        <w:tc>
          <w:tcPr>
            <w:tcW w:w="8200" w:type="dxa"/>
            <w:vAlign w:val="bottom"/>
          </w:tcPr>
          <w:p>
            <w:pPr>
              <w:spacing w:after="0" w:line="20" w:lineRule="exact"/>
              <w:rPr>
                <w:sz w:val="1"/>
                <w:szCs w:val="1"/>
                <w:color w:val="auto"/>
              </w:rPr>
            </w:pPr>
          </w:p>
        </w:tc>
      </w:tr>
      <w:tr>
        <w:trPr>
          <w:trHeight w:val="196"/>
        </w:trPr>
        <w:tc>
          <w:tcPr>
            <w:tcW w:w="3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i w:val="1"/>
                <w:iCs w:val="1"/>
                <w:color w:val="auto"/>
              </w:rPr>
              <w:t>SIGECO</w:t>
            </w:r>
          </w:p>
        </w:tc>
        <w:tc>
          <w:tcPr>
            <w:tcW w:w="8200" w:type="dxa"/>
            <w:vAlign w:val="bottom"/>
            <w:tcBorders>
              <w:bottom w:val="single" w:sz="8" w:color="CCEEFF"/>
            </w:tcBorders>
            <w:shd w:val="clear" w:color="auto" w:fill="CCEEFF"/>
          </w:tcPr>
          <w:p>
            <w:pPr>
              <w:ind w:left="1520"/>
              <w:spacing w:after="0"/>
              <w:rPr>
                <w:sz w:val="20"/>
                <w:szCs w:val="20"/>
                <w:color w:val="auto"/>
              </w:rPr>
            </w:pPr>
            <w:r>
              <w:rPr>
                <w:rFonts w:ascii="Arial" w:cs="Arial" w:eastAsia="Arial" w:hAnsi="Arial"/>
                <w:sz w:val="14"/>
                <w:szCs w:val="14"/>
                <w:color w:val="auto"/>
              </w:rPr>
              <w:t>Southern Indiana Gas and Electric Company, a wholly-owned subsidiary of Vectren</w:t>
            </w:r>
          </w:p>
        </w:tc>
      </w:tr>
      <w:tr>
        <w:trPr>
          <w:trHeight w:val="193"/>
        </w:trPr>
        <w:tc>
          <w:tcPr>
            <w:tcW w:w="318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S&amp;P</w:t>
            </w:r>
          </w:p>
        </w:tc>
        <w:tc>
          <w:tcPr>
            <w:tcW w:w="8200" w:type="dxa"/>
            <w:vAlign w:val="bottom"/>
          </w:tcPr>
          <w:p>
            <w:pPr>
              <w:ind w:left="1520"/>
              <w:spacing w:after="0"/>
              <w:rPr>
                <w:sz w:val="20"/>
                <w:szCs w:val="20"/>
                <w:color w:val="auto"/>
              </w:rPr>
            </w:pPr>
            <w:r>
              <w:rPr>
                <w:rFonts w:ascii="Arial" w:cs="Arial" w:eastAsia="Arial" w:hAnsi="Arial"/>
                <w:sz w:val="14"/>
                <w:szCs w:val="14"/>
                <w:color w:val="auto"/>
              </w:rPr>
              <w:t>S&amp;P Global Ratings</w:t>
            </w:r>
          </w:p>
        </w:tc>
      </w:tr>
      <w:tr>
        <w:trPr>
          <w:trHeight w:val="23"/>
        </w:trPr>
        <w:tc>
          <w:tcPr>
            <w:tcW w:w="3180" w:type="dxa"/>
            <w:vAlign w:val="bottom"/>
          </w:tcPr>
          <w:p>
            <w:pPr>
              <w:spacing w:after="0" w:line="20" w:lineRule="exact"/>
              <w:rPr>
                <w:sz w:val="1"/>
                <w:szCs w:val="1"/>
                <w:color w:val="auto"/>
              </w:rPr>
            </w:pPr>
          </w:p>
        </w:tc>
        <w:tc>
          <w:tcPr>
            <w:tcW w:w="8200" w:type="dxa"/>
            <w:vAlign w:val="bottom"/>
          </w:tcPr>
          <w:p>
            <w:pPr>
              <w:spacing w:after="0" w:line="20" w:lineRule="exact"/>
              <w:rPr>
                <w:sz w:val="1"/>
                <w:szCs w:val="1"/>
                <w:color w:val="auto"/>
              </w:rPr>
            </w:pPr>
          </w:p>
        </w:tc>
      </w:tr>
      <w:tr>
        <w:trPr>
          <w:trHeight w:val="196"/>
        </w:trPr>
        <w:tc>
          <w:tcPr>
            <w:tcW w:w="3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i w:val="1"/>
                <w:iCs w:val="1"/>
                <w:color w:val="auto"/>
              </w:rPr>
              <w:t>SRC</w:t>
            </w:r>
          </w:p>
        </w:tc>
        <w:tc>
          <w:tcPr>
            <w:tcW w:w="8200" w:type="dxa"/>
            <w:vAlign w:val="bottom"/>
            <w:tcBorders>
              <w:bottom w:val="single" w:sz="8" w:color="CCEEFF"/>
            </w:tcBorders>
            <w:shd w:val="clear" w:color="auto" w:fill="CCEEFF"/>
          </w:tcPr>
          <w:p>
            <w:pPr>
              <w:ind w:left="1520"/>
              <w:spacing w:after="0"/>
              <w:rPr>
                <w:sz w:val="20"/>
                <w:szCs w:val="20"/>
                <w:color w:val="auto"/>
              </w:rPr>
            </w:pPr>
            <w:r>
              <w:rPr>
                <w:rFonts w:ascii="Arial" w:cs="Arial" w:eastAsia="Arial" w:hAnsi="Arial"/>
                <w:sz w:val="14"/>
                <w:szCs w:val="14"/>
                <w:color w:val="auto"/>
              </w:rPr>
              <w:t>Sales Reconciliation Component</w:t>
            </w:r>
          </w:p>
        </w:tc>
      </w:tr>
      <w:tr>
        <w:trPr>
          <w:trHeight w:val="193"/>
        </w:trPr>
        <w:tc>
          <w:tcPr>
            <w:tcW w:w="318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TBD</w:t>
            </w:r>
          </w:p>
        </w:tc>
        <w:tc>
          <w:tcPr>
            <w:tcW w:w="8200" w:type="dxa"/>
            <w:vAlign w:val="bottom"/>
          </w:tcPr>
          <w:p>
            <w:pPr>
              <w:ind w:left="1520"/>
              <w:spacing w:after="0"/>
              <w:rPr>
                <w:sz w:val="20"/>
                <w:szCs w:val="20"/>
                <w:color w:val="auto"/>
              </w:rPr>
            </w:pPr>
            <w:r>
              <w:rPr>
                <w:rFonts w:ascii="Arial" w:cs="Arial" w:eastAsia="Arial" w:hAnsi="Arial"/>
                <w:sz w:val="14"/>
                <w:szCs w:val="14"/>
                <w:color w:val="auto"/>
              </w:rPr>
              <w:t>To be determined</w:t>
            </w:r>
          </w:p>
        </w:tc>
      </w:tr>
      <w:tr>
        <w:trPr>
          <w:trHeight w:val="23"/>
        </w:trPr>
        <w:tc>
          <w:tcPr>
            <w:tcW w:w="3180" w:type="dxa"/>
            <w:vAlign w:val="bottom"/>
          </w:tcPr>
          <w:p>
            <w:pPr>
              <w:spacing w:after="0" w:line="20" w:lineRule="exact"/>
              <w:rPr>
                <w:sz w:val="1"/>
                <w:szCs w:val="1"/>
                <w:color w:val="auto"/>
              </w:rPr>
            </w:pPr>
          </w:p>
        </w:tc>
        <w:tc>
          <w:tcPr>
            <w:tcW w:w="8200" w:type="dxa"/>
            <w:vAlign w:val="bottom"/>
          </w:tcPr>
          <w:p>
            <w:pPr>
              <w:spacing w:after="0" w:line="20" w:lineRule="exact"/>
              <w:rPr>
                <w:sz w:val="1"/>
                <w:szCs w:val="1"/>
                <w:color w:val="auto"/>
              </w:rPr>
            </w:pPr>
          </w:p>
        </w:tc>
      </w:tr>
      <w:tr>
        <w:trPr>
          <w:trHeight w:val="183"/>
        </w:trPr>
        <w:tc>
          <w:tcPr>
            <w:tcW w:w="3180" w:type="dxa"/>
            <w:vAlign w:val="bottom"/>
            <w:shd w:val="clear" w:color="auto" w:fill="CCEEFF"/>
          </w:tcPr>
          <w:p>
            <w:pPr>
              <w:ind w:left="20"/>
              <w:spacing w:after="0"/>
              <w:rPr>
                <w:sz w:val="20"/>
                <w:szCs w:val="20"/>
                <w:color w:val="auto"/>
              </w:rPr>
            </w:pPr>
            <w:r>
              <w:rPr>
                <w:rFonts w:ascii="Arial" w:cs="Arial" w:eastAsia="Arial" w:hAnsi="Arial"/>
                <w:sz w:val="14"/>
                <w:szCs w:val="14"/>
                <w:b w:val="1"/>
                <w:bCs w:val="1"/>
                <w:i w:val="1"/>
                <w:iCs w:val="1"/>
                <w:color w:val="auto"/>
              </w:rPr>
              <w:t>TCEH Corp.</w:t>
            </w:r>
          </w:p>
        </w:tc>
        <w:tc>
          <w:tcPr>
            <w:tcW w:w="8200" w:type="dxa"/>
            <w:vAlign w:val="bottom"/>
            <w:shd w:val="clear" w:color="auto" w:fill="CCEEFF"/>
          </w:tcPr>
          <w:p>
            <w:pPr>
              <w:ind w:left="1520"/>
              <w:spacing w:after="0"/>
              <w:rPr>
                <w:sz w:val="20"/>
                <w:szCs w:val="20"/>
                <w:color w:val="auto"/>
              </w:rPr>
            </w:pPr>
            <w:r>
              <w:rPr>
                <w:rFonts w:ascii="Arial" w:cs="Arial" w:eastAsia="Arial" w:hAnsi="Arial"/>
                <w:sz w:val="14"/>
                <w:szCs w:val="14"/>
                <w:color w:val="auto"/>
                <w:w w:val="97"/>
              </w:rPr>
              <w:t>Formerly Texas Competitive Electric Holdings Company LLC, predecessor to Vistra Energy Corp. whose major</w:t>
            </w:r>
          </w:p>
        </w:tc>
      </w:tr>
      <w:tr>
        <w:trPr>
          <w:trHeight w:val="185"/>
        </w:trPr>
        <w:tc>
          <w:tcPr>
            <w:tcW w:w="3180" w:type="dxa"/>
            <w:vAlign w:val="bottom"/>
            <w:tcBorders>
              <w:bottom w:val="single" w:sz="8" w:color="CCEEFF"/>
            </w:tcBorders>
            <w:shd w:val="clear" w:color="auto" w:fill="CCEEFF"/>
          </w:tcPr>
          <w:p>
            <w:pPr>
              <w:spacing w:after="0"/>
              <w:rPr>
                <w:sz w:val="16"/>
                <w:szCs w:val="16"/>
                <w:color w:val="auto"/>
              </w:rPr>
            </w:pPr>
          </w:p>
        </w:tc>
        <w:tc>
          <w:tcPr>
            <w:tcW w:w="8200" w:type="dxa"/>
            <w:vAlign w:val="bottom"/>
            <w:tcBorders>
              <w:bottom w:val="single" w:sz="8" w:color="CCEEFF"/>
            </w:tcBorders>
            <w:shd w:val="clear" w:color="auto" w:fill="CCEEFF"/>
          </w:tcPr>
          <w:p>
            <w:pPr>
              <w:ind w:left="1520"/>
              <w:spacing w:after="0"/>
              <w:rPr>
                <w:sz w:val="20"/>
                <w:szCs w:val="20"/>
                <w:color w:val="auto"/>
              </w:rPr>
            </w:pPr>
            <w:r>
              <w:rPr>
                <w:rFonts w:ascii="Arial" w:cs="Arial" w:eastAsia="Arial" w:hAnsi="Arial"/>
                <w:sz w:val="14"/>
                <w:szCs w:val="14"/>
                <w:color w:val="auto"/>
              </w:rPr>
              <w:t>subsidiaries include Luminant and TXU Energy</w:t>
            </w:r>
          </w:p>
        </w:tc>
      </w:tr>
      <w:tr>
        <w:trPr>
          <w:trHeight w:val="365"/>
        </w:trPr>
        <w:tc>
          <w:tcPr>
            <w:tcW w:w="3180" w:type="dxa"/>
            <w:vAlign w:val="bottom"/>
          </w:tcPr>
          <w:p>
            <w:pPr>
              <w:spacing w:after="0"/>
              <w:rPr>
                <w:sz w:val="24"/>
                <w:szCs w:val="24"/>
                <w:color w:val="auto"/>
              </w:rPr>
            </w:pPr>
          </w:p>
        </w:tc>
        <w:tc>
          <w:tcPr>
            <w:tcW w:w="8200" w:type="dxa"/>
            <w:vAlign w:val="bottom"/>
          </w:tcPr>
          <w:p>
            <w:pPr>
              <w:ind w:left="2460"/>
              <w:spacing w:after="0"/>
              <w:rPr>
                <w:sz w:val="20"/>
                <w:szCs w:val="20"/>
                <w:color w:val="auto"/>
              </w:rPr>
            </w:pPr>
            <w:r>
              <w:rPr>
                <w:rFonts w:ascii="Arial" w:cs="Arial" w:eastAsia="Arial" w:hAnsi="Arial"/>
                <w:sz w:val="14"/>
                <w:szCs w:val="14"/>
                <w:color w:val="auto"/>
              </w:rPr>
              <w:t>iv</w:t>
            </w:r>
          </w:p>
        </w:tc>
      </w:tr>
    </w:tbl>
    <w:p>
      <w:pPr>
        <w:sectPr>
          <w:pgSz w:w="11900" w:h="16838" w:orient="portrait"/>
          <w:cols w:equalWidth="0" w:num="1">
            <w:col w:w="11380"/>
          </w:cols>
          <w:pgMar w:left="260" w:top="452" w:right="259" w:bottom="144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100" w:type="dxa"/>
            <w:vAlign w:val="bottom"/>
          </w:tcPr>
          <w:p>
            <w:pPr>
              <w:spacing w:after="0"/>
              <w:rPr>
                <w:sz w:val="15"/>
                <w:szCs w:val="15"/>
                <w:color w:val="auto"/>
              </w:rPr>
            </w:pPr>
          </w:p>
        </w:tc>
        <w:tc>
          <w:tcPr>
            <w:tcW w:w="8280" w:type="dxa"/>
            <w:vAlign w:val="bottom"/>
          </w:tcPr>
          <w:p>
            <w:pPr>
              <w:ind w:left="2220"/>
              <w:spacing w:after="0"/>
              <w:rPr>
                <w:sz w:val="20"/>
                <w:szCs w:val="20"/>
                <w:color w:val="auto"/>
              </w:rPr>
            </w:pPr>
            <w:r>
              <w:rPr>
                <w:rFonts w:ascii="Arial" w:cs="Arial" w:eastAsia="Arial" w:hAnsi="Arial"/>
                <w:sz w:val="14"/>
                <w:szCs w:val="14"/>
                <w:b w:val="1"/>
                <w:bCs w:val="1"/>
                <w:i w:val="1"/>
                <w:iCs w:val="1"/>
                <w:color w:val="auto"/>
              </w:rPr>
              <w:t>GLOSSARY</w:t>
            </w:r>
          </w:p>
        </w:tc>
      </w:tr>
      <w:tr>
        <w:trPr>
          <w:trHeight w:val="23"/>
        </w:trPr>
        <w:tc>
          <w:tcPr>
            <w:tcW w:w="3100" w:type="dxa"/>
            <w:vAlign w:val="bottom"/>
            <w:tcBorders>
              <w:bottom w:val="single" w:sz="8" w:color="auto"/>
            </w:tcBorders>
          </w:tcPr>
          <w:p>
            <w:pPr>
              <w:spacing w:after="0" w:line="20" w:lineRule="exact"/>
              <w:rPr>
                <w:sz w:val="1"/>
                <w:szCs w:val="1"/>
                <w:color w:val="auto"/>
              </w:rPr>
            </w:pPr>
          </w:p>
        </w:tc>
        <w:tc>
          <w:tcPr>
            <w:tcW w:w="8280" w:type="dxa"/>
            <w:vAlign w:val="bottom"/>
            <w:tcBorders>
              <w:bottom w:val="single" w:sz="8" w:color="auto"/>
            </w:tcBorders>
          </w:tcPr>
          <w:p>
            <w:pPr>
              <w:spacing w:after="0" w:line="20" w:lineRule="exact"/>
              <w:rPr>
                <w:sz w:val="1"/>
                <w:szCs w:val="1"/>
                <w:color w:val="auto"/>
              </w:rPr>
            </w:pPr>
          </w:p>
        </w:tc>
      </w:tr>
      <w:tr>
        <w:trPr>
          <w:trHeight w:val="184"/>
        </w:trPr>
        <w:tc>
          <w:tcPr>
            <w:tcW w:w="310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TCJA</w:t>
            </w:r>
          </w:p>
        </w:tc>
        <w:tc>
          <w:tcPr>
            <w:tcW w:w="8280" w:type="dxa"/>
            <w:vAlign w:val="bottom"/>
          </w:tcPr>
          <w:p>
            <w:pPr>
              <w:ind w:left="1600"/>
              <w:spacing w:after="0"/>
              <w:rPr>
                <w:sz w:val="20"/>
                <w:szCs w:val="20"/>
                <w:color w:val="auto"/>
              </w:rPr>
            </w:pPr>
            <w:r>
              <w:rPr>
                <w:rFonts w:ascii="Arial" w:cs="Arial" w:eastAsia="Arial" w:hAnsi="Arial"/>
                <w:sz w:val="14"/>
                <w:szCs w:val="14"/>
                <w:color w:val="auto"/>
              </w:rPr>
              <w:t>Tax reform legislation informally called the Tax Cuts and Jobs Act of 2017</w:t>
            </w:r>
          </w:p>
        </w:tc>
      </w:tr>
      <w:tr>
        <w:trPr>
          <w:trHeight w:val="23"/>
        </w:trPr>
        <w:tc>
          <w:tcPr>
            <w:tcW w:w="3100" w:type="dxa"/>
            <w:vAlign w:val="bottom"/>
          </w:tcPr>
          <w:p>
            <w:pPr>
              <w:spacing w:after="0" w:line="20" w:lineRule="exact"/>
              <w:rPr>
                <w:sz w:val="1"/>
                <w:szCs w:val="1"/>
                <w:color w:val="auto"/>
              </w:rPr>
            </w:pPr>
          </w:p>
        </w:tc>
        <w:tc>
          <w:tcPr>
            <w:tcW w:w="8280" w:type="dxa"/>
            <w:vAlign w:val="bottom"/>
          </w:tcPr>
          <w:p>
            <w:pPr>
              <w:spacing w:after="0" w:line="20" w:lineRule="exact"/>
              <w:rPr>
                <w:sz w:val="1"/>
                <w:szCs w:val="1"/>
                <w:color w:val="auto"/>
              </w:rPr>
            </w:pPr>
          </w:p>
        </w:tc>
      </w:tr>
      <w:tr>
        <w:trPr>
          <w:trHeight w:val="196"/>
        </w:trPr>
        <w:tc>
          <w:tcPr>
            <w:tcW w:w="3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i w:val="1"/>
                <w:iCs w:val="1"/>
                <w:color w:val="auto"/>
              </w:rPr>
              <w:t>TCOS</w:t>
            </w:r>
          </w:p>
        </w:tc>
        <w:tc>
          <w:tcPr>
            <w:tcW w:w="8280" w:type="dxa"/>
            <w:vAlign w:val="bottom"/>
            <w:tcBorders>
              <w:bottom w:val="single" w:sz="8" w:color="CCEEFF"/>
            </w:tcBorders>
            <w:shd w:val="clear" w:color="auto" w:fill="CCEEFF"/>
          </w:tcPr>
          <w:p>
            <w:pPr>
              <w:ind w:left="1600"/>
              <w:spacing w:after="0"/>
              <w:rPr>
                <w:sz w:val="20"/>
                <w:szCs w:val="20"/>
                <w:color w:val="auto"/>
              </w:rPr>
            </w:pPr>
            <w:r>
              <w:rPr>
                <w:rFonts w:ascii="Arial" w:cs="Arial" w:eastAsia="Arial" w:hAnsi="Arial"/>
                <w:sz w:val="14"/>
                <w:szCs w:val="14"/>
                <w:color w:val="auto"/>
              </w:rPr>
              <w:t>Transmission Cost of Service</w:t>
            </w:r>
          </w:p>
        </w:tc>
      </w:tr>
      <w:tr>
        <w:trPr>
          <w:trHeight w:val="193"/>
        </w:trPr>
        <w:tc>
          <w:tcPr>
            <w:tcW w:w="310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TDSIC</w:t>
            </w:r>
          </w:p>
        </w:tc>
        <w:tc>
          <w:tcPr>
            <w:tcW w:w="8280" w:type="dxa"/>
            <w:vAlign w:val="bottom"/>
          </w:tcPr>
          <w:p>
            <w:pPr>
              <w:ind w:left="1600"/>
              <w:spacing w:after="0"/>
              <w:rPr>
                <w:sz w:val="20"/>
                <w:szCs w:val="20"/>
                <w:color w:val="auto"/>
              </w:rPr>
            </w:pPr>
            <w:r>
              <w:rPr>
                <w:rFonts w:ascii="Arial" w:cs="Arial" w:eastAsia="Arial" w:hAnsi="Arial"/>
                <w:sz w:val="14"/>
                <w:szCs w:val="14"/>
                <w:color w:val="auto"/>
              </w:rPr>
              <w:t>Transmission, Distribution and Storage System Improvement Charge</w:t>
            </w:r>
          </w:p>
        </w:tc>
      </w:tr>
      <w:tr>
        <w:trPr>
          <w:trHeight w:val="23"/>
        </w:trPr>
        <w:tc>
          <w:tcPr>
            <w:tcW w:w="3100" w:type="dxa"/>
            <w:vAlign w:val="bottom"/>
          </w:tcPr>
          <w:p>
            <w:pPr>
              <w:spacing w:after="0" w:line="20" w:lineRule="exact"/>
              <w:rPr>
                <w:sz w:val="1"/>
                <w:szCs w:val="1"/>
                <w:color w:val="auto"/>
              </w:rPr>
            </w:pPr>
          </w:p>
        </w:tc>
        <w:tc>
          <w:tcPr>
            <w:tcW w:w="8280" w:type="dxa"/>
            <w:vAlign w:val="bottom"/>
          </w:tcPr>
          <w:p>
            <w:pPr>
              <w:spacing w:after="0" w:line="20" w:lineRule="exact"/>
              <w:rPr>
                <w:sz w:val="1"/>
                <w:szCs w:val="1"/>
                <w:color w:val="auto"/>
              </w:rPr>
            </w:pPr>
          </w:p>
        </w:tc>
      </w:tr>
      <w:tr>
        <w:trPr>
          <w:trHeight w:val="196"/>
        </w:trPr>
        <w:tc>
          <w:tcPr>
            <w:tcW w:w="3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i w:val="1"/>
                <w:iCs w:val="1"/>
                <w:color w:val="auto"/>
              </w:rPr>
              <w:t>TDU</w:t>
            </w:r>
          </w:p>
        </w:tc>
        <w:tc>
          <w:tcPr>
            <w:tcW w:w="8280" w:type="dxa"/>
            <w:vAlign w:val="bottom"/>
            <w:tcBorders>
              <w:bottom w:val="single" w:sz="8" w:color="CCEEFF"/>
            </w:tcBorders>
            <w:shd w:val="clear" w:color="auto" w:fill="CCEEFF"/>
          </w:tcPr>
          <w:p>
            <w:pPr>
              <w:ind w:left="1600"/>
              <w:spacing w:after="0"/>
              <w:rPr>
                <w:sz w:val="20"/>
                <w:szCs w:val="20"/>
                <w:color w:val="auto"/>
              </w:rPr>
            </w:pPr>
            <w:r>
              <w:rPr>
                <w:rFonts w:ascii="Arial" w:cs="Arial" w:eastAsia="Arial" w:hAnsi="Arial"/>
                <w:sz w:val="14"/>
                <w:szCs w:val="14"/>
                <w:color w:val="auto"/>
              </w:rPr>
              <w:t>Transmission and distribution utility</w:t>
            </w:r>
          </w:p>
        </w:tc>
      </w:tr>
      <w:tr>
        <w:trPr>
          <w:trHeight w:val="183"/>
        </w:trPr>
        <w:tc>
          <w:tcPr>
            <w:tcW w:w="310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Transition Agreements</w:t>
            </w:r>
          </w:p>
        </w:tc>
        <w:tc>
          <w:tcPr>
            <w:tcW w:w="8280" w:type="dxa"/>
            <w:vAlign w:val="bottom"/>
          </w:tcPr>
          <w:p>
            <w:pPr>
              <w:ind w:left="1600"/>
              <w:spacing w:after="0"/>
              <w:rPr>
                <w:sz w:val="20"/>
                <w:szCs w:val="20"/>
                <w:color w:val="auto"/>
              </w:rPr>
            </w:pPr>
            <w:r>
              <w:rPr>
                <w:rFonts w:ascii="Arial" w:cs="Arial" w:eastAsia="Arial" w:hAnsi="Arial"/>
                <w:sz w:val="14"/>
                <w:szCs w:val="14"/>
                <w:color w:val="auto"/>
                <w:w w:val="95"/>
              </w:rPr>
              <w:t>Services Agreement, Employee Transition Agreement, Transitional Seconding Agreement and other agreements</w:t>
            </w:r>
          </w:p>
        </w:tc>
      </w:tr>
      <w:tr>
        <w:trPr>
          <w:trHeight w:val="182"/>
        </w:trPr>
        <w:tc>
          <w:tcPr>
            <w:tcW w:w="3100" w:type="dxa"/>
            <w:vAlign w:val="bottom"/>
          </w:tcPr>
          <w:p>
            <w:pPr>
              <w:spacing w:after="0"/>
              <w:rPr>
                <w:sz w:val="15"/>
                <w:szCs w:val="15"/>
                <w:color w:val="auto"/>
              </w:rPr>
            </w:pPr>
          </w:p>
        </w:tc>
        <w:tc>
          <w:tcPr>
            <w:tcW w:w="8280" w:type="dxa"/>
            <w:vAlign w:val="bottom"/>
          </w:tcPr>
          <w:p>
            <w:pPr>
              <w:ind w:left="1600"/>
              <w:spacing w:after="0"/>
              <w:rPr>
                <w:sz w:val="20"/>
                <w:szCs w:val="20"/>
                <w:color w:val="auto"/>
              </w:rPr>
            </w:pPr>
            <w:r>
              <w:rPr>
                <w:rFonts w:ascii="Arial" w:cs="Arial" w:eastAsia="Arial" w:hAnsi="Arial"/>
                <w:sz w:val="14"/>
                <w:szCs w:val="14"/>
                <w:color w:val="auto"/>
              </w:rPr>
              <w:t>entered into in connection with the formation of Enable</w:t>
            </w:r>
          </w:p>
        </w:tc>
      </w:tr>
      <w:tr>
        <w:trPr>
          <w:trHeight w:val="23"/>
        </w:trPr>
        <w:tc>
          <w:tcPr>
            <w:tcW w:w="3100" w:type="dxa"/>
            <w:vAlign w:val="bottom"/>
          </w:tcPr>
          <w:p>
            <w:pPr>
              <w:spacing w:after="0" w:line="20" w:lineRule="exact"/>
              <w:rPr>
                <w:sz w:val="1"/>
                <w:szCs w:val="1"/>
                <w:color w:val="auto"/>
              </w:rPr>
            </w:pPr>
          </w:p>
        </w:tc>
        <w:tc>
          <w:tcPr>
            <w:tcW w:w="8280" w:type="dxa"/>
            <w:vAlign w:val="bottom"/>
          </w:tcPr>
          <w:p>
            <w:pPr>
              <w:spacing w:after="0" w:line="20" w:lineRule="exact"/>
              <w:rPr>
                <w:sz w:val="1"/>
                <w:szCs w:val="1"/>
                <w:color w:val="auto"/>
              </w:rPr>
            </w:pPr>
          </w:p>
        </w:tc>
      </w:tr>
      <w:tr>
        <w:trPr>
          <w:trHeight w:val="196"/>
        </w:trPr>
        <w:tc>
          <w:tcPr>
            <w:tcW w:w="3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i w:val="1"/>
                <w:iCs w:val="1"/>
                <w:color w:val="auto"/>
              </w:rPr>
              <w:t>TSCR</w:t>
            </w:r>
          </w:p>
        </w:tc>
        <w:tc>
          <w:tcPr>
            <w:tcW w:w="8280" w:type="dxa"/>
            <w:vAlign w:val="bottom"/>
            <w:tcBorders>
              <w:bottom w:val="single" w:sz="8" w:color="CCEEFF"/>
            </w:tcBorders>
            <w:shd w:val="clear" w:color="auto" w:fill="CCEEFF"/>
          </w:tcPr>
          <w:p>
            <w:pPr>
              <w:ind w:left="1600"/>
              <w:spacing w:after="0"/>
              <w:rPr>
                <w:sz w:val="20"/>
                <w:szCs w:val="20"/>
                <w:color w:val="auto"/>
              </w:rPr>
            </w:pPr>
            <w:r>
              <w:rPr>
                <w:rFonts w:ascii="Arial" w:cs="Arial" w:eastAsia="Arial" w:hAnsi="Arial"/>
                <w:sz w:val="14"/>
                <w:szCs w:val="14"/>
                <w:color w:val="auto"/>
              </w:rPr>
              <w:t>Tax Savings Credit Rider</w:t>
            </w:r>
          </w:p>
        </w:tc>
      </w:tr>
      <w:tr>
        <w:trPr>
          <w:trHeight w:val="193"/>
        </w:trPr>
        <w:tc>
          <w:tcPr>
            <w:tcW w:w="310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Utility Holding</w:t>
            </w:r>
          </w:p>
        </w:tc>
        <w:tc>
          <w:tcPr>
            <w:tcW w:w="8280" w:type="dxa"/>
            <w:vAlign w:val="bottom"/>
          </w:tcPr>
          <w:p>
            <w:pPr>
              <w:ind w:left="1600"/>
              <w:spacing w:after="0"/>
              <w:rPr>
                <w:sz w:val="20"/>
                <w:szCs w:val="20"/>
                <w:color w:val="auto"/>
              </w:rPr>
            </w:pPr>
            <w:r>
              <w:rPr>
                <w:rFonts w:ascii="Arial" w:cs="Arial" w:eastAsia="Arial" w:hAnsi="Arial"/>
                <w:sz w:val="14"/>
                <w:szCs w:val="14"/>
                <w:color w:val="auto"/>
              </w:rPr>
              <w:t>Utility Holding, LLC, a wholly-owned subsidiary of CenterPoint Energy</w:t>
            </w:r>
          </w:p>
        </w:tc>
      </w:tr>
      <w:tr>
        <w:trPr>
          <w:trHeight w:val="23"/>
        </w:trPr>
        <w:tc>
          <w:tcPr>
            <w:tcW w:w="3100" w:type="dxa"/>
            <w:vAlign w:val="bottom"/>
          </w:tcPr>
          <w:p>
            <w:pPr>
              <w:spacing w:after="0" w:line="20" w:lineRule="exact"/>
              <w:rPr>
                <w:sz w:val="1"/>
                <w:szCs w:val="1"/>
                <w:color w:val="auto"/>
              </w:rPr>
            </w:pPr>
          </w:p>
        </w:tc>
        <w:tc>
          <w:tcPr>
            <w:tcW w:w="8280" w:type="dxa"/>
            <w:vAlign w:val="bottom"/>
          </w:tcPr>
          <w:p>
            <w:pPr>
              <w:spacing w:after="0" w:line="20" w:lineRule="exact"/>
              <w:rPr>
                <w:sz w:val="1"/>
                <w:szCs w:val="1"/>
                <w:color w:val="auto"/>
              </w:rPr>
            </w:pPr>
          </w:p>
        </w:tc>
      </w:tr>
      <w:tr>
        <w:trPr>
          <w:trHeight w:val="196"/>
        </w:trPr>
        <w:tc>
          <w:tcPr>
            <w:tcW w:w="3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i w:val="1"/>
                <w:iCs w:val="1"/>
                <w:color w:val="auto"/>
              </w:rPr>
              <w:t>VCC</w:t>
            </w:r>
          </w:p>
        </w:tc>
        <w:tc>
          <w:tcPr>
            <w:tcW w:w="8280" w:type="dxa"/>
            <w:vAlign w:val="bottom"/>
            <w:tcBorders>
              <w:bottom w:val="single" w:sz="8" w:color="CCEEFF"/>
            </w:tcBorders>
            <w:shd w:val="clear" w:color="auto" w:fill="CCEEFF"/>
          </w:tcPr>
          <w:p>
            <w:pPr>
              <w:ind w:left="1600"/>
              <w:spacing w:after="0"/>
              <w:rPr>
                <w:sz w:val="20"/>
                <w:szCs w:val="20"/>
                <w:color w:val="auto"/>
              </w:rPr>
            </w:pPr>
            <w:r>
              <w:rPr>
                <w:rFonts w:ascii="Arial" w:cs="Arial" w:eastAsia="Arial" w:hAnsi="Arial"/>
                <w:sz w:val="14"/>
                <w:szCs w:val="14"/>
                <w:color w:val="auto"/>
              </w:rPr>
              <w:t>Vectren Capital Corp., a wholly-owned subsidiary of Vectren</w:t>
            </w:r>
          </w:p>
        </w:tc>
      </w:tr>
      <w:tr>
        <w:trPr>
          <w:trHeight w:val="193"/>
        </w:trPr>
        <w:tc>
          <w:tcPr>
            <w:tcW w:w="310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Vectren</w:t>
            </w:r>
          </w:p>
        </w:tc>
        <w:tc>
          <w:tcPr>
            <w:tcW w:w="8280" w:type="dxa"/>
            <w:vAlign w:val="bottom"/>
          </w:tcPr>
          <w:p>
            <w:pPr>
              <w:ind w:left="1600"/>
              <w:spacing w:after="0"/>
              <w:rPr>
                <w:sz w:val="20"/>
                <w:szCs w:val="20"/>
                <w:color w:val="auto"/>
              </w:rPr>
            </w:pPr>
            <w:r>
              <w:rPr>
                <w:rFonts w:ascii="Arial" w:cs="Arial" w:eastAsia="Arial" w:hAnsi="Arial"/>
                <w:sz w:val="14"/>
                <w:szCs w:val="14"/>
                <w:color w:val="auto"/>
              </w:rPr>
              <w:t>Vectren Corporation, a wholly-owned subsidiary of CenterPoint Energy as of the Merger Date</w:t>
            </w:r>
          </w:p>
        </w:tc>
      </w:tr>
      <w:tr>
        <w:trPr>
          <w:trHeight w:val="23"/>
        </w:trPr>
        <w:tc>
          <w:tcPr>
            <w:tcW w:w="3100" w:type="dxa"/>
            <w:vAlign w:val="bottom"/>
          </w:tcPr>
          <w:p>
            <w:pPr>
              <w:spacing w:after="0" w:line="20" w:lineRule="exact"/>
              <w:rPr>
                <w:sz w:val="1"/>
                <w:szCs w:val="1"/>
                <w:color w:val="auto"/>
              </w:rPr>
            </w:pPr>
          </w:p>
        </w:tc>
        <w:tc>
          <w:tcPr>
            <w:tcW w:w="8280" w:type="dxa"/>
            <w:vAlign w:val="bottom"/>
          </w:tcPr>
          <w:p>
            <w:pPr>
              <w:spacing w:after="0" w:line="20" w:lineRule="exact"/>
              <w:rPr>
                <w:sz w:val="1"/>
                <w:szCs w:val="1"/>
                <w:color w:val="auto"/>
              </w:rPr>
            </w:pPr>
          </w:p>
        </w:tc>
      </w:tr>
      <w:tr>
        <w:trPr>
          <w:trHeight w:val="196"/>
        </w:trPr>
        <w:tc>
          <w:tcPr>
            <w:tcW w:w="3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i w:val="1"/>
                <w:iCs w:val="1"/>
                <w:color w:val="auto"/>
              </w:rPr>
              <w:t>VEDO</w:t>
            </w:r>
          </w:p>
        </w:tc>
        <w:tc>
          <w:tcPr>
            <w:tcW w:w="8280" w:type="dxa"/>
            <w:vAlign w:val="bottom"/>
            <w:tcBorders>
              <w:bottom w:val="single" w:sz="8" w:color="CCEEFF"/>
            </w:tcBorders>
            <w:shd w:val="clear" w:color="auto" w:fill="CCEEFF"/>
          </w:tcPr>
          <w:p>
            <w:pPr>
              <w:ind w:left="1600"/>
              <w:spacing w:after="0"/>
              <w:rPr>
                <w:sz w:val="20"/>
                <w:szCs w:val="20"/>
                <w:color w:val="auto"/>
              </w:rPr>
            </w:pPr>
            <w:r>
              <w:rPr>
                <w:rFonts w:ascii="Arial" w:cs="Arial" w:eastAsia="Arial" w:hAnsi="Arial"/>
                <w:sz w:val="14"/>
                <w:szCs w:val="14"/>
                <w:color w:val="auto"/>
              </w:rPr>
              <w:t>Vectren Energy Delivery of Ohio, Inc., a wholly-owned subsidiary of Vectren</w:t>
            </w:r>
          </w:p>
        </w:tc>
      </w:tr>
      <w:tr>
        <w:trPr>
          <w:trHeight w:val="193"/>
        </w:trPr>
        <w:tc>
          <w:tcPr>
            <w:tcW w:w="310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VIE</w:t>
            </w:r>
          </w:p>
        </w:tc>
        <w:tc>
          <w:tcPr>
            <w:tcW w:w="8280" w:type="dxa"/>
            <w:vAlign w:val="bottom"/>
          </w:tcPr>
          <w:p>
            <w:pPr>
              <w:ind w:left="1600"/>
              <w:spacing w:after="0"/>
              <w:rPr>
                <w:sz w:val="20"/>
                <w:szCs w:val="20"/>
                <w:color w:val="auto"/>
              </w:rPr>
            </w:pPr>
            <w:r>
              <w:rPr>
                <w:rFonts w:ascii="Arial" w:cs="Arial" w:eastAsia="Arial" w:hAnsi="Arial"/>
                <w:sz w:val="14"/>
                <w:szCs w:val="14"/>
                <w:color w:val="auto"/>
              </w:rPr>
              <w:t>Variable interest entity</w:t>
            </w:r>
          </w:p>
        </w:tc>
      </w:tr>
      <w:tr>
        <w:trPr>
          <w:trHeight w:val="23"/>
        </w:trPr>
        <w:tc>
          <w:tcPr>
            <w:tcW w:w="3100" w:type="dxa"/>
            <w:vAlign w:val="bottom"/>
          </w:tcPr>
          <w:p>
            <w:pPr>
              <w:spacing w:after="0" w:line="20" w:lineRule="exact"/>
              <w:rPr>
                <w:sz w:val="1"/>
                <w:szCs w:val="1"/>
                <w:color w:val="auto"/>
              </w:rPr>
            </w:pPr>
          </w:p>
        </w:tc>
        <w:tc>
          <w:tcPr>
            <w:tcW w:w="8280" w:type="dxa"/>
            <w:vAlign w:val="bottom"/>
          </w:tcPr>
          <w:p>
            <w:pPr>
              <w:spacing w:after="0" w:line="20" w:lineRule="exact"/>
              <w:rPr>
                <w:sz w:val="1"/>
                <w:szCs w:val="1"/>
                <w:color w:val="auto"/>
              </w:rPr>
            </w:pPr>
          </w:p>
        </w:tc>
      </w:tr>
      <w:tr>
        <w:trPr>
          <w:trHeight w:val="196"/>
        </w:trPr>
        <w:tc>
          <w:tcPr>
            <w:tcW w:w="3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i w:val="1"/>
                <w:iCs w:val="1"/>
                <w:color w:val="auto"/>
              </w:rPr>
              <w:t>Vistra Energy Corp.</w:t>
            </w:r>
          </w:p>
        </w:tc>
        <w:tc>
          <w:tcPr>
            <w:tcW w:w="8280" w:type="dxa"/>
            <w:vAlign w:val="bottom"/>
            <w:tcBorders>
              <w:bottom w:val="single" w:sz="8" w:color="CCEEFF"/>
            </w:tcBorders>
            <w:shd w:val="clear" w:color="auto" w:fill="CCEEFF"/>
          </w:tcPr>
          <w:p>
            <w:pPr>
              <w:ind w:left="1600"/>
              <w:spacing w:after="0"/>
              <w:rPr>
                <w:sz w:val="20"/>
                <w:szCs w:val="20"/>
                <w:color w:val="auto"/>
              </w:rPr>
            </w:pPr>
            <w:r>
              <w:rPr>
                <w:rFonts w:ascii="Arial" w:cs="Arial" w:eastAsia="Arial" w:hAnsi="Arial"/>
                <w:sz w:val="14"/>
                <w:szCs w:val="14"/>
                <w:color w:val="auto"/>
              </w:rPr>
              <w:t>Texas-based energy company focused on the competitive energy and power generation markets</w:t>
            </w:r>
          </w:p>
        </w:tc>
      </w:tr>
      <w:tr>
        <w:trPr>
          <w:trHeight w:val="193"/>
        </w:trPr>
        <w:tc>
          <w:tcPr>
            <w:tcW w:w="310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VRP</w:t>
            </w:r>
          </w:p>
        </w:tc>
        <w:tc>
          <w:tcPr>
            <w:tcW w:w="8280" w:type="dxa"/>
            <w:vAlign w:val="bottom"/>
          </w:tcPr>
          <w:p>
            <w:pPr>
              <w:ind w:left="1600"/>
              <w:spacing w:after="0"/>
              <w:rPr>
                <w:sz w:val="20"/>
                <w:szCs w:val="20"/>
                <w:color w:val="auto"/>
              </w:rPr>
            </w:pPr>
            <w:r>
              <w:rPr>
                <w:rFonts w:ascii="Arial" w:cs="Arial" w:eastAsia="Arial" w:hAnsi="Arial"/>
                <w:sz w:val="14"/>
                <w:szCs w:val="14"/>
                <w:color w:val="auto"/>
              </w:rPr>
              <w:t>Voluntary Remediation Program</w:t>
            </w:r>
          </w:p>
        </w:tc>
      </w:tr>
      <w:tr>
        <w:trPr>
          <w:trHeight w:val="23"/>
        </w:trPr>
        <w:tc>
          <w:tcPr>
            <w:tcW w:w="3100" w:type="dxa"/>
            <w:vAlign w:val="bottom"/>
          </w:tcPr>
          <w:p>
            <w:pPr>
              <w:spacing w:after="0" w:line="20" w:lineRule="exact"/>
              <w:rPr>
                <w:sz w:val="1"/>
                <w:szCs w:val="1"/>
                <w:color w:val="auto"/>
              </w:rPr>
            </w:pPr>
          </w:p>
        </w:tc>
        <w:tc>
          <w:tcPr>
            <w:tcW w:w="8280" w:type="dxa"/>
            <w:vAlign w:val="bottom"/>
          </w:tcPr>
          <w:p>
            <w:pPr>
              <w:spacing w:after="0" w:line="20" w:lineRule="exact"/>
              <w:rPr>
                <w:sz w:val="1"/>
                <w:szCs w:val="1"/>
                <w:color w:val="auto"/>
              </w:rPr>
            </w:pPr>
          </w:p>
        </w:tc>
      </w:tr>
      <w:tr>
        <w:trPr>
          <w:trHeight w:val="196"/>
        </w:trPr>
        <w:tc>
          <w:tcPr>
            <w:tcW w:w="3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i w:val="1"/>
                <w:iCs w:val="1"/>
                <w:color w:val="auto"/>
              </w:rPr>
              <w:t>VUHI</w:t>
            </w:r>
          </w:p>
        </w:tc>
        <w:tc>
          <w:tcPr>
            <w:tcW w:w="8280" w:type="dxa"/>
            <w:vAlign w:val="bottom"/>
            <w:tcBorders>
              <w:bottom w:val="single" w:sz="8" w:color="CCEEFF"/>
            </w:tcBorders>
            <w:shd w:val="clear" w:color="auto" w:fill="CCEEFF"/>
          </w:tcPr>
          <w:p>
            <w:pPr>
              <w:ind w:left="1600"/>
              <w:spacing w:after="0"/>
              <w:rPr>
                <w:sz w:val="20"/>
                <w:szCs w:val="20"/>
                <w:color w:val="auto"/>
              </w:rPr>
            </w:pPr>
            <w:r>
              <w:rPr>
                <w:rFonts w:ascii="Arial" w:cs="Arial" w:eastAsia="Arial" w:hAnsi="Arial"/>
                <w:sz w:val="14"/>
                <w:szCs w:val="14"/>
                <w:color w:val="auto"/>
              </w:rPr>
              <w:t>Vectren Utility Holdings, Inc., a wholly-owned subsidiary of Vectren</w:t>
            </w:r>
          </w:p>
        </w:tc>
      </w:tr>
      <w:tr>
        <w:trPr>
          <w:trHeight w:val="193"/>
        </w:trPr>
        <w:tc>
          <w:tcPr>
            <w:tcW w:w="310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ZENS</w:t>
            </w:r>
          </w:p>
        </w:tc>
        <w:tc>
          <w:tcPr>
            <w:tcW w:w="8280" w:type="dxa"/>
            <w:vAlign w:val="bottom"/>
          </w:tcPr>
          <w:p>
            <w:pPr>
              <w:ind w:left="1600"/>
              <w:spacing w:after="0"/>
              <w:rPr>
                <w:sz w:val="20"/>
                <w:szCs w:val="20"/>
                <w:color w:val="auto"/>
              </w:rPr>
            </w:pPr>
            <w:r>
              <w:rPr>
                <w:rFonts w:ascii="Arial" w:cs="Arial" w:eastAsia="Arial" w:hAnsi="Arial"/>
                <w:sz w:val="14"/>
                <w:szCs w:val="14"/>
                <w:color w:val="auto"/>
              </w:rPr>
              <w:t>2.0% Zero-Premium Exchangeable Subordinated Notes due 2029</w:t>
            </w:r>
          </w:p>
        </w:tc>
      </w:tr>
      <w:tr>
        <w:trPr>
          <w:trHeight w:val="23"/>
        </w:trPr>
        <w:tc>
          <w:tcPr>
            <w:tcW w:w="3100" w:type="dxa"/>
            <w:vAlign w:val="bottom"/>
          </w:tcPr>
          <w:p>
            <w:pPr>
              <w:spacing w:after="0" w:line="20" w:lineRule="exact"/>
              <w:rPr>
                <w:sz w:val="1"/>
                <w:szCs w:val="1"/>
                <w:color w:val="auto"/>
              </w:rPr>
            </w:pPr>
          </w:p>
        </w:tc>
        <w:tc>
          <w:tcPr>
            <w:tcW w:w="8280" w:type="dxa"/>
            <w:vAlign w:val="bottom"/>
          </w:tcPr>
          <w:p>
            <w:pPr>
              <w:spacing w:after="0" w:line="20" w:lineRule="exact"/>
              <w:rPr>
                <w:sz w:val="1"/>
                <w:szCs w:val="1"/>
                <w:color w:val="auto"/>
              </w:rPr>
            </w:pPr>
          </w:p>
        </w:tc>
      </w:tr>
      <w:tr>
        <w:trPr>
          <w:trHeight w:val="196"/>
        </w:trPr>
        <w:tc>
          <w:tcPr>
            <w:tcW w:w="3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i w:val="1"/>
                <w:iCs w:val="1"/>
                <w:color w:val="auto"/>
              </w:rPr>
              <w:t>ZENS-Related Securities</w:t>
            </w:r>
          </w:p>
        </w:tc>
        <w:tc>
          <w:tcPr>
            <w:tcW w:w="8280" w:type="dxa"/>
            <w:vAlign w:val="bottom"/>
            <w:tcBorders>
              <w:bottom w:val="single" w:sz="8" w:color="CCEEFF"/>
            </w:tcBorders>
            <w:shd w:val="clear" w:color="auto" w:fill="CCEEFF"/>
          </w:tcPr>
          <w:p>
            <w:pPr>
              <w:ind w:left="1600"/>
              <w:spacing w:after="0"/>
              <w:rPr>
                <w:sz w:val="20"/>
                <w:szCs w:val="20"/>
                <w:color w:val="auto"/>
              </w:rPr>
            </w:pPr>
            <w:r>
              <w:rPr>
                <w:rFonts w:ascii="Arial" w:cs="Arial" w:eastAsia="Arial" w:hAnsi="Arial"/>
                <w:sz w:val="14"/>
                <w:szCs w:val="14"/>
                <w:color w:val="auto"/>
                <w:w w:val="99"/>
              </w:rPr>
              <w:t>As of both September 30, 2019 and December 31, 2018, consisted of AT&amp;T Common and Charter Common</w:t>
            </w:r>
          </w:p>
        </w:tc>
      </w:tr>
      <w:tr>
        <w:trPr>
          <w:trHeight w:val="193"/>
        </w:trPr>
        <w:tc>
          <w:tcPr>
            <w:tcW w:w="310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2018 Form 10-K</w:t>
            </w:r>
          </w:p>
        </w:tc>
        <w:tc>
          <w:tcPr>
            <w:tcW w:w="8280" w:type="dxa"/>
            <w:vAlign w:val="bottom"/>
          </w:tcPr>
          <w:p>
            <w:pPr>
              <w:ind w:left="1600"/>
              <w:spacing w:after="0"/>
              <w:rPr>
                <w:sz w:val="20"/>
                <w:szCs w:val="20"/>
                <w:color w:val="auto"/>
              </w:rPr>
            </w:pPr>
            <w:r>
              <w:rPr>
                <w:rFonts w:ascii="Arial" w:cs="Arial" w:eastAsia="Arial" w:hAnsi="Arial"/>
                <w:sz w:val="14"/>
                <w:szCs w:val="14"/>
                <w:color w:val="auto"/>
              </w:rPr>
              <w:t>Annual Report on Form 10-K for the fiscal year ended December 31, 2018</w:t>
            </w:r>
          </w:p>
        </w:tc>
      </w:tr>
      <w:tr>
        <w:trPr>
          <w:trHeight w:val="388"/>
        </w:trPr>
        <w:tc>
          <w:tcPr>
            <w:tcW w:w="3100" w:type="dxa"/>
            <w:vAlign w:val="bottom"/>
          </w:tcPr>
          <w:p>
            <w:pPr>
              <w:spacing w:after="0"/>
              <w:rPr>
                <w:sz w:val="24"/>
                <w:szCs w:val="24"/>
                <w:color w:val="auto"/>
              </w:rPr>
            </w:pPr>
          </w:p>
        </w:tc>
        <w:tc>
          <w:tcPr>
            <w:tcW w:w="8280" w:type="dxa"/>
            <w:vAlign w:val="bottom"/>
          </w:tcPr>
          <w:p>
            <w:pPr>
              <w:ind w:left="2560"/>
              <w:spacing w:after="0"/>
              <w:rPr>
                <w:sz w:val="20"/>
                <w:szCs w:val="20"/>
                <w:color w:val="auto"/>
              </w:rPr>
            </w:pPr>
            <w:r>
              <w:rPr>
                <w:rFonts w:ascii="Arial" w:cs="Arial" w:eastAsia="Arial" w:hAnsi="Arial"/>
                <w:sz w:val="14"/>
                <w:szCs w:val="14"/>
                <w:color w:val="auto"/>
              </w:rPr>
              <w:t>v</w:t>
            </w:r>
          </w:p>
        </w:tc>
      </w:tr>
    </w:tbl>
    <w:p>
      <w:pPr>
        <w:sectPr>
          <w:pgSz w:w="11900" w:h="16838" w:orient="portrait"/>
          <w:cols w:equalWidth="0" w:num="1">
            <w:col w:w="11380"/>
          </w:cols>
          <w:pgMar w:left="260" w:top="452" w:right="259" w:bottom="1440" w:gutter="0" w:footer="0" w:header="0"/>
        </w:sectPr>
      </w:pPr>
    </w:p>
    <w:bookmarkStart w:id="7" w:name="page8"/>
    <w:bookmarkEnd w:id="7"/>
    <w:p>
      <w:pPr>
        <w:jc w:val="center"/>
        <w:spacing w:after="0"/>
        <w:rPr>
          <w:sz w:val="20"/>
          <w:szCs w:val="20"/>
          <w:color w:val="auto"/>
        </w:rPr>
      </w:pPr>
      <w:r>
        <w:rPr>
          <w:rFonts w:ascii="Arial" w:cs="Arial" w:eastAsia="Arial" w:hAnsi="Arial"/>
          <w:sz w:val="14"/>
          <w:szCs w:val="14"/>
          <w:b w:val="1"/>
          <w:bCs w:val="1"/>
          <w:color w:val="auto"/>
        </w:rPr>
        <w:t>CAUTIONARY STATEMENT REGARDING FORWARD-LOOKING INFORMATION</w:t>
      </w:r>
    </w:p>
    <w:p>
      <w:pPr>
        <w:spacing w:after="0" w:line="188" w:lineRule="exact"/>
        <w:rPr>
          <w:sz w:val="20"/>
          <w:szCs w:val="20"/>
          <w:color w:val="auto"/>
        </w:rPr>
      </w:pPr>
    </w:p>
    <w:p>
      <w:pPr>
        <w:jc w:val="both"/>
        <w:ind w:firstLine="259"/>
        <w:spacing w:after="0" w:line="267" w:lineRule="auto"/>
        <w:rPr>
          <w:sz w:val="20"/>
          <w:szCs w:val="20"/>
          <w:color w:val="auto"/>
        </w:rPr>
      </w:pPr>
      <w:r>
        <w:rPr>
          <w:rFonts w:ascii="Arial" w:cs="Arial" w:eastAsia="Arial" w:hAnsi="Arial"/>
          <w:sz w:val="14"/>
          <w:szCs w:val="14"/>
          <w:color w:val="auto"/>
        </w:rPr>
        <w:t>From time to time the Registrants make statements concerning their expectations, beliefs, plans, objectives, goals, strategies, future events or performance and underlying assumptions and other statements that are not historical facts. These statements are “forward-looking statements” within the meaning of the Private Securities Litigation Reform Act of 1995. Actual results may differ materially from those expressed or implied by these statements. You can generally identify forward-looking statements by the words “anticipate,” “believe,” “continue,” “could,” “estimate,” “expect,” “forecast,” “goal,” “intend,” “may,” “objective,” “plan,” “potential,” “predict,” “projection,” “should,” “target,” “will” or other similar words.</w:t>
      </w:r>
    </w:p>
    <w:p>
      <w:pPr>
        <w:spacing w:after="0" w:line="146" w:lineRule="exact"/>
        <w:rPr>
          <w:sz w:val="20"/>
          <w:szCs w:val="20"/>
          <w:color w:val="auto"/>
        </w:rPr>
      </w:pPr>
    </w:p>
    <w:p>
      <w:pPr>
        <w:jc w:val="both"/>
        <w:ind w:firstLine="259"/>
        <w:spacing w:after="0" w:line="294" w:lineRule="auto"/>
        <w:rPr>
          <w:sz w:val="20"/>
          <w:szCs w:val="20"/>
          <w:color w:val="auto"/>
        </w:rPr>
      </w:pPr>
      <w:r>
        <w:rPr>
          <w:rFonts w:ascii="Arial" w:cs="Arial" w:eastAsia="Arial" w:hAnsi="Arial"/>
          <w:sz w:val="13"/>
          <w:szCs w:val="13"/>
          <w:color w:val="auto"/>
        </w:rPr>
        <w:t>The Registrants have based their forward-looking statements on management’s beliefs and assumptions based on information reasonably available to management at the time the statements are made. The Registrants caution you that assumptions, beliefs, expectations, intentions and projections about future events may and often do vary materially from actual results. Therefore, the Registrants cannot assure you that actual results will not differ materially from those expressed or implied by the Registrants’ forward-looking statements. In this Form 10-Q, unless context requires otherwise, the terms “our,” “we” and “us” are used as abbreviated references to CenterPoint Energy, Inc. together with its consolidated subsidiaries, including Houston Electric, CERC and Vectren.</w:t>
      </w:r>
    </w:p>
    <w:p>
      <w:pPr>
        <w:spacing w:after="0" w:line="130" w:lineRule="exact"/>
        <w:rPr>
          <w:sz w:val="20"/>
          <w:szCs w:val="20"/>
          <w:color w:val="auto"/>
        </w:rPr>
      </w:pPr>
    </w:p>
    <w:p>
      <w:pPr>
        <w:jc w:val="both"/>
        <w:ind w:firstLine="259"/>
        <w:spacing w:after="0" w:line="288" w:lineRule="auto"/>
        <w:rPr>
          <w:sz w:val="20"/>
          <w:szCs w:val="20"/>
          <w:color w:val="auto"/>
        </w:rPr>
      </w:pPr>
      <w:r>
        <w:rPr>
          <w:rFonts w:ascii="Arial" w:cs="Arial" w:eastAsia="Arial" w:hAnsi="Arial"/>
          <w:sz w:val="14"/>
          <w:szCs w:val="14"/>
          <w:color w:val="auto"/>
        </w:rPr>
        <w:t>The following are some of the factors that could cause actual results to differ from those expressed or implied by the Registrants’ forward-looking statements and apply to all Registrants unless otherwise indicated:</w:t>
      </w:r>
    </w:p>
    <w:p>
      <w:pPr>
        <w:spacing w:after="0" w:line="120" w:lineRule="exact"/>
        <w:rPr>
          <w:sz w:val="20"/>
          <w:szCs w:val="20"/>
          <w:color w:val="auto"/>
        </w:rPr>
      </w:pPr>
    </w:p>
    <w:p>
      <w:pPr>
        <w:jc w:val="both"/>
        <w:ind w:left="520" w:hanging="255"/>
        <w:spacing w:after="0" w:line="229" w:lineRule="auto"/>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performance of Enable, the amount of cash distributions CenterPoint Energy receives from Enable, Enable’s ability to redeem the Enable Series A Preferred Units in certain circumstances and the value of CenterPoint Energy’s interest in Enable, and factors that may have a material impact on such performance, cash distributions and value, including factors such as:</w:t>
      </w:r>
    </w:p>
    <w:p>
      <w:pPr>
        <w:spacing w:after="0" w:line="99" w:lineRule="exact"/>
        <w:rPr>
          <w:rFonts w:ascii="Arial" w:cs="Arial" w:eastAsia="Arial" w:hAnsi="Arial"/>
          <w:sz w:val="14"/>
          <w:szCs w:val="14"/>
          <w:color w:val="auto"/>
        </w:rPr>
      </w:pPr>
    </w:p>
    <w:p>
      <w:pPr>
        <w:ind w:left="1040" w:hanging="517"/>
        <w:spacing w:after="0"/>
        <w:tabs>
          <w:tab w:leader="none" w:pos="781" w:val="left"/>
        </w:tabs>
        <w:numPr>
          <w:ilvl w:val="1"/>
          <w:numId w:val="3"/>
        </w:numPr>
        <w:rPr>
          <w:rFonts w:ascii="Arial" w:cs="Arial" w:eastAsia="Arial" w:hAnsi="Arial"/>
          <w:sz w:val="14"/>
          <w:szCs w:val="14"/>
          <w:color w:val="auto"/>
        </w:rPr>
      </w:pPr>
      <w:r>
        <w:rPr>
          <w:rFonts w:ascii="Arial" w:cs="Arial" w:eastAsia="Arial" w:hAnsi="Arial"/>
          <w:sz w:val="14"/>
          <w:szCs w:val="14"/>
          <w:color w:val="auto"/>
        </w:rPr>
        <w:t>competitive conditions in the midstream industry, and actions taken by Enable’s customers and competitors, including the extent and timing of the entry of additional competition in the markets served by Enable;</w:t>
      </w:r>
    </w:p>
    <w:p>
      <w:pPr>
        <w:spacing w:after="0" w:line="98" w:lineRule="exact"/>
        <w:rPr>
          <w:rFonts w:ascii="Arial" w:cs="Arial" w:eastAsia="Arial" w:hAnsi="Arial"/>
          <w:sz w:val="14"/>
          <w:szCs w:val="14"/>
          <w:color w:val="auto"/>
        </w:rPr>
      </w:pPr>
    </w:p>
    <w:p>
      <w:pPr>
        <w:ind w:left="1040" w:hanging="517"/>
        <w:spacing w:after="0" w:line="229" w:lineRule="auto"/>
        <w:tabs>
          <w:tab w:leader="none" w:pos="781" w:val="left"/>
        </w:tabs>
        <w:numPr>
          <w:ilvl w:val="1"/>
          <w:numId w:val="3"/>
        </w:numPr>
        <w:rPr>
          <w:rFonts w:ascii="Arial" w:cs="Arial" w:eastAsia="Arial" w:hAnsi="Arial"/>
          <w:sz w:val="14"/>
          <w:szCs w:val="14"/>
          <w:color w:val="auto"/>
        </w:rPr>
      </w:pPr>
      <w:r>
        <w:rPr>
          <w:rFonts w:ascii="Arial" w:cs="Arial" w:eastAsia="Arial" w:hAnsi="Arial"/>
          <w:sz w:val="14"/>
          <w:szCs w:val="14"/>
          <w:color w:val="auto"/>
        </w:rPr>
        <w:t>the timing and extent of changes in the supply of natural gas and associated commodity prices, particularly prices of natural gas and NGLs, the competitive effects of the available pipeline capacity in the regions served by Enable, and the effects of geographic and seasonal commodity price differentials, including the effects of these circumstances on re-contracting available capacity on Enable’s interstate pipelines;</w:t>
      </w:r>
    </w:p>
    <w:p>
      <w:pPr>
        <w:spacing w:after="0" w:line="99" w:lineRule="exact"/>
        <w:rPr>
          <w:rFonts w:ascii="Arial" w:cs="Arial" w:eastAsia="Arial" w:hAnsi="Arial"/>
          <w:sz w:val="14"/>
          <w:szCs w:val="14"/>
          <w:color w:val="auto"/>
        </w:rPr>
      </w:pPr>
    </w:p>
    <w:p>
      <w:pPr>
        <w:ind w:left="780" w:hanging="257"/>
        <w:spacing w:after="0"/>
        <w:tabs>
          <w:tab w:leader="none" w:pos="780" w:val="left"/>
        </w:tabs>
        <w:numPr>
          <w:ilvl w:val="1"/>
          <w:numId w:val="3"/>
        </w:numPr>
        <w:rPr>
          <w:rFonts w:ascii="Arial" w:cs="Arial" w:eastAsia="Arial" w:hAnsi="Arial"/>
          <w:sz w:val="14"/>
          <w:szCs w:val="14"/>
          <w:color w:val="auto"/>
        </w:rPr>
      </w:pPr>
      <w:r>
        <w:rPr>
          <w:rFonts w:ascii="Arial" w:cs="Arial" w:eastAsia="Arial" w:hAnsi="Arial"/>
          <w:sz w:val="14"/>
          <w:szCs w:val="14"/>
          <w:color w:val="auto"/>
        </w:rPr>
        <w:t>the demand for crude oil, natural gas, NGLs and transportation and storage services;</w:t>
      </w:r>
    </w:p>
    <w:p>
      <w:pPr>
        <w:spacing w:after="0" w:line="119" w:lineRule="exact"/>
        <w:rPr>
          <w:rFonts w:ascii="Arial" w:cs="Arial" w:eastAsia="Arial" w:hAnsi="Arial"/>
          <w:sz w:val="14"/>
          <w:szCs w:val="14"/>
          <w:color w:val="auto"/>
        </w:rPr>
      </w:pPr>
    </w:p>
    <w:p>
      <w:pPr>
        <w:ind w:left="780" w:hanging="257"/>
        <w:spacing w:after="0"/>
        <w:tabs>
          <w:tab w:leader="none" w:pos="780" w:val="left"/>
        </w:tabs>
        <w:numPr>
          <w:ilvl w:val="1"/>
          <w:numId w:val="3"/>
        </w:numPr>
        <w:rPr>
          <w:rFonts w:ascii="Arial" w:cs="Arial" w:eastAsia="Arial" w:hAnsi="Arial"/>
          <w:sz w:val="14"/>
          <w:szCs w:val="14"/>
          <w:color w:val="auto"/>
        </w:rPr>
      </w:pPr>
      <w:r>
        <w:rPr>
          <w:rFonts w:ascii="Arial" w:cs="Arial" w:eastAsia="Arial" w:hAnsi="Arial"/>
          <w:sz w:val="14"/>
          <w:szCs w:val="14"/>
          <w:color w:val="auto"/>
        </w:rPr>
        <w:t>environmental and other governmental regulations, including the availability of drilling permits and the regulation of hydraulic fracturing;</w:t>
      </w:r>
    </w:p>
    <w:p>
      <w:pPr>
        <w:spacing w:after="0" w:line="119" w:lineRule="exact"/>
        <w:rPr>
          <w:rFonts w:ascii="Arial" w:cs="Arial" w:eastAsia="Arial" w:hAnsi="Arial"/>
          <w:sz w:val="14"/>
          <w:szCs w:val="14"/>
          <w:color w:val="auto"/>
        </w:rPr>
      </w:pPr>
    </w:p>
    <w:p>
      <w:pPr>
        <w:ind w:left="780" w:hanging="257"/>
        <w:spacing w:after="0"/>
        <w:tabs>
          <w:tab w:leader="none" w:pos="780" w:val="left"/>
        </w:tabs>
        <w:numPr>
          <w:ilvl w:val="1"/>
          <w:numId w:val="3"/>
        </w:numPr>
        <w:rPr>
          <w:rFonts w:ascii="Arial" w:cs="Arial" w:eastAsia="Arial" w:hAnsi="Arial"/>
          <w:sz w:val="14"/>
          <w:szCs w:val="14"/>
          <w:color w:val="auto"/>
        </w:rPr>
      </w:pPr>
      <w:r>
        <w:rPr>
          <w:rFonts w:ascii="Arial" w:cs="Arial" w:eastAsia="Arial" w:hAnsi="Arial"/>
          <w:sz w:val="14"/>
          <w:szCs w:val="14"/>
          <w:color w:val="auto"/>
        </w:rPr>
        <w:t>recording of goodwill, long-lived asset or other than temporary impairment charges by or related to Enable;</w:t>
      </w:r>
    </w:p>
    <w:p>
      <w:pPr>
        <w:spacing w:after="0" w:line="119" w:lineRule="exact"/>
        <w:rPr>
          <w:rFonts w:ascii="Arial" w:cs="Arial" w:eastAsia="Arial" w:hAnsi="Arial"/>
          <w:sz w:val="14"/>
          <w:szCs w:val="14"/>
          <w:color w:val="auto"/>
        </w:rPr>
      </w:pPr>
    </w:p>
    <w:p>
      <w:pPr>
        <w:ind w:left="780" w:hanging="257"/>
        <w:spacing w:after="0"/>
        <w:tabs>
          <w:tab w:leader="none" w:pos="780" w:val="left"/>
        </w:tabs>
        <w:numPr>
          <w:ilvl w:val="1"/>
          <w:numId w:val="3"/>
        </w:numPr>
        <w:rPr>
          <w:rFonts w:ascii="Arial" w:cs="Arial" w:eastAsia="Arial" w:hAnsi="Arial"/>
          <w:sz w:val="14"/>
          <w:szCs w:val="14"/>
          <w:color w:val="auto"/>
        </w:rPr>
      </w:pPr>
      <w:r>
        <w:rPr>
          <w:rFonts w:ascii="Arial" w:cs="Arial" w:eastAsia="Arial" w:hAnsi="Arial"/>
          <w:sz w:val="14"/>
          <w:szCs w:val="14"/>
          <w:color w:val="auto"/>
        </w:rPr>
        <w:t>the timing of payments from Enable’s customers under existing contracts, including minimum volume commitment payments;</w:t>
      </w:r>
    </w:p>
    <w:p>
      <w:pPr>
        <w:spacing w:after="0" w:line="119" w:lineRule="exact"/>
        <w:rPr>
          <w:rFonts w:ascii="Arial" w:cs="Arial" w:eastAsia="Arial" w:hAnsi="Arial"/>
          <w:sz w:val="14"/>
          <w:szCs w:val="14"/>
          <w:color w:val="auto"/>
        </w:rPr>
      </w:pPr>
    </w:p>
    <w:p>
      <w:pPr>
        <w:ind w:left="780" w:hanging="257"/>
        <w:spacing w:after="0"/>
        <w:tabs>
          <w:tab w:leader="none" w:pos="780" w:val="left"/>
        </w:tabs>
        <w:numPr>
          <w:ilvl w:val="1"/>
          <w:numId w:val="3"/>
        </w:numPr>
        <w:rPr>
          <w:rFonts w:ascii="Arial" w:cs="Arial" w:eastAsia="Arial" w:hAnsi="Arial"/>
          <w:sz w:val="14"/>
          <w:szCs w:val="14"/>
          <w:color w:val="auto"/>
        </w:rPr>
      </w:pPr>
      <w:r>
        <w:rPr>
          <w:rFonts w:ascii="Arial" w:cs="Arial" w:eastAsia="Arial" w:hAnsi="Arial"/>
          <w:sz w:val="14"/>
          <w:szCs w:val="14"/>
          <w:color w:val="auto"/>
        </w:rPr>
        <w:t>changes in tax status; and</w:t>
      </w:r>
    </w:p>
    <w:p>
      <w:pPr>
        <w:spacing w:after="0" w:line="119" w:lineRule="exact"/>
        <w:rPr>
          <w:rFonts w:ascii="Arial" w:cs="Arial" w:eastAsia="Arial" w:hAnsi="Arial"/>
          <w:sz w:val="14"/>
          <w:szCs w:val="14"/>
          <w:color w:val="auto"/>
        </w:rPr>
      </w:pPr>
    </w:p>
    <w:p>
      <w:pPr>
        <w:ind w:left="780" w:hanging="257"/>
        <w:spacing w:after="0"/>
        <w:tabs>
          <w:tab w:leader="none" w:pos="780" w:val="left"/>
        </w:tabs>
        <w:numPr>
          <w:ilvl w:val="1"/>
          <w:numId w:val="3"/>
        </w:numPr>
        <w:rPr>
          <w:rFonts w:ascii="Arial" w:cs="Arial" w:eastAsia="Arial" w:hAnsi="Arial"/>
          <w:sz w:val="14"/>
          <w:szCs w:val="14"/>
          <w:color w:val="auto"/>
        </w:rPr>
      </w:pPr>
      <w:r>
        <w:rPr>
          <w:rFonts w:ascii="Arial" w:cs="Arial" w:eastAsia="Arial" w:hAnsi="Arial"/>
          <w:sz w:val="14"/>
          <w:szCs w:val="14"/>
          <w:color w:val="auto"/>
        </w:rPr>
        <w:t>access to debt and equity capital;</w:t>
      </w:r>
    </w:p>
    <w:p>
      <w:pPr>
        <w:spacing w:after="0" w:line="119" w:lineRule="exact"/>
        <w:rPr>
          <w:rFonts w:ascii="Arial" w:cs="Arial" w:eastAsia="Arial" w:hAnsi="Arial"/>
          <w:sz w:val="14"/>
          <w:szCs w:val="14"/>
          <w:color w:val="auto"/>
        </w:rPr>
      </w:pPr>
    </w:p>
    <w:p>
      <w:pPr>
        <w:ind w:left="520" w:hanging="255"/>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expected benefits of the Merger and integration, including the outcome of shareholder litigation filed against Vectren that could reduce anticipated benefits of the Merger, as well as the ability to successfully integrate the Vectren businesses and to realize anticipated benefits and commercial opportunities;</w:t>
      </w:r>
    </w:p>
    <w:p>
      <w:pPr>
        <w:spacing w:after="0" w:line="98" w:lineRule="exact"/>
        <w:rPr>
          <w:rFonts w:ascii="Arial" w:cs="Arial" w:eastAsia="Arial" w:hAnsi="Arial"/>
          <w:sz w:val="14"/>
          <w:szCs w:val="14"/>
          <w:color w:val="auto"/>
        </w:rPr>
      </w:pPr>
    </w:p>
    <w:p>
      <w:pPr>
        <w:ind w:left="520" w:hanging="255"/>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industrial, commercial and residential growth in our service territories and changes in market demand, including the demand for our non-utility products and services and effects of energy efficiency measures and demographic patterns;</w:t>
      </w:r>
    </w:p>
    <w:p>
      <w:pPr>
        <w:spacing w:after="0" w:line="98" w:lineRule="exact"/>
        <w:rPr>
          <w:rFonts w:ascii="Arial" w:cs="Arial" w:eastAsia="Arial" w:hAnsi="Arial"/>
          <w:sz w:val="14"/>
          <w:szCs w:val="14"/>
          <w:color w:val="auto"/>
        </w:rPr>
      </w:pPr>
    </w:p>
    <w:p>
      <w:pPr>
        <w:ind w:left="520" w:hanging="255"/>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outcome of the pending Houston Electric rate case;</w:t>
      </w:r>
    </w:p>
    <w:p>
      <w:pPr>
        <w:spacing w:after="0" w:line="119" w:lineRule="exact"/>
        <w:rPr>
          <w:rFonts w:ascii="Arial" w:cs="Arial" w:eastAsia="Arial" w:hAnsi="Arial"/>
          <w:sz w:val="14"/>
          <w:szCs w:val="14"/>
          <w:color w:val="auto"/>
        </w:rPr>
      </w:pPr>
    </w:p>
    <w:p>
      <w:pPr>
        <w:ind w:left="520" w:hanging="255"/>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timely and appropriate rate actions that allow recovery of costs and a reasonable return on investment;</w:t>
      </w:r>
    </w:p>
    <w:p>
      <w:pPr>
        <w:spacing w:after="0" w:line="151" w:lineRule="exact"/>
        <w:rPr>
          <w:rFonts w:ascii="Arial" w:cs="Arial" w:eastAsia="Arial" w:hAnsi="Arial"/>
          <w:sz w:val="14"/>
          <w:szCs w:val="14"/>
          <w:color w:val="auto"/>
        </w:rPr>
      </w:pPr>
    </w:p>
    <w:p>
      <w:pPr>
        <w:ind w:left="520" w:hanging="255"/>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future economic conditions in regional and national markets and their effect on sales, prices and costs;</w:t>
      </w:r>
    </w:p>
    <w:p>
      <w:pPr>
        <w:spacing w:after="0" w:line="119" w:lineRule="exact"/>
        <w:rPr>
          <w:rFonts w:ascii="Arial" w:cs="Arial" w:eastAsia="Arial" w:hAnsi="Arial"/>
          <w:sz w:val="14"/>
          <w:szCs w:val="14"/>
          <w:color w:val="auto"/>
        </w:rPr>
      </w:pPr>
    </w:p>
    <w:p>
      <w:pPr>
        <w:ind w:left="520" w:hanging="255"/>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weather variations and other natural phenomena, including the impact of severe weather events on operations and capital;</w:t>
      </w:r>
    </w:p>
    <w:p>
      <w:pPr>
        <w:spacing w:after="0" w:line="119" w:lineRule="exact"/>
        <w:rPr>
          <w:rFonts w:ascii="Arial" w:cs="Arial" w:eastAsia="Arial" w:hAnsi="Arial"/>
          <w:sz w:val="14"/>
          <w:szCs w:val="14"/>
          <w:color w:val="auto"/>
        </w:rPr>
      </w:pPr>
    </w:p>
    <w:p>
      <w:pPr>
        <w:jc w:val="both"/>
        <w:ind w:left="520" w:hanging="255"/>
        <w:spacing w:after="0" w:line="229" w:lineRule="auto"/>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state and federal legislative and regulatory actions or developments affecting various aspects of our businesses (including the businesses of Enable), including, among others, energy deregulation or re-regulation, pipeline integrity and safety and changes in regulation and legislation pertaining to trade, health care, finance and actions regarding the rates charged by our regulated businesses;</w:t>
      </w: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vi</w:t>
      </w:r>
    </w:p>
    <w:p>
      <w:pPr>
        <w:sectPr>
          <w:pgSz w:w="11900" w:h="16838" w:orient="portrait"/>
          <w:cols w:equalWidth="0" w:num="1">
            <w:col w:w="11460"/>
          </w:cols>
          <w:pgMar w:left="220" w:top="319" w:right="219" w:bottom="1440" w:gutter="0" w:footer="0" w:header="0"/>
        </w:sectPr>
      </w:pPr>
    </w:p>
    <w:bookmarkStart w:id="8" w:name="page9"/>
    <w:bookmarkEnd w:id="8"/>
    <w:p>
      <w:pPr>
        <w:ind w:left="260" w:hanging="255"/>
        <w:spacing w:after="0"/>
        <w:tabs>
          <w:tab w:leader="none" w:pos="260" w:val="left"/>
        </w:tabs>
        <w:numPr>
          <w:ilvl w:val="0"/>
          <w:numId w:val="4"/>
        </w:numPr>
        <w:rPr>
          <w:rFonts w:ascii="Arial" w:cs="Arial" w:eastAsia="Arial" w:hAnsi="Arial"/>
          <w:sz w:val="14"/>
          <w:szCs w:val="14"/>
          <w:color w:val="auto"/>
        </w:rPr>
      </w:pPr>
      <w:r>
        <w:rPr>
          <w:rFonts w:ascii="Arial" w:cs="Arial" w:eastAsia="Arial" w:hAnsi="Arial"/>
          <w:sz w:val="14"/>
          <w:szCs w:val="14"/>
          <w:color w:val="auto"/>
        </w:rPr>
        <w:t>tax legislation, including the effects of the TCJA (which includes any potential changes to interest deductibility) and uncertainties involving state commissions’ and local municipalities’ regulatory requirements and determinations regarding the treatment of EDIT and our rates;</w:t>
      </w:r>
    </w:p>
    <w:p>
      <w:pPr>
        <w:spacing w:after="0" w:line="98" w:lineRule="exact"/>
        <w:rPr>
          <w:rFonts w:ascii="Arial" w:cs="Arial" w:eastAsia="Arial" w:hAnsi="Arial"/>
          <w:sz w:val="14"/>
          <w:szCs w:val="14"/>
          <w:color w:val="auto"/>
        </w:rPr>
      </w:pPr>
    </w:p>
    <w:p>
      <w:pPr>
        <w:ind w:left="260" w:hanging="255"/>
        <w:spacing w:after="0"/>
        <w:tabs>
          <w:tab w:leader="none" w:pos="260" w:val="left"/>
        </w:tabs>
        <w:numPr>
          <w:ilvl w:val="0"/>
          <w:numId w:val="4"/>
        </w:numPr>
        <w:rPr>
          <w:rFonts w:ascii="Arial" w:cs="Arial" w:eastAsia="Arial" w:hAnsi="Arial"/>
          <w:sz w:val="14"/>
          <w:szCs w:val="14"/>
          <w:color w:val="auto"/>
        </w:rPr>
      </w:pPr>
      <w:r>
        <w:rPr>
          <w:rFonts w:ascii="Arial" w:cs="Arial" w:eastAsia="Arial" w:hAnsi="Arial"/>
          <w:sz w:val="14"/>
          <w:szCs w:val="14"/>
          <w:color w:val="auto"/>
        </w:rPr>
        <w:t>CenterPoint Energy’s and CERC’s ability to mitigate weather impacts through normalization or rate mechanisms, and the effectiveness of such mechanisms;</w:t>
      </w:r>
    </w:p>
    <w:p>
      <w:pPr>
        <w:spacing w:after="0" w:line="115" w:lineRule="exact"/>
        <w:rPr>
          <w:rFonts w:ascii="Arial" w:cs="Arial" w:eastAsia="Arial" w:hAnsi="Arial"/>
          <w:sz w:val="14"/>
          <w:szCs w:val="14"/>
          <w:color w:val="auto"/>
        </w:rPr>
      </w:pPr>
    </w:p>
    <w:p>
      <w:pPr>
        <w:ind w:left="260" w:hanging="255"/>
        <w:spacing w:after="0"/>
        <w:tabs>
          <w:tab w:leader="none" w:pos="260" w:val="left"/>
        </w:tabs>
        <w:numPr>
          <w:ilvl w:val="0"/>
          <w:numId w:val="4"/>
        </w:numPr>
        <w:rPr>
          <w:rFonts w:ascii="Arial" w:cs="Arial" w:eastAsia="Arial" w:hAnsi="Arial"/>
          <w:sz w:val="13"/>
          <w:szCs w:val="13"/>
          <w:color w:val="auto"/>
        </w:rPr>
      </w:pPr>
      <w:r>
        <w:rPr>
          <w:rFonts w:ascii="Arial" w:cs="Arial" w:eastAsia="Arial" w:hAnsi="Arial"/>
          <w:sz w:val="13"/>
          <w:szCs w:val="13"/>
          <w:color w:val="auto"/>
        </w:rPr>
        <w:t>the timing and extent of changes in commodity prices, particularly natural gas and coal, and the effects of geographic and seasonal commodity price differentials on CERC and Enable</w:t>
      </w:r>
      <w:r>
        <w:rPr>
          <w:rFonts w:ascii="Arial" w:cs="Arial" w:eastAsia="Arial" w:hAnsi="Arial"/>
          <w:sz w:val="14"/>
          <w:szCs w:val="14"/>
          <w:color w:val="auto"/>
        </w:rPr>
        <w:t>;</w:t>
      </w:r>
    </w:p>
    <w:p>
      <w:pPr>
        <w:spacing w:after="0" w:line="155" w:lineRule="exact"/>
        <w:rPr>
          <w:rFonts w:ascii="Arial" w:cs="Arial" w:eastAsia="Arial" w:hAnsi="Arial"/>
          <w:sz w:val="13"/>
          <w:szCs w:val="13"/>
          <w:color w:val="auto"/>
        </w:rPr>
      </w:pPr>
    </w:p>
    <w:p>
      <w:pPr>
        <w:ind w:left="260" w:hanging="255"/>
        <w:spacing w:after="0"/>
        <w:tabs>
          <w:tab w:leader="none" w:pos="26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ability of CenterPoint Energy’s and CERC’s non-utility business operating in the Energy Services reportable segment to effectively optimize opportunities related to natural gas price volatility and storage activities, including weather-related impacts;</w:t>
      </w:r>
    </w:p>
    <w:p>
      <w:pPr>
        <w:spacing w:after="0" w:line="107" w:lineRule="exact"/>
        <w:rPr>
          <w:rFonts w:ascii="Arial" w:cs="Arial" w:eastAsia="Arial" w:hAnsi="Arial"/>
          <w:sz w:val="14"/>
          <w:szCs w:val="14"/>
          <w:color w:val="auto"/>
        </w:rPr>
      </w:pPr>
    </w:p>
    <w:p>
      <w:pPr>
        <w:ind w:left="260" w:hanging="255"/>
        <w:spacing w:after="0"/>
        <w:tabs>
          <w:tab w:leader="none" w:pos="260" w:val="left"/>
        </w:tabs>
        <w:numPr>
          <w:ilvl w:val="0"/>
          <w:numId w:val="4"/>
        </w:numPr>
        <w:rPr>
          <w:rFonts w:ascii="Arial" w:cs="Arial" w:eastAsia="Arial" w:hAnsi="Arial"/>
          <w:sz w:val="16"/>
          <w:szCs w:val="16"/>
          <w:color w:val="auto"/>
        </w:rPr>
      </w:pPr>
      <w:r>
        <w:rPr>
          <w:rFonts w:ascii="Arial" w:cs="Arial" w:eastAsia="Arial" w:hAnsi="Arial"/>
          <w:sz w:val="14"/>
          <w:szCs w:val="14"/>
          <w:color w:val="auto"/>
        </w:rPr>
        <w:t>actions by credit rating agencies, including any potential downgrades to credit ratings;</w:t>
      </w:r>
    </w:p>
    <w:p>
      <w:pPr>
        <w:spacing w:after="0" w:line="108" w:lineRule="exact"/>
        <w:rPr>
          <w:rFonts w:ascii="Arial" w:cs="Arial" w:eastAsia="Arial" w:hAnsi="Arial"/>
          <w:sz w:val="16"/>
          <w:szCs w:val="16"/>
          <w:color w:val="auto"/>
        </w:rPr>
      </w:pPr>
    </w:p>
    <w:p>
      <w:pPr>
        <w:ind w:left="260" w:hanging="255"/>
        <w:spacing w:after="0"/>
        <w:tabs>
          <w:tab w:leader="none" w:pos="260" w:val="left"/>
        </w:tabs>
        <w:numPr>
          <w:ilvl w:val="0"/>
          <w:numId w:val="4"/>
        </w:numPr>
        <w:rPr>
          <w:rFonts w:ascii="Arial" w:cs="Arial" w:eastAsia="Arial" w:hAnsi="Arial"/>
          <w:sz w:val="14"/>
          <w:szCs w:val="14"/>
          <w:color w:val="auto"/>
        </w:rPr>
      </w:pPr>
      <w:r>
        <w:rPr>
          <w:rFonts w:ascii="Arial" w:cs="Arial" w:eastAsia="Arial" w:hAnsi="Arial"/>
          <w:sz w:val="14"/>
          <w:szCs w:val="14"/>
          <w:color w:val="auto"/>
        </w:rPr>
        <w:t>changes in interest rates and their impact on costs of borrowing and the valuation of CenterPoint Energy’s pension benefit obligation;</w:t>
      </w:r>
    </w:p>
    <w:p>
      <w:pPr>
        <w:spacing w:after="0" w:line="119" w:lineRule="exact"/>
        <w:rPr>
          <w:rFonts w:ascii="Arial" w:cs="Arial" w:eastAsia="Arial" w:hAnsi="Arial"/>
          <w:sz w:val="14"/>
          <w:szCs w:val="14"/>
          <w:color w:val="auto"/>
        </w:rPr>
      </w:pPr>
    </w:p>
    <w:p>
      <w:pPr>
        <w:ind w:left="260" w:hanging="255"/>
        <w:spacing w:after="0" w:line="231" w:lineRule="auto"/>
        <w:tabs>
          <w:tab w:leader="none" w:pos="260" w:val="left"/>
        </w:tabs>
        <w:numPr>
          <w:ilvl w:val="0"/>
          <w:numId w:val="4"/>
        </w:numPr>
        <w:rPr>
          <w:rFonts w:ascii="Arial" w:cs="Arial" w:eastAsia="Arial" w:hAnsi="Arial"/>
          <w:sz w:val="16"/>
          <w:szCs w:val="16"/>
          <w:color w:val="auto"/>
        </w:rPr>
      </w:pPr>
      <w:r>
        <w:rPr>
          <w:rFonts w:ascii="Arial" w:cs="Arial" w:eastAsia="Arial" w:hAnsi="Arial"/>
          <w:sz w:val="14"/>
          <w:szCs w:val="14"/>
          <w:color w:val="auto"/>
        </w:rPr>
        <w:t>problems with regulatory approval, legislative actions, construction, implementation of necessary technology or other issues with respect to major capital projects that result in delays or cancellation or in cost overruns that cannot be recouped in rates;</w:t>
      </w:r>
    </w:p>
    <w:p>
      <w:pPr>
        <w:spacing w:after="0" w:line="120" w:lineRule="exact"/>
        <w:rPr>
          <w:rFonts w:ascii="Arial" w:cs="Arial" w:eastAsia="Arial" w:hAnsi="Arial"/>
          <w:sz w:val="16"/>
          <w:szCs w:val="16"/>
          <w:color w:val="auto"/>
        </w:rPr>
      </w:pPr>
    </w:p>
    <w:p>
      <w:pPr>
        <w:ind w:left="260" w:hanging="255"/>
        <w:spacing w:after="0"/>
        <w:tabs>
          <w:tab w:leader="none" w:pos="26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availability and prices of raw materials and services and changes in labor for current and future construction projects;</w:t>
      </w:r>
    </w:p>
    <w:p>
      <w:pPr>
        <w:spacing w:after="0" w:line="140" w:lineRule="exact"/>
        <w:rPr>
          <w:rFonts w:ascii="Arial" w:cs="Arial" w:eastAsia="Arial" w:hAnsi="Arial"/>
          <w:sz w:val="14"/>
          <w:szCs w:val="14"/>
          <w:color w:val="auto"/>
        </w:rPr>
      </w:pPr>
    </w:p>
    <w:p>
      <w:pPr>
        <w:ind w:left="260" w:hanging="255"/>
        <w:spacing w:after="0" w:line="257" w:lineRule="auto"/>
        <w:tabs>
          <w:tab w:leader="none" w:pos="260" w:val="left"/>
        </w:tabs>
        <w:numPr>
          <w:ilvl w:val="0"/>
          <w:numId w:val="4"/>
        </w:numPr>
        <w:rPr>
          <w:rFonts w:ascii="Arial" w:cs="Arial" w:eastAsia="Arial" w:hAnsi="Arial"/>
          <w:sz w:val="15"/>
          <w:szCs w:val="15"/>
          <w:color w:val="auto"/>
        </w:rPr>
      </w:pPr>
      <w:r>
        <w:rPr>
          <w:rFonts w:ascii="Arial" w:cs="Arial" w:eastAsia="Arial" w:hAnsi="Arial"/>
          <w:sz w:val="13"/>
          <w:szCs w:val="13"/>
          <w:color w:val="auto"/>
        </w:rPr>
        <w:t>local, state and federal legislative and regulatory actions or developments relating to the environment, including, among others, those related to global climate change, air emissions, carbon, waste water discharges and the handling and disposal of CCR that could impact the continued operation, and/or cost recovery of generation plant costs and related assets;</w:t>
      </w:r>
    </w:p>
    <w:p>
      <w:pPr>
        <w:spacing w:after="0" w:line="97" w:lineRule="exact"/>
        <w:rPr>
          <w:rFonts w:ascii="Arial" w:cs="Arial" w:eastAsia="Arial" w:hAnsi="Arial"/>
          <w:sz w:val="15"/>
          <w:szCs w:val="15"/>
          <w:color w:val="auto"/>
        </w:rPr>
      </w:pPr>
    </w:p>
    <w:p>
      <w:pPr>
        <w:ind w:left="260" w:hanging="255"/>
        <w:spacing w:after="0"/>
        <w:tabs>
          <w:tab w:leader="none" w:pos="26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impact of unplanned facility outages or other closures;</w:t>
      </w:r>
    </w:p>
    <w:p>
      <w:pPr>
        <w:spacing w:after="0" w:line="119" w:lineRule="exact"/>
        <w:rPr>
          <w:rFonts w:ascii="Arial" w:cs="Arial" w:eastAsia="Arial" w:hAnsi="Arial"/>
          <w:sz w:val="14"/>
          <w:szCs w:val="14"/>
          <w:color w:val="auto"/>
        </w:rPr>
      </w:pPr>
    </w:p>
    <w:p>
      <w:pPr>
        <w:jc w:val="both"/>
        <w:ind w:left="260" w:hanging="255"/>
        <w:spacing w:after="0" w:line="229" w:lineRule="auto"/>
        <w:tabs>
          <w:tab w:leader="none" w:pos="260" w:val="left"/>
        </w:tabs>
        <w:numPr>
          <w:ilvl w:val="0"/>
          <w:numId w:val="4"/>
        </w:numPr>
        <w:rPr>
          <w:rFonts w:ascii="Arial" w:cs="Arial" w:eastAsia="Arial" w:hAnsi="Arial"/>
          <w:sz w:val="14"/>
          <w:szCs w:val="14"/>
          <w:color w:val="auto"/>
        </w:rPr>
      </w:pPr>
      <w:r>
        <w:rPr>
          <w:rFonts w:ascii="Arial" w:cs="Arial" w:eastAsia="Arial" w:hAnsi="Arial"/>
          <w:sz w:val="14"/>
          <w:szCs w:val="14"/>
          <w:color w:val="auto"/>
        </w:rPr>
        <w:t>any direct or indirect effects on our or Enable’s facilities, operations and financial condition resulting from terrorism, cyber-attacks, data security breaches or other attempts to disrupt our businesses or the businesses of third parties, or other catastrophic events such as fires, ice, earthquakes, explosions, leaks, floods, droughts, hurricanes, tornadoes, pandemic health events or other occurrences;</w:t>
      </w:r>
    </w:p>
    <w:p>
      <w:pPr>
        <w:spacing w:after="0" w:line="99" w:lineRule="exact"/>
        <w:rPr>
          <w:rFonts w:ascii="Arial" w:cs="Arial" w:eastAsia="Arial" w:hAnsi="Arial"/>
          <w:sz w:val="14"/>
          <w:szCs w:val="14"/>
          <w:color w:val="auto"/>
        </w:rPr>
      </w:pPr>
    </w:p>
    <w:p>
      <w:pPr>
        <w:ind w:left="260" w:hanging="255"/>
        <w:spacing w:after="0"/>
        <w:tabs>
          <w:tab w:leader="none" w:pos="260" w:val="left"/>
        </w:tabs>
        <w:numPr>
          <w:ilvl w:val="0"/>
          <w:numId w:val="4"/>
        </w:numPr>
        <w:rPr>
          <w:rFonts w:ascii="Arial" w:cs="Arial" w:eastAsia="Arial" w:hAnsi="Arial"/>
          <w:sz w:val="14"/>
          <w:szCs w:val="14"/>
          <w:color w:val="auto"/>
        </w:rPr>
      </w:pPr>
      <w:r>
        <w:rPr>
          <w:rFonts w:ascii="Arial" w:cs="Arial" w:eastAsia="Arial" w:hAnsi="Arial"/>
          <w:sz w:val="14"/>
          <w:szCs w:val="14"/>
          <w:color w:val="auto"/>
        </w:rPr>
        <w:t>our ability to invest planned capital and the timely recovery of our investments, including those related to Indiana Electric’s generation transition plan;</w:t>
      </w:r>
    </w:p>
    <w:p>
      <w:pPr>
        <w:spacing w:after="0" w:line="119" w:lineRule="exact"/>
        <w:rPr>
          <w:rFonts w:ascii="Arial" w:cs="Arial" w:eastAsia="Arial" w:hAnsi="Arial"/>
          <w:sz w:val="14"/>
          <w:szCs w:val="14"/>
          <w:color w:val="auto"/>
        </w:rPr>
      </w:pPr>
    </w:p>
    <w:p>
      <w:pPr>
        <w:ind w:left="260" w:hanging="255"/>
        <w:spacing w:after="0"/>
        <w:tabs>
          <w:tab w:leader="none" w:pos="260" w:val="left"/>
        </w:tabs>
        <w:numPr>
          <w:ilvl w:val="0"/>
          <w:numId w:val="4"/>
        </w:numPr>
        <w:rPr>
          <w:rFonts w:ascii="Arial" w:cs="Arial" w:eastAsia="Arial" w:hAnsi="Arial"/>
          <w:sz w:val="14"/>
          <w:szCs w:val="14"/>
          <w:color w:val="auto"/>
        </w:rPr>
      </w:pPr>
      <w:r>
        <w:rPr>
          <w:rFonts w:ascii="Arial" w:cs="Arial" w:eastAsia="Arial" w:hAnsi="Arial"/>
          <w:sz w:val="14"/>
          <w:szCs w:val="14"/>
          <w:color w:val="auto"/>
        </w:rPr>
        <w:t>our ability to successfully construct and operate electric generating facilities, including complying with applicable environmental standards and the implementation of a well-balanced energy and resource mix, as appropriate;</w:t>
      </w:r>
    </w:p>
    <w:p>
      <w:pPr>
        <w:spacing w:after="0" w:line="98" w:lineRule="exact"/>
        <w:rPr>
          <w:rFonts w:ascii="Arial" w:cs="Arial" w:eastAsia="Arial" w:hAnsi="Arial"/>
          <w:sz w:val="14"/>
          <w:szCs w:val="14"/>
          <w:color w:val="auto"/>
        </w:rPr>
      </w:pPr>
    </w:p>
    <w:p>
      <w:pPr>
        <w:ind w:left="260" w:hanging="255"/>
        <w:spacing w:after="0"/>
        <w:tabs>
          <w:tab w:leader="none" w:pos="260" w:val="left"/>
        </w:tabs>
        <w:numPr>
          <w:ilvl w:val="0"/>
          <w:numId w:val="4"/>
        </w:numPr>
        <w:rPr>
          <w:rFonts w:ascii="Arial" w:cs="Arial" w:eastAsia="Arial" w:hAnsi="Arial"/>
          <w:sz w:val="14"/>
          <w:szCs w:val="14"/>
          <w:color w:val="auto"/>
        </w:rPr>
      </w:pPr>
      <w:r>
        <w:rPr>
          <w:rFonts w:ascii="Arial" w:cs="Arial" w:eastAsia="Arial" w:hAnsi="Arial"/>
          <w:sz w:val="14"/>
          <w:szCs w:val="14"/>
          <w:color w:val="auto"/>
        </w:rPr>
        <w:t>our ability to control operation and maintenance costs;</w:t>
      </w:r>
    </w:p>
    <w:p>
      <w:pPr>
        <w:spacing w:after="0" w:line="119" w:lineRule="exact"/>
        <w:rPr>
          <w:rFonts w:ascii="Arial" w:cs="Arial" w:eastAsia="Arial" w:hAnsi="Arial"/>
          <w:sz w:val="14"/>
          <w:szCs w:val="14"/>
          <w:color w:val="auto"/>
        </w:rPr>
      </w:pPr>
    </w:p>
    <w:p>
      <w:pPr>
        <w:ind w:left="260" w:hanging="255"/>
        <w:spacing w:after="0"/>
        <w:tabs>
          <w:tab w:leader="none" w:pos="26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sufficiency of our insurance coverage, including availability, cost, coverage and terms and ability to recover claims;</w:t>
      </w:r>
    </w:p>
    <w:p>
      <w:pPr>
        <w:spacing w:after="0" w:line="119" w:lineRule="exact"/>
        <w:rPr>
          <w:rFonts w:ascii="Arial" w:cs="Arial" w:eastAsia="Arial" w:hAnsi="Arial"/>
          <w:sz w:val="14"/>
          <w:szCs w:val="14"/>
          <w:color w:val="auto"/>
        </w:rPr>
      </w:pPr>
    </w:p>
    <w:p>
      <w:pPr>
        <w:ind w:left="260" w:hanging="255"/>
        <w:spacing w:after="0"/>
        <w:tabs>
          <w:tab w:leader="none" w:pos="26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investment performance of CenterPoint Energy’s pension and postretirement benefit plans;</w:t>
      </w:r>
    </w:p>
    <w:p>
      <w:pPr>
        <w:spacing w:after="0" w:line="119" w:lineRule="exact"/>
        <w:rPr>
          <w:rFonts w:ascii="Arial" w:cs="Arial" w:eastAsia="Arial" w:hAnsi="Arial"/>
          <w:sz w:val="14"/>
          <w:szCs w:val="14"/>
          <w:color w:val="auto"/>
        </w:rPr>
      </w:pPr>
    </w:p>
    <w:p>
      <w:pPr>
        <w:ind w:left="260" w:hanging="255"/>
        <w:spacing w:after="0"/>
        <w:tabs>
          <w:tab w:leader="none" w:pos="260" w:val="left"/>
        </w:tabs>
        <w:numPr>
          <w:ilvl w:val="0"/>
          <w:numId w:val="4"/>
        </w:numPr>
        <w:rPr>
          <w:rFonts w:ascii="Arial" w:cs="Arial" w:eastAsia="Arial" w:hAnsi="Arial"/>
          <w:sz w:val="14"/>
          <w:szCs w:val="14"/>
          <w:color w:val="auto"/>
        </w:rPr>
      </w:pPr>
      <w:r>
        <w:rPr>
          <w:rFonts w:ascii="Arial" w:cs="Arial" w:eastAsia="Arial" w:hAnsi="Arial"/>
          <w:sz w:val="14"/>
          <w:szCs w:val="14"/>
          <w:color w:val="auto"/>
        </w:rPr>
        <w:t>commercial bank and financial market conditions, our access to capital, the cost of such capital, and the results of our financing and refinancing efforts, including availability of funds in the debt capital markets;</w:t>
      </w:r>
    </w:p>
    <w:p>
      <w:pPr>
        <w:spacing w:after="0" w:line="98" w:lineRule="exact"/>
        <w:rPr>
          <w:rFonts w:ascii="Arial" w:cs="Arial" w:eastAsia="Arial" w:hAnsi="Arial"/>
          <w:sz w:val="14"/>
          <w:szCs w:val="14"/>
          <w:color w:val="auto"/>
        </w:rPr>
      </w:pPr>
    </w:p>
    <w:p>
      <w:pPr>
        <w:ind w:left="260" w:hanging="255"/>
        <w:spacing w:after="0"/>
        <w:tabs>
          <w:tab w:leader="none" w:pos="260" w:val="left"/>
        </w:tabs>
        <w:numPr>
          <w:ilvl w:val="0"/>
          <w:numId w:val="4"/>
        </w:numPr>
        <w:rPr>
          <w:rFonts w:ascii="Arial" w:cs="Arial" w:eastAsia="Arial" w:hAnsi="Arial"/>
          <w:sz w:val="14"/>
          <w:szCs w:val="14"/>
          <w:color w:val="auto"/>
        </w:rPr>
      </w:pPr>
      <w:r>
        <w:rPr>
          <w:rFonts w:ascii="Arial" w:cs="Arial" w:eastAsia="Arial" w:hAnsi="Arial"/>
          <w:sz w:val="14"/>
          <w:szCs w:val="14"/>
          <w:color w:val="auto"/>
        </w:rPr>
        <w:t>changes in rates of inflation;</w:t>
      </w:r>
    </w:p>
    <w:p>
      <w:pPr>
        <w:spacing w:after="0" w:line="119" w:lineRule="exact"/>
        <w:rPr>
          <w:rFonts w:ascii="Arial" w:cs="Arial" w:eastAsia="Arial" w:hAnsi="Arial"/>
          <w:sz w:val="14"/>
          <w:szCs w:val="14"/>
          <w:color w:val="auto"/>
        </w:rPr>
      </w:pPr>
    </w:p>
    <w:p>
      <w:pPr>
        <w:ind w:left="260" w:hanging="255"/>
        <w:spacing w:after="0"/>
        <w:tabs>
          <w:tab w:leader="none" w:pos="260" w:val="left"/>
        </w:tabs>
        <w:numPr>
          <w:ilvl w:val="0"/>
          <w:numId w:val="4"/>
        </w:numPr>
        <w:rPr>
          <w:rFonts w:ascii="Arial" w:cs="Arial" w:eastAsia="Arial" w:hAnsi="Arial"/>
          <w:sz w:val="14"/>
          <w:szCs w:val="14"/>
          <w:color w:val="auto"/>
        </w:rPr>
      </w:pPr>
      <w:r>
        <w:rPr>
          <w:rFonts w:ascii="Arial" w:cs="Arial" w:eastAsia="Arial" w:hAnsi="Arial"/>
          <w:sz w:val="14"/>
          <w:szCs w:val="14"/>
          <w:color w:val="auto"/>
        </w:rPr>
        <w:t>inability of various counterparties to meet their obligations to us;</w:t>
      </w:r>
    </w:p>
    <w:p>
      <w:pPr>
        <w:spacing w:after="0" w:line="119" w:lineRule="exact"/>
        <w:rPr>
          <w:rFonts w:ascii="Arial" w:cs="Arial" w:eastAsia="Arial" w:hAnsi="Arial"/>
          <w:sz w:val="14"/>
          <w:szCs w:val="14"/>
          <w:color w:val="auto"/>
        </w:rPr>
      </w:pPr>
    </w:p>
    <w:p>
      <w:pPr>
        <w:ind w:left="260" w:hanging="255"/>
        <w:spacing w:after="0"/>
        <w:tabs>
          <w:tab w:leader="none" w:pos="260" w:val="left"/>
        </w:tabs>
        <w:numPr>
          <w:ilvl w:val="0"/>
          <w:numId w:val="4"/>
        </w:numPr>
        <w:rPr>
          <w:rFonts w:ascii="Arial" w:cs="Arial" w:eastAsia="Arial" w:hAnsi="Arial"/>
          <w:sz w:val="14"/>
          <w:szCs w:val="14"/>
          <w:color w:val="auto"/>
        </w:rPr>
      </w:pPr>
      <w:r>
        <w:rPr>
          <w:rFonts w:ascii="Arial" w:cs="Arial" w:eastAsia="Arial" w:hAnsi="Arial"/>
          <w:sz w:val="14"/>
          <w:szCs w:val="14"/>
          <w:color w:val="auto"/>
        </w:rPr>
        <w:t>non-payment for our services due to financial distress of our customers;</w:t>
      </w:r>
    </w:p>
    <w:p>
      <w:pPr>
        <w:spacing w:after="0" w:line="119" w:lineRule="exact"/>
        <w:rPr>
          <w:rFonts w:ascii="Arial" w:cs="Arial" w:eastAsia="Arial" w:hAnsi="Arial"/>
          <w:sz w:val="14"/>
          <w:szCs w:val="14"/>
          <w:color w:val="auto"/>
        </w:rPr>
      </w:pPr>
    </w:p>
    <w:p>
      <w:pPr>
        <w:ind w:left="260" w:hanging="255"/>
        <w:spacing w:after="0"/>
        <w:tabs>
          <w:tab w:leader="none" w:pos="26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extent and effectiveness of our and Enable’s risk management and hedging activities, including, but not limited to financial and weather hedges and commodity risk management activities;</w:t>
      </w:r>
    </w:p>
    <w:p>
      <w:pPr>
        <w:spacing w:after="0" w:line="98" w:lineRule="exact"/>
        <w:rPr>
          <w:rFonts w:ascii="Arial" w:cs="Arial" w:eastAsia="Arial" w:hAnsi="Arial"/>
          <w:sz w:val="14"/>
          <w:szCs w:val="14"/>
          <w:color w:val="auto"/>
        </w:rPr>
      </w:pPr>
    </w:p>
    <w:p>
      <w:pPr>
        <w:ind w:left="260" w:hanging="255"/>
        <w:spacing w:after="0"/>
        <w:tabs>
          <w:tab w:leader="none" w:pos="260" w:val="left"/>
        </w:tabs>
        <w:numPr>
          <w:ilvl w:val="0"/>
          <w:numId w:val="4"/>
        </w:numPr>
        <w:rPr>
          <w:rFonts w:ascii="Arial" w:cs="Arial" w:eastAsia="Arial" w:hAnsi="Arial"/>
          <w:sz w:val="14"/>
          <w:szCs w:val="14"/>
          <w:color w:val="auto"/>
        </w:rPr>
      </w:pPr>
      <w:r>
        <w:rPr>
          <w:rFonts w:ascii="Arial" w:cs="Arial" w:eastAsia="Arial" w:hAnsi="Arial"/>
          <w:sz w:val="14"/>
          <w:szCs w:val="14"/>
          <w:color w:val="auto"/>
        </w:rPr>
        <w:t>timely and appropriate regulatory actions, which include actions allowing securitization, for any future hurricanes or natural disasters or other recovery of costs, including costs associated with Hurricane Harvey;</w:t>
      </w:r>
    </w:p>
    <w:p>
      <w:pPr>
        <w:spacing w:after="0" w:line="98" w:lineRule="exact"/>
        <w:rPr>
          <w:rFonts w:ascii="Arial" w:cs="Arial" w:eastAsia="Arial" w:hAnsi="Arial"/>
          <w:sz w:val="14"/>
          <w:szCs w:val="14"/>
          <w:color w:val="auto"/>
        </w:rPr>
      </w:pPr>
    </w:p>
    <w:p>
      <w:pPr>
        <w:ind w:left="260" w:hanging="255"/>
        <w:spacing w:after="0"/>
        <w:tabs>
          <w:tab w:leader="none" w:pos="260" w:val="left"/>
        </w:tabs>
        <w:numPr>
          <w:ilvl w:val="0"/>
          <w:numId w:val="4"/>
        </w:numPr>
        <w:rPr>
          <w:rFonts w:ascii="Arial" w:cs="Arial" w:eastAsia="Arial" w:hAnsi="Arial"/>
          <w:sz w:val="14"/>
          <w:szCs w:val="14"/>
          <w:color w:val="auto"/>
        </w:rPr>
      </w:pPr>
      <w:r>
        <w:rPr>
          <w:rFonts w:ascii="Arial" w:cs="Arial" w:eastAsia="Arial" w:hAnsi="Arial"/>
          <w:sz w:val="14"/>
          <w:szCs w:val="14"/>
          <w:color w:val="auto"/>
        </w:rPr>
        <w:t>CenterPoint Energy’s or Enable’s potential business strategies and strategic initiatives, including restructurings, joint ventures and acquisitions or dispositions of assets or businesses, which CenterPoint Energy and Enable cannot assure will be completed or will have the anticipated benefits to CenterPoint Energy or Enable;</w:t>
      </w:r>
    </w:p>
    <w:p>
      <w:pPr>
        <w:spacing w:after="0" w:line="98" w:lineRule="exact"/>
        <w:rPr>
          <w:rFonts w:ascii="Arial" w:cs="Arial" w:eastAsia="Arial" w:hAnsi="Arial"/>
          <w:sz w:val="14"/>
          <w:szCs w:val="14"/>
          <w:color w:val="auto"/>
        </w:rPr>
      </w:pPr>
    </w:p>
    <w:p>
      <w:pPr>
        <w:jc w:val="both"/>
        <w:ind w:left="260" w:hanging="255"/>
        <w:spacing w:after="0" w:line="229" w:lineRule="auto"/>
        <w:tabs>
          <w:tab w:leader="none" w:pos="26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performance of projects undertaken by our non-utility businesses and the success of efforts to realize value from, invest in and develop new opportunities and other factors affecting those non-utility businesses, including, but not limited to, the level of success in bidding contracts, fluctuations in volume and mix of contracted work, mix of projects received under blanket contracts, failure to properly estimate cost to construct projects or unanticipated cost increases in completion</w:t>
      </w:r>
    </w:p>
    <w:p>
      <w:pPr>
        <w:spacing w:after="0" w:line="164" w:lineRule="exact"/>
        <w:rPr>
          <w:sz w:val="20"/>
          <w:szCs w:val="20"/>
          <w:color w:val="auto"/>
        </w:rPr>
      </w:pPr>
    </w:p>
    <w:p>
      <w:pPr>
        <w:jc w:val="center"/>
        <w:ind w:right="260"/>
        <w:spacing w:after="0"/>
        <w:rPr>
          <w:sz w:val="20"/>
          <w:szCs w:val="20"/>
          <w:color w:val="auto"/>
        </w:rPr>
      </w:pPr>
      <w:r>
        <w:rPr>
          <w:rFonts w:ascii="Arial" w:cs="Arial" w:eastAsia="Arial" w:hAnsi="Arial"/>
          <w:sz w:val="14"/>
          <w:szCs w:val="14"/>
          <w:color w:val="auto"/>
        </w:rPr>
        <w:t>vii</w:t>
      </w:r>
    </w:p>
    <w:p>
      <w:pPr>
        <w:sectPr>
          <w:pgSz w:w="11900" w:h="16838" w:orient="portrait"/>
          <w:cols w:equalWidth="0" w:num="1">
            <w:col w:w="11200"/>
          </w:cols>
          <w:pgMar w:left="480" w:top="312" w:right="219" w:bottom="1440" w:gutter="0" w:footer="0" w:header="0"/>
        </w:sectPr>
      </w:pPr>
    </w:p>
    <w:bookmarkStart w:id="9" w:name="page10"/>
    <w:bookmarkEnd w:id="9"/>
    <w:p>
      <w:pPr>
        <w:ind w:left="520"/>
        <w:spacing w:after="0" w:line="288" w:lineRule="auto"/>
        <w:rPr>
          <w:sz w:val="20"/>
          <w:szCs w:val="20"/>
          <w:color w:val="auto"/>
        </w:rPr>
      </w:pPr>
      <w:r>
        <w:rPr>
          <w:rFonts w:ascii="Arial" w:cs="Arial" w:eastAsia="Arial" w:hAnsi="Arial"/>
          <w:sz w:val="14"/>
          <w:szCs w:val="14"/>
          <w:color w:val="auto"/>
        </w:rPr>
        <w:t>of the contracted work, changes in energy prices that affect demand for construction services and projects and cancellation and/or reductions in the scope of projects by customers and obligations related to warranties and guarantees;</w:t>
      </w:r>
    </w:p>
    <w:p>
      <w:pPr>
        <w:spacing w:after="0" w:line="88" w:lineRule="exact"/>
        <w:rPr>
          <w:sz w:val="20"/>
          <w:szCs w:val="20"/>
          <w:color w:val="auto"/>
        </w:rPr>
      </w:pPr>
    </w:p>
    <w:p>
      <w:pPr>
        <w:ind w:left="520" w:hanging="255"/>
        <w:spacing w:after="0"/>
        <w:tabs>
          <w:tab w:leader="none" w:pos="520" w:val="left"/>
        </w:tabs>
        <w:numPr>
          <w:ilvl w:val="0"/>
          <w:numId w:val="5"/>
        </w:numPr>
        <w:rPr>
          <w:rFonts w:ascii="Arial" w:cs="Arial" w:eastAsia="Arial" w:hAnsi="Arial"/>
          <w:sz w:val="14"/>
          <w:szCs w:val="14"/>
          <w:color w:val="auto"/>
        </w:rPr>
      </w:pPr>
      <w:r>
        <w:rPr>
          <w:rFonts w:ascii="Arial" w:cs="Arial" w:eastAsia="Arial" w:hAnsi="Arial"/>
          <w:sz w:val="14"/>
          <w:szCs w:val="14"/>
          <w:color w:val="auto"/>
        </w:rPr>
        <w:t>acquisition and merger activities involving us or our competitors, including the ability to successfully complete merger, acquisition and divestiture plans;</w:t>
      </w:r>
    </w:p>
    <w:p>
      <w:pPr>
        <w:spacing w:after="0" w:line="119" w:lineRule="exact"/>
        <w:rPr>
          <w:rFonts w:ascii="Arial" w:cs="Arial" w:eastAsia="Arial" w:hAnsi="Arial"/>
          <w:sz w:val="14"/>
          <w:szCs w:val="14"/>
          <w:color w:val="auto"/>
        </w:rPr>
      </w:pPr>
    </w:p>
    <w:p>
      <w:pPr>
        <w:ind w:left="520" w:hanging="255"/>
        <w:spacing w:after="0"/>
        <w:tabs>
          <w:tab w:leader="none" w:pos="520" w:val="left"/>
        </w:tabs>
        <w:numPr>
          <w:ilvl w:val="0"/>
          <w:numId w:val="5"/>
        </w:numPr>
        <w:rPr>
          <w:rFonts w:ascii="Arial" w:cs="Arial" w:eastAsia="Arial" w:hAnsi="Arial"/>
          <w:sz w:val="14"/>
          <w:szCs w:val="14"/>
          <w:color w:val="auto"/>
        </w:rPr>
      </w:pPr>
      <w:r>
        <w:rPr>
          <w:rFonts w:ascii="Arial" w:cs="Arial" w:eastAsia="Arial" w:hAnsi="Arial"/>
          <w:sz w:val="14"/>
          <w:szCs w:val="14"/>
          <w:color w:val="auto"/>
        </w:rPr>
        <w:t>our or Enable’s ability to recruit, effectively transition and retain management and key employees and maintain good labor relations;</w:t>
      </w:r>
    </w:p>
    <w:p>
      <w:pPr>
        <w:spacing w:after="0" w:line="119" w:lineRule="exact"/>
        <w:rPr>
          <w:rFonts w:ascii="Arial" w:cs="Arial" w:eastAsia="Arial" w:hAnsi="Arial"/>
          <w:sz w:val="14"/>
          <w:szCs w:val="14"/>
          <w:color w:val="auto"/>
        </w:rPr>
      </w:pPr>
    </w:p>
    <w:p>
      <w:pPr>
        <w:ind w:left="520" w:hanging="255"/>
        <w:spacing w:after="0"/>
        <w:tabs>
          <w:tab w:leader="none" w:pos="520"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outcome of litigation;</w:t>
      </w:r>
    </w:p>
    <w:p>
      <w:pPr>
        <w:spacing w:after="0" w:line="119" w:lineRule="exact"/>
        <w:rPr>
          <w:rFonts w:ascii="Arial" w:cs="Arial" w:eastAsia="Arial" w:hAnsi="Arial"/>
          <w:sz w:val="14"/>
          <w:szCs w:val="14"/>
          <w:color w:val="auto"/>
        </w:rPr>
      </w:pPr>
    </w:p>
    <w:p>
      <w:pPr>
        <w:ind w:left="520" w:hanging="255"/>
        <w:spacing w:after="0"/>
        <w:tabs>
          <w:tab w:leader="none" w:pos="520" w:val="left"/>
        </w:tabs>
        <w:numPr>
          <w:ilvl w:val="0"/>
          <w:numId w:val="5"/>
        </w:numPr>
        <w:rPr>
          <w:rFonts w:ascii="Arial" w:cs="Arial" w:eastAsia="Arial" w:hAnsi="Arial"/>
          <w:sz w:val="13"/>
          <w:szCs w:val="13"/>
          <w:color w:val="auto"/>
        </w:rPr>
      </w:pPr>
      <w:r>
        <w:rPr>
          <w:rFonts w:ascii="Arial" w:cs="Arial" w:eastAsia="Arial" w:hAnsi="Arial"/>
          <w:sz w:val="13"/>
          <w:szCs w:val="13"/>
          <w:color w:val="auto"/>
        </w:rPr>
        <w:t>the ability of REPs, including REP affiliates of NRG and Vistra Energy Corp., formerly known as TCEH Corp., to satisfy their obligations to CenterPoint Energy and Houston Electric;</w:t>
      </w:r>
    </w:p>
    <w:p>
      <w:pPr>
        <w:spacing w:after="0" w:line="130" w:lineRule="exact"/>
        <w:rPr>
          <w:rFonts w:ascii="Arial" w:cs="Arial" w:eastAsia="Arial" w:hAnsi="Arial"/>
          <w:sz w:val="13"/>
          <w:szCs w:val="13"/>
          <w:color w:val="auto"/>
        </w:rPr>
      </w:pPr>
    </w:p>
    <w:p>
      <w:pPr>
        <w:ind w:left="520" w:hanging="255"/>
        <w:spacing w:after="0"/>
        <w:tabs>
          <w:tab w:leader="none" w:pos="520" w:val="left"/>
        </w:tabs>
        <w:numPr>
          <w:ilvl w:val="0"/>
          <w:numId w:val="5"/>
        </w:numPr>
        <w:rPr>
          <w:rFonts w:ascii="Arial" w:cs="Arial" w:eastAsia="Arial" w:hAnsi="Arial"/>
          <w:sz w:val="14"/>
          <w:szCs w:val="14"/>
          <w:color w:val="auto"/>
        </w:rPr>
      </w:pPr>
      <w:r>
        <w:rPr>
          <w:rFonts w:ascii="Arial" w:cs="Arial" w:eastAsia="Arial" w:hAnsi="Arial"/>
          <w:sz w:val="14"/>
          <w:szCs w:val="14"/>
          <w:color w:val="auto"/>
        </w:rPr>
        <w:t>changes in technology, particularly with respect to efficient battery storage or the emergence or growth of new, developing or alternative sources of generation;</w:t>
      </w:r>
    </w:p>
    <w:p>
      <w:pPr>
        <w:spacing w:after="0" w:line="119" w:lineRule="exact"/>
        <w:rPr>
          <w:rFonts w:ascii="Arial" w:cs="Arial" w:eastAsia="Arial" w:hAnsi="Arial"/>
          <w:sz w:val="14"/>
          <w:szCs w:val="14"/>
          <w:color w:val="auto"/>
        </w:rPr>
      </w:pPr>
    </w:p>
    <w:p>
      <w:pPr>
        <w:ind w:left="520" w:hanging="255"/>
        <w:spacing w:after="0"/>
        <w:tabs>
          <w:tab w:leader="none" w:pos="520"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impact of alternate energy sources on the demand for natural gas;</w:t>
      </w:r>
    </w:p>
    <w:p>
      <w:pPr>
        <w:spacing w:after="0" w:line="119" w:lineRule="exact"/>
        <w:rPr>
          <w:rFonts w:ascii="Arial" w:cs="Arial" w:eastAsia="Arial" w:hAnsi="Arial"/>
          <w:sz w:val="14"/>
          <w:szCs w:val="14"/>
          <w:color w:val="auto"/>
        </w:rPr>
      </w:pPr>
    </w:p>
    <w:p>
      <w:pPr>
        <w:ind w:left="520" w:hanging="255"/>
        <w:spacing w:after="0"/>
        <w:tabs>
          <w:tab w:leader="none" w:pos="520"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timing and outcome of any audits, disputes and other proceedings related to taxes;</w:t>
      </w:r>
    </w:p>
    <w:p>
      <w:pPr>
        <w:spacing w:after="0" w:line="119" w:lineRule="exact"/>
        <w:rPr>
          <w:rFonts w:ascii="Arial" w:cs="Arial" w:eastAsia="Arial" w:hAnsi="Arial"/>
          <w:sz w:val="14"/>
          <w:szCs w:val="14"/>
          <w:color w:val="auto"/>
        </w:rPr>
      </w:pPr>
    </w:p>
    <w:p>
      <w:pPr>
        <w:ind w:left="520" w:hanging="255"/>
        <w:spacing w:after="0"/>
        <w:tabs>
          <w:tab w:leader="none" w:pos="520"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effective tax rates;</w:t>
      </w:r>
    </w:p>
    <w:p>
      <w:pPr>
        <w:spacing w:after="0" w:line="119" w:lineRule="exact"/>
        <w:rPr>
          <w:rFonts w:ascii="Arial" w:cs="Arial" w:eastAsia="Arial" w:hAnsi="Arial"/>
          <w:sz w:val="14"/>
          <w:szCs w:val="14"/>
          <w:color w:val="auto"/>
        </w:rPr>
      </w:pPr>
    </w:p>
    <w:p>
      <w:pPr>
        <w:ind w:left="520" w:hanging="255"/>
        <w:spacing w:after="0"/>
        <w:tabs>
          <w:tab w:leader="none" w:pos="520"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transition to a replacement for the LIBOR benchmark interest rate;</w:t>
      </w:r>
    </w:p>
    <w:p>
      <w:pPr>
        <w:spacing w:after="0" w:line="119" w:lineRule="exact"/>
        <w:rPr>
          <w:rFonts w:ascii="Arial" w:cs="Arial" w:eastAsia="Arial" w:hAnsi="Arial"/>
          <w:sz w:val="14"/>
          <w:szCs w:val="14"/>
          <w:color w:val="auto"/>
        </w:rPr>
      </w:pPr>
    </w:p>
    <w:p>
      <w:pPr>
        <w:ind w:left="520" w:hanging="255"/>
        <w:spacing w:after="0"/>
        <w:tabs>
          <w:tab w:leader="none" w:pos="520"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effect of changes in and application of accounting standards and pronouncements; and</w:t>
      </w:r>
    </w:p>
    <w:p>
      <w:pPr>
        <w:spacing w:after="0" w:line="119" w:lineRule="exact"/>
        <w:rPr>
          <w:rFonts w:ascii="Arial" w:cs="Arial" w:eastAsia="Arial" w:hAnsi="Arial"/>
          <w:sz w:val="14"/>
          <w:szCs w:val="14"/>
          <w:color w:val="auto"/>
        </w:rPr>
      </w:pPr>
    </w:p>
    <w:p>
      <w:pPr>
        <w:ind w:left="520" w:hanging="255"/>
        <w:spacing w:after="0"/>
        <w:tabs>
          <w:tab w:leader="none" w:pos="520"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other factors discussed in </w:t>
      </w:r>
      <w:hyperlink r:id="rId10">
        <w:r>
          <w:rPr>
            <w:rFonts w:ascii="Arial" w:cs="Arial" w:eastAsia="Arial" w:hAnsi="Arial"/>
            <w:sz w:val="14"/>
            <w:szCs w:val="14"/>
            <w:u w:val="single" w:color="auto"/>
            <w:color w:val="0000EE"/>
          </w:rPr>
          <w:t>“Risk Factors” in Item 1A of Part I of the Registrants’ combined 2018 Form 10-K</w:t>
        </w:r>
      </w:hyperlink>
      <w:r>
        <w:rPr>
          <w:rFonts w:ascii="Arial" w:cs="Arial" w:eastAsia="Arial" w:hAnsi="Arial"/>
          <w:sz w:val="14"/>
          <w:szCs w:val="14"/>
          <w:color w:val="auto"/>
        </w:rPr>
        <w:t>, which are incorporated herein by reference, in Item 1A of Part II of this Form 10-Q and other reports the Registrants file from time to time with the SEC.</w:t>
      </w:r>
    </w:p>
    <w:p>
      <w:pPr>
        <w:spacing w:after="0" w:line="141" w:lineRule="exact"/>
        <w:rPr>
          <w:sz w:val="20"/>
          <w:szCs w:val="20"/>
          <w:color w:val="auto"/>
        </w:rPr>
      </w:pPr>
    </w:p>
    <w:p>
      <w:pPr>
        <w:jc w:val="both"/>
        <w:ind w:firstLine="259"/>
        <w:spacing w:after="0" w:line="264" w:lineRule="auto"/>
        <w:rPr>
          <w:sz w:val="20"/>
          <w:szCs w:val="20"/>
          <w:color w:val="auto"/>
        </w:rPr>
      </w:pPr>
      <w:r>
        <w:rPr>
          <w:rFonts w:ascii="Arial" w:cs="Arial" w:eastAsia="Arial" w:hAnsi="Arial"/>
          <w:sz w:val="14"/>
          <w:szCs w:val="14"/>
          <w:color w:val="auto"/>
        </w:rPr>
        <w:t>You should not place undue reliance on forward-looking statements. Each forward-looking statement speaks only as of the date of the particular statement, and the Registrants undertake no obligation to update or revise any forward-looking statements. Investors should note that the Registrants announce material financial information in SEC filings, press releases and public conference calls. Based on guidance from the SEC, the Registrants may use the Investors section of CenterPoint Energy’s website (www.centerpointenergy.com) to communicate with investors about the Registrants. It is possible that the financial and other information posted there could be deemed to be material information. The information on CenterPoint Energy’s website is not part of this combined Form 10-Q.</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viii</w:t>
      </w:r>
    </w:p>
    <w:p>
      <w:pPr>
        <w:sectPr>
          <w:pgSz w:w="11900" w:h="16838" w:orient="portrait"/>
          <w:cols w:equalWidth="0" w:num="1">
            <w:col w:w="11460"/>
          </w:cols>
          <w:pgMar w:left="220" w:top="323" w:right="219" w:bottom="1440" w:gutter="0" w:footer="0" w:header="0"/>
        </w:sectPr>
      </w:pPr>
    </w:p>
    <w:bookmarkStart w:id="10" w:name="page11"/>
    <w:bookmarkEnd w:id="10"/>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2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PART I. FINANCIAL INFORMATION</w:t>
      </w:r>
    </w:p>
    <w:p>
      <w:pPr>
        <w:spacing w:after="0" w:line="184" w:lineRule="exact"/>
        <w:rPr>
          <w:sz w:val="20"/>
          <w:szCs w:val="20"/>
          <w:color w:val="auto"/>
        </w:rPr>
      </w:pPr>
    </w:p>
    <w:p>
      <w:pPr>
        <w:spacing w:after="0"/>
        <w:tabs>
          <w:tab w:leader="none" w:pos="600" w:val="left"/>
        </w:tabs>
        <w:rPr>
          <w:sz w:val="20"/>
          <w:szCs w:val="20"/>
          <w:color w:val="auto"/>
        </w:rPr>
      </w:pPr>
      <w:r>
        <w:rPr>
          <w:rFonts w:ascii="Arial" w:cs="Arial" w:eastAsia="Arial" w:hAnsi="Arial"/>
          <w:sz w:val="14"/>
          <w:szCs w:val="14"/>
          <w:b w:val="1"/>
          <w:bCs w:val="1"/>
          <w:color w:val="auto"/>
        </w:rPr>
        <w:t>Item 1.</w:t>
        <w:tab/>
        <w:t>FINANCIAL STATEMENTS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CENTERPOINT ENERGY, INC. AND SUBSIDIARIES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CONDENSED STATEMENTS OF CONSOLIDATED INCOME</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5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780" w:type="dxa"/>
            <w:vAlign w:val="bottom"/>
            <w:gridSpan w:val="3"/>
          </w:tcPr>
          <w:p>
            <w:pPr>
              <w:jc w:val="right"/>
              <w:spacing w:after="0"/>
              <w:rPr>
                <w:sz w:val="20"/>
                <w:szCs w:val="20"/>
                <w:color w:val="auto"/>
              </w:rPr>
            </w:pPr>
            <w:r>
              <w:rPr>
                <w:rFonts w:ascii="Arial" w:cs="Arial" w:eastAsia="Arial" w:hAnsi="Arial"/>
                <w:sz w:val="11"/>
                <w:szCs w:val="11"/>
                <w:b w:val="1"/>
                <w:bCs w:val="1"/>
                <w:color w:val="auto"/>
              </w:rPr>
              <w:t>Three Months Ended</w:t>
            </w: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60" w:type="dxa"/>
            <w:vAlign w:val="bottom"/>
            <w:gridSpan w:val="3"/>
          </w:tcPr>
          <w:p>
            <w:pPr>
              <w:jc w:val="right"/>
              <w:ind w:right="8"/>
              <w:spacing w:after="0"/>
              <w:rPr>
                <w:sz w:val="20"/>
                <w:szCs w:val="20"/>
                <w:color w:val="auto"/>
              </w:rPr>
            </w:pPr>
            <w:r>
              <w:rPr>
                <w:rFonts w:ascii="Arial" w:cs="Arial" w:eastAsia="Arial" w:hAnsi="Arial"/>
                <w:sz w:val="11"/>
                <w:szCs w:val="11"/>
                <w:b w:val="1"/>
                <w:bCs w:val="1"/>
                <w:color w:val="auto"/>
              </w:rPr>
              <w:t>Nine Months Ended</w:t>
            </w:r>
          </w:p>
        </w:tc>
        <w:tc>
          <w:tcPr>
            <w:tcW w:w="940" w:type="dxa"/>
            <w:vAlign w:val="bottom"/>
          </w:tcPr>
          <w:p>
            <w:pPr>
              <w:spacing w:after="0"/>
              <w:rPr>
                <w:sz w:val="12"/>
                <w:szCs w:val="12"/>
                <w:color w:val="auto"/>
              </w:rPr>
            </w:pPr>
          </w:p>
        </w:tc>
      </w:tr>
      <w:tr>
        <w:trPr>
          <w:trHeight w:val="220"/>
        </w:trPr>
        <w:tc>
          <w:tcPr>
            <w:tcW w:w="516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gridSpan w:val="3"/>
          </w:tcPr>
          <w:p>
            <w:pPr>
              <w:jc w:val="right"/>
              <w:ind w:right="168"/>
              <w:spacing w:after="0"/>
              <w:rPr>
                <w:sz w:val="20"/>
                <w:szCs w:val="20"/>
                <w:color w:val="auto"/>
              </w:rPr>
            </w:pPr>
            <w:r>
              <w:rPr>
                <w:rFonts w:ascii="Arial" w:cs="Arial" w:eastAsia="Arial" w:hAnsi="Arial"/>
                <w:sz w:val="11"/>
                <w:szCs w:val="11"/>
                <w:b w:val="1"/>
                <w:bCs w:val="1"/>
                <w:color w:val="auto"/>
              </w:rPr>
              <w:t>September 30,</w:t>
            </w:r>
          </w:p>
        </w:tc>
        <w:tc>
          <w:tcPr>
            <w:tcW w:w="9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3"/>
          </w:tcPr>
          <w:p>
            <w:pPr>
              <w:jc w:val="right"/>
              <w:ind w:right="148"/>
              <w:spacing w:after="0"/>
              <w:rPr>
                <w:sz w:val="20"/>
                <w:szCs w:val="20"/>
                <w:color w:val="auto"/>
              </w:rPr>
            </w:pPr>
            <w:r>
              <w:rPr>
                <w:rFonts w:ascii="Arial" w:cs="Arial" w:eastAsia="Arial" w:hAnsi="Arial"/>
                <w:sz w:val="11"/>
                <w:szCs w:val="11"/>
                <w:b w:val="1"/>
                <w:bCs w:val="1"/>
                <w:color w:val="auto"/>
              </w:rPr>
              <w:t>September 30,</w:t>
            </w:r>
          </w:p>
        </w:tc>
        <w:tc>
          <w:tcPr>
            <w:tcW w:w="940" w:type="dxa"/>
            <w:vAlign w:val="bottom"/>
            <w:tcBorders>
              <w:bottom w:val="single" w:sz="8" w:color="auto"/>
            </w:tcBorders>
          </w:tcPr>
          <w:p>
            <w:pPr>
              <w:spacing w:after="0"/>
              <w:rPr>
                <w:sz w:val="19"/>
                <w:szCs w:val="19"/>
                <w:color w:val="auto"/>
              </w:rPr>
            </w:pPr>
          </w:p>
        </w:tc>
      </w:tr>
      <w:tr>
        <w:trPr>
          <w:trHeight w:val="206"/>
        </w:trPr>
        <w:tc>
          <w:tcPr>
            <w:tcW w:w="516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50"/>
              <w:spacing w:after="0"/>
              <w:rPr>
                <w:sz w:val="20"/>
                <w:szCs w:val="20"/>
                <w:color w:val="auto"/>
              </w:rPr>
            </w:pPr>
            <w:r>
              <w:rPr>
                <w:rFonts w:ascii="Arial" w:cs="Arial" w:eastAsia="Arial" w:hAnsi="Arial"/>
                <w:sz w:val="11"/>
                <w:szCs w:val="11"/>
                <w:b w:val="1"/>
                <w:bCs w:val="1"/>
                <w:color w:val="auto"/>
              </w:rPr>
              <w:t>2019</w:t>
            </w:r>
          </w:p>
        </w:tc>
        <w:tc>
          <w:tcPr>
            <w:tcW w:w="1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569"/>
              <w:spacing w:after="0"/>
              <w:rPr>
                <w:sz w:val="20"/>
                <w:szCs w:val="20"/>
                <w:color w:val="auto"/>
              </w:rPr>
            </w:pPr>
            <w:r>
              <w:rPr>
                <w:rFonts w:ascii="Arial" w:cs="Arial" w:eastAsia="Arial" w:hAnsi="Arial"/>
                <w:sz w:val="11"/>
                <w:szCs w:val="11"/>
                <w:b w:val="1"/>
                <w:bCs w:val="1"/>
                <w:color w:val="auto"/>
              </w:rPr>
              <w:t>2018</w:t>
            </w: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1"/>
              <w:spacing w:after="0"/>
              <w:rPr>
                <w:sz w:val="20"/>
                <w:szCs w:val="20"/>
                <w:color w:val="auto"/>
              </w:rPr>
            </w:pPr>
            <w:r>
              <w:rPr>
                <w:rFonts w:ascii="Arial" w:cs="Arial" w:eastAsia="Arial" w:hAnsi="Arial"/>
                <w:sz w:val="11"/>
                <w:szCs w:val="11"/>
                <w:b w:val="1"/>
                <w:bCs w:val="1"/>
                <w:color w:val="auto"/>
              </w:rPr>
              <w:t>2019</w:t>
            </w:r>
          </w:p>
        </w:tc>
        <w:tc>
          <w:tcPr>
            <w:tcW w:w="5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549"/>
              <w:spacing w:after="0"/>
              <w:rPr>
                <w:sz w:val="20"/>
                <w:szCs w:val="20"/>
                <w:color w:val="auto"/>
              </w:rPr>
            </w:pPr>
            <w:r>
              <w:rPr>
                <w:rFonts w:ascii="Arial" w:cs="Arial" w:eastAsia="Arial" w:hAnsi="Arial"/>
                <w:sz w:val="11"/>
                <w:szCs w:val="11"/>
                <w:b w:val="1"/>
                <w:bCs w:val="1"/>
                <w:color w:val="auto"/>
              </w:rPr>
              <w:t>2018</w:t>
            </w:r>
          </w:p>
        </w:tc>
      </w:tr>
      <w:tr>
        <w:trPr>
          <w:trHeight w:val="191"/>
        </w:trPr>
        <w:tc>
          <w:tcPr>
            <w:tcW w:w="5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40" w:type="dxa"/>
            <w:vAlign w:val="bottom"/>
            <w:gridSpan w:val="3"/>
          </w:tcPr>
          <w:p>
            <w:pPr>
              <w:jc w:val="right"/>
              <w:ind w:right="11"/>
              <w:spacing w:after="0"/>
              <w:rPr>
                <w:sz w:val="20"/>
                <w:szCs w:val="20"/>
                <w:color w:val="auto"/>
              </w:rPr>
            </w:pPr>
            <w:r>
              <w:rPr>
                <w:rFonts w:ascii="Arial" w:cs="Arial" w:eastAsia="Arial" w:hAnsi="Arial"/>
                <w:sz w:val="11"/>
                <w:szCs w:val="11"/>
                <w:b w:val="1"/>
                <w:bCs w:val="1"/>
                <w:color w:val="auto"/>
                <w:w w:val="94"/>
              </w:rPr>
              <w:t>(in millions, except per share amounts)</w:t>
            </w: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98"/>
        </w:trPr>
        <w:tc>
          <w:tcPr>
            <w:tcW w:w="5160" w:type="dxa"/>
            <w:vAlign w:val="bottom"/>
          </w:tcPr>
          <w:p>
            <w:pPr>
              <w:ind w:left="20"/>
              <w:spacing w:after="0"/>
              <w:rPr>
                <w:sz w:val="20"/>
                <w:szCs w:val="20"/>
                <w:color w:val="auto"/>
              </w:rPr>
            </w:pPr>
            <w:r>
              <w:rPr>
                <w:rFonts w:ascii="Arial" w:cs="Arial" w:eastAsia="Arial" w:hAnsi="Arial"/>
                <w:sz w:val="13"/>
                <w:szCs w:val="13"/>
                <w:b w:val="1"/>
                <w:bCs w:val="1"/>
                <w:color w:val="auto"/>
              </w:rPr>
              <w:t>Revenues:</w:t>
            </w:r>
          </w:p>
        </w:tc>
        <w:tc>
          <w:tcPr>
            <w:tcW w:w="3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7"/>
        </w:trPr>
        <w:tc>
          <w:tcPr>
            <w:tcW w:w="5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196"/>
        </w:trPr>
        <w:tc>
          <w:tcPr>
            <w:tcW w:w="51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3"/>
                <w:szCs w:val="13"/>
                <w:color w:val="auto"/>
              </w:rPr>
              <w:t>Utility revenues</w:t>
            </w:r>
          </w:p>
        </w:tc>
        <w:tc>
          <w:tcPr>
            <w:tcW w:w="380" w:type="dxa"/>
            <w:vAlign w:val="bottom"/>
            <w:tcBorders>
              <w:bottom w:val="single" w:sz="8" w:color="CCEEFF"/>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1,539</w:t>
            </w:r>
          </w:p>
        </w:tc>
        <w:tc>
          <w:tcPr>
            <w:tcW w:w="12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ind w:right="36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1,299</w:t>
            </w:r>
          </w:p>
        </w:tc>
        <w:tc>
          <w:tcPr>
            <w:tcW w:w="12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ind w:right="791"/>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5,255</w:t>
            </w:r>
          </w:p>
        </w:tc>
        <w:tc>
          <w:tcPr>
            <w:tcW w:w="12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jc w:val="right"/>
              <w:ind w:right="368"/>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4,534</w:t>
            </w:r>
          </w:p>
        </w:tc>
      </w:tr>
      <w:tr>
        <w:trPr>
          <w:trHeight w:val="193"/>
        </w:trPr>
        <w:tc>
          <w:tcPr>
            <w:tcW w:w="5160" w:type="dxa"/>
            <w:vAlign w:val="bottom"/>
          </w:tcPr>
          <w:p>
            <w:pPr>
              <w:ind w:left="140"/>
              <w:spacing w:after="0"/>
              <w:rPr>
                <w:sz w:val="20"/>
                <w:szCs w:val="20"/>
                <w:color w:val="auto"/>
              </w:rPr>
            </w:pPr>
            <w:r>
              <w:rPr>
                <w:rFonts w:ascii="Arial" w:cs="Arial" w:eastAsia="Arial" w:hAnsi="Arial"/>
                <w:sz w:val="13"/>
                <w:szCs w:val="13"/>
                <w:color w:val="auto"/>
              </w:rPr>
              <w:t>Non-utility revenues</w:t>
            </w:r>
          </w:p>
        </w:tc>
        <w:tc>
          <w:tcPr>
            <w:tcW w:w="380" w:type="dxa"/>
            <w:vAlign w:val="bottom"/>
          </w:tcPr>
          <w:p>
            <w:pPr>
              <w:spacing w:after="0"/>
              <w:rPr>
                <w:sz w:val="16"/>
                <w:szCs w:val="16"/>
                <w:color w:val="auto"/>
              </w:rPr>
            </w:pPr>
          </w:p>
        </w:tc>
        <w:tc>
          <w:tcPr>
            <w:tcW w:w="1120" w:type="dxa"/>
            <w:vAlign w:val="bottom"/>
          </w:tcPr>
          <w:p>
            <w:pPr>
              <w:jc w:val="right"/>
              <w:ind w:right="50"/>
              <w:spacing w:after="0"/>
              <w:rPr>
                <w:sz w:val="20"/>
                <w:szCs w:val="20"/>
                <w:color w:val="auto"/>
              </w:rPr>
            </w:pPr>
            <w:r>
              <w:rPr>
                <w:rFonts w:ascii="Arial" w:cs="Arial" w:eastAsia="Arial" w:hAnsi="Arial"/>
                <w:sz w:val="14"/>
                <w:szCs w:val="14"/>
                <w:color w:val="auto"/>
              </w:rPr>
              <w:t>1,203</w:t>
            </w: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60" w:type="dxa"/>
            <w:vAlign w:val="bottom"/>
          </w:tcPr>
          <w:p>
            <w:pPr>
              <w:jc w:val="right"/>
              <w:ind w:right="49"/>
              <w:spacing w:after="0"/>
              <w:rPr>
                <w:sz w:val="20"/>
                <w:szCs w:val="20"/>
                <w:color w:val="auto"/>
              </w:rPr>
            </w:pPr>
            <w:r>
              <w:rPr>
                <w:rFonts w:ascii="Arial" w:cs="Arial" w:eastAsia="Arial" w:hAnsi="Arial"/>
                <w:sz w:val="14"/>
                <w:szCs w:val="14"/>
                <w:color w:val="auto"/>
              </w:rPr>
              <w:t>913</w:t>
            </w: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20" w:type="dxa"/>
            <w:vAlign w:val="bottom"/>
          </w:tcPr>
          <w:p>
            <w:pPr>
              <w:jc w:val="right"/>
              <w:ind w:right="29"/>
              <w:spacing w:after="0"/>
              <w:rPr>
                <w:sz w:val="20"/>
                <w:szCs w:val="20"/>
                <w:color w:val="auto"/>
              </w:rPr>
            </w:pPr>
            <w:r>
              <w:rPr>
                <w:rFonts w:ascii="Arial" w:cs="Arial" w:eastAsia="Arial" w:hAnsi="Arial"/>
                <w:sz w:val="14"/>
                <w:szCs w:val="14"/>
                <w:color w:val="auto"/>
              </w:rPr>
              <w:t>3,816</w:t>
            </w: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40" w:type="dxa"/>
            <w:vAlign w:val="bottom"/>
          </w:tcPr>
          <w:p>
            <w:pPr>
              <w:jc w:val="right"/>
              <w:ind w:right="29"/>
              <w:spacing w:after="0"/>
              <w:rPr>
                <w:sz w:val="20"/>
                <w:szCs w:val="20"/>
                <w:color w:val="auto"/>
              </w:rPr>
            </w:pPr>
            <w:r>
              <w:rPr>
                <w:rFonts w:ascii="Arial" w:cs="Arial" w:eastAsia="Arial" w:hAnsi="Arial"/>
                <w:sz w:val="14"/>
                <w:szCs w:val="14"/>
                <w:color w:val="auto"/>
              </w:rPr>
              <w:t>3,019</w:t>
            </w:r>
          </w:p>
        </w:tc>
      </w:tr>
      <w:tr>
        <w:trPr>
          <w:trHeight w:val="23"/>
        </w:trPr>
        <w:tc>
          <w:tcPr>
            <w:tcW w:w="51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06"/>
        </w:trPr>
        <w:tc>
          <w:tcPr>
            <w:tcW w:w="516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3"/>
                <w:szCs w:val="13"/>
                <w:color w:val="auto"/>
              </w:rPr>
              <w:t>Total</w:t>
            </w:r>
          </w:p>
        </w:tc>
        <w:tc>
          <w:tcPr>
            <w:tcW w:w="38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2,742</w:t>
            </w:r>
          </w:p>
        </w:tc>
        <w:tc>
          <w:tcPr>
            <w:tcW w:w="12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2,212</w:t>
            </w:r>
          </w:p>
        </w:tc>
        <w:tc>
          <w:tcPr>
            <w:tcW w:w="12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9,071</w:t>
            </w:r>
          </w:p>
        </w:tc>
        <w:tc>
          <w:tcPr>
            <w:tcW w:w="12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7,553</w:t>
            </w:r>
          </w:p>
        </w:tc>
      </w:tr>
      <w:tr>
        <w:trPr>
          <w:trHeight w:val="180"/>
        </w:trPr>
        <w:tc>
          <w:tcPr>
            <w:tcW w:w="5160" w:type="dxa"/>
            <w:vAlign w:val="bottom"/>
          </w:tcPr>
          <w:p>
            <w:pPr>
              <w:ind w:left="20"/>
              <w:spacing w:after="0"/>
              <w:rPr>
                <w:sz w:val="20"/>
                <w:szCs w:val="20"/>
                <w:color w:val="auto"/>
              </w:rPr>
            </w:pPr>
            <w:r>
              <w:rPr>
                <w:rFonts w:ascii="Arial" w:cs="Arial" w:eastAsia="Arial" w:hAnsi="Arial"/>
                <w:sz w:val="13"/>
                <w:szCs w:val="13"/>
                <w:b w:val="1"/>
                <w:bCs w:val="1"/>
                <w:color w:val="auto"/>
              </w:rPr>
              <w:t>Expenses:</w:t>
            </w:r>
          </w:p>
        </w:tc>
        <w:tc>
          <w:tcPr>
            <w:tcW w:w="38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r>
      <w:tr>
        <w:trPr>
          <w:trHeight w:val="27"/>
        </w:trPr>
        <w:tc>
          <w:tcPr>
            <w:tcW w:w="5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196"/>
        </w:trPr>
        <w:tc>
          <w:tcPr>
            <w:tcW w:w="51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3"/>
                <w:szCs w:val="13"/>
                <w:color w:val="auto"/>
              </w:rPr>
              <w:t>Utility natural gas, fuel and purchased power</w:t>
            </w:r>
          </w:p>
        </w:tc>
        <w:tc>
          <w:tcPr>
            <w:tcW w:w="38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179</w:t>
            </w:r>
          </w:p>
        </w:tc>
        <w:tc>
          <w:tcPr>
            <w:tcW w:w="12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134</w:t>
            </w:r>
          </w:p>
        </w:tc>
        <w:tc>
          <w:tcPr>
            <w:tcW w:w="12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1,178</w:t>
            </w:r>
          </w:p>
        </w:tc>
        <w:tc>
          <w:tcPr>
            <w:tcW w:w="12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959</w:t>
            </w:r>
          </w:p>
        </w:tc>
      </w:tr>
      <w:tr>
        <w:trPr>
          <w:trHeight w:val="193"/>
        </w:trPr>
        <w:tc>
          <w:tcPr>
            <w:tcW w:w="5160" w:type="dxa"/>
            <w:vAlign w:val="bottom"/>
          </w:tcPr>
          <w:p>
            <w:pPr>
              <w:ind w:left="140"/>
              <w:spacing w:after="0"/>
              <w:rPr>
                <w:sz w:val="20"/>
                <w:szCs w:val="20"/>
                <w:color w:val="auto"/>
              </w:rPr>
            </w:pPr>
            <w:r>
              <w:rPr>
                <w:rFonts w:ascii="Arial" w:cs="Arial" w:eastAsia="Arial" w:hAnsi="Arial"/>
                <w:sz w:val="13"/>
                <w:szCs w:val="13"/>
                <w:color w:val="auto"/>
              </w:rPr>
              <w:t>Non-utility cost of revenues, including natural gas</w:t>
            </w:r>
          </w:p>
        </w:tc>
        <w:tc>
          <w:tcPr>
            <w:tcW w:w="380" w:type="dxa"/>
            <w:vAlign w:val="bottom"/>
          </w:tcPr>
          <w:p>
            <w:pPr>
              <w:spacing w:after="0"/>
              <w:rPr>
                <w:sz w:val="16"/>
                <w:szCs w:val="16"/>
                <w:color w:val="auto"/>
              </w:rPr>
            </w:pPr>
          </w:p>
        </w:tc>
        <w:tc>
          <w:tcPr>
            <w:tcW w:w="1120" w:type="dxa"/>
            <w:vAlign w:val="bottom"/>
          </w:tcPr>
          <w:p>
            <w:pPr>
              <w:jc w:val="right"/>
              <w:ind w:right="50"/>
              <w:spacing w:after="0"/>
              <w:rPr>
                <w:sz w:val="20"/>
                <w:szCs w:val="20"/>
                <w:color w:val="auto"/>
              </w:rPr>
            </w:pPr>
            <w:r>
              <w:rPr>
                <w:rFonts w:ascii="Arial" w:cs="Arial" w:eastAsia="Arial" w:hAnsi="Arial"/>
                <w:sz w:val="14"/>
                <w:szCs w:val="14"/>
                <w:color w:val="auto"/>
              </w:rPr>
              <w:t>852</w:t>
            </w: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60" w:type="dxa"/>
            <w:vAlign w:val="bottom"/>
          </w:tcPr>
          <w:p>
            <w:pPr>
              <w:jc w:val="right"/>
              <w:ind w:right="49"/>
              <w:spacing w:after="0"/>
              <w:rPr>
                <w:sz w:val="20"/>
                <w:szCs w:val="20"/>
                <w:color w:val="auto"/>
              </w:rPr>
            </w:pPr>
            <w:r>
              <w:rPr>
                <w:rFonts w:ascii="Arial" w:cs="Arial" w:eastAsia="Arial" w:hAnsi="Arial"/>
                <w:sz w:val="14"/>
                <w:szCs w:val="14"/>
                <w:color w:val="auto"/>
              </w:rPr>
              <w:t>864</w:t>
            </w: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20" w:type="dxa"/>
            <w:vAlign w:val="bottom"/>
          </w:tcPr>
          <w:p>
            <w:pPr>
              <w:jc w:val="right"/>
              <w:ind w:right="29"/>
              <w:spacing w:after="0"/>
              <w:rPr>
                <w:sz w:val="20"/>
                <w:szCs w:val="20"/>
                <w:color w:val="auto"/>
              </w:rPr>
            </w:pPr>
            <w:r>
              <w:rPr>
                <w:rFonts w:ascii="Arial" w:cs="Arial" w:eastAsia="Arial" w:hAnsi="Arial"/>
                <w:sz w:val="14"/>
                <w:szCs w:val="14"/>
                <w:color w:val="auto"/>
              </w:rPr>
              <w:t>3,013</w:t>
            </w: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40" w:type="dxa"/>
            <w:vAlign w:val="bottom"/>
          </w:tcPr>
          <w:p>
            <w:pPr>
              <w:jc w:val="right"/>
              <w:ind w:right="29"/>
              <w:spacing w:after="0"/>
              <w:rPr>
                <w:sz w:val="20"/>
                <w:szCs w:val="20"/>
                <w:color w:val="auto"/>
              </w:rPr>
            </w:pPr>
            <w:r>
              <w:rPr>
                <w:rFonts w:ascii="Arial" w:cs="Arial" w:eastAsia="Arial" w:hAnsi="Arial"/>
                <w:sz w:val="14"/>
                <w:szCs w:val="14"/>
                <w:color w:val="auto"/>
              </w:rPr>
              <w:t>2,927</w:t>
            </w:r>
          </w:p>
        </w:tc>
      </w:tr>
      <w:tr>
        <w:trPr>
          <w:trHeight w:val="23"/>
        </w:trPr>
        <w:tc>
          <w:tcPr>
            <w:tcW w:w="5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96"/>
        </w:trPr>
        <w:tc>
          <w:tcPr>
            <w:tcW w:w="51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3"/>
                <w:szCs w:val="13"/>
                <w:color w:val="auto"/>
              </w:rPr>
              <w:t>Operation and maintenance</w:t>
            </w:r>
          </w:p>
        </w:tc>
        <w:tc>
          <w:tcPr>
            <w:tcW w:w="38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871</w:t>
            </w:r>
          </w:p>
        </w:tc>
        <w:tc>
          <w:tcPr>
            <w:tcW w:w="12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567</w:t>
            </w:r>
          </w:p>
        </w:tc>
        <w:tc>
          <w:tcPr>
            <w:tcW w:w="12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2,616</w:t>
            </w:r>
          </w:p>
        </w:tc>
        <w:tc>
          <w:tcPr>
            <w:tcW w:w="12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1,714</w:t>
            </w:r>
          </w:p>
        </w:tc>
      </w:tr>
      <w:tr>
        <w:trPr>
          <w:trHeight w:val="193"/>
        </w:trPr>
        <w:tc>
          <w:tcPr>
            <w:tcW w:w="5160" w:type="dxa"/>
            <w:vAlign w:val="bottom"/>
          </w:tcPr>
          <w:p>
            <w:pPr>
              <w:ind w:left="140"/>
              <w:spacing w:after="0"/>
              <w:rPr>
                <w:sz w:val="20"/>
                <w:szCs w:val="20"/>
                <w:color w:val="auto"/>
              </w:rPr>
            </w:pPr>
            <w:r>
              <w:rPr>
                <w:rFonts w:ascii="Arial" w:cs="Arial" w:eastAsia="Arial" w:hAnsi="Arial"/>
                <w:sz w:val="13"/>
                <w:szCs w:val="13"/>
                <w:color w:val="auto"/>
              </w:rPr>
              <w:t>Depreciation and amortization</w:t>
            </w:r>
          </w:p>
        </w:tc>
        <w:tc>
          <w:tcPr>
            <w:tcW w:w="380" w:type="dxa"/>
            <w:vAlign w:val="bottom"/>
          </w:tcPr>
          <w:p>
            <w:pPr>
              <w:spacing w:after="0"/>
              <w:rPr>
                <w:sz w:val="16"/>
                <w:szCs w:val="16"/>
                <w:color w:val="auto"/>
              </w:rPr>
            </w:pPr>
          </w:p>
        </w:tc>
        <w:tc>
          <w:tcPr>
            <w:tcW w:w="1120" w:type="dxa"/>
            <w:vAlign w:val="bottom"/>
          </w:tcPr>
          <w:p>
            <w:pPr>
              <w:jc w:val="right"/>
              <w:ind w:right="50"/>
              <w:spacing w:after="0"/>
              <w:rPr>
                <w:sz w:val="20"/>
                <w:szCs w:val="20"/>
                <w:color w:val="auto"/>
              </w:rPr>
            </w:pPr>
            <w:r>
              <w:rPr>
                <w:rFonts w:ascii="Arial" w:cs="Arial" w:eastAsia="Arial" w:hAnsi="Arial"/>
                <w:sz w:val="14"/>
                <w:szCs w:val="14"/>
                <w:color w:val="auto"/>
              </w:rPr>
              <w:t>334</w:t>
            </w: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60" w:type="dxa"/>
            <w:vAlign w:val="bottom"/>
          </w:tcPr>
          <w:p>
            <w:pPr>
              <w:jc w:val="right"/>
              <w:ind w:right="49"/>
              <w:spacing w:after="0"/>
              <w:rPr>
                <w:sz w:val="20"/>
                <w:szCs w:val="20"/>
                <w:color w:val="auto"/>
              </w:rPr>
            </w:pPr>
            <w:r>
              <w:rPr>
                <w:rFonts w:ascii="Arial" w:cs="Arial" w:eastAsia="Arial" w:hAnsi="Arial"/>
                <w:sz w:val="14"/>
                <w:szCs w:val="14"/>
                <w:color w:val="auto"/>
              </w:rPr>
              <w:t>326</w:t>
            </w: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20" w:type="dxa"/>
            <w:vAlign w:val="bottom"/>
          </w:tcPr>
          <w:p>
            <w:pPr>
              <w:jc w:val="right"/>
              <w:ind w:right="29"/>
              <w:spacing w:after="0"/>
              <w:rPr>
                <w:sz w:val="20"/>
                <w:szCs w:val="20"/>
                <w:color w:val="auto"/>
              </w:rPr>
            </w:pPr>
            <w:r>
              <w:rPr>
                <w:rFonts w:ascii="Arial" w:cs="Arial" w:eastAsia="Arial" w:hAnsi="Arial"/>
                <w:sz w:val="14"/>
                <w:szCs w:val="14"/>
                <w:color w:val="auto"/>
              </w:rPr>
              <w:t>987</w:t>
            </w: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40" w:type="dxa"/>
            <w:vAlign w:val="bottom"/>
          </w:tcPr>
          <w:p>
            <w:pPr>
              <w:jc w:val="right"/>
              <w:ind w:right="29"/>
              <w:spacing w:after="0"/>
              <w:rPr>
                <w:sz w:val="20"/>
                <w:szCs w:val="20"/>
                <w:color w:val="auto"/>
              </w:rPr>
            </w:pPr>
            <w:r>
              <w:rPr>
                <w:rFonts w:ascii="Arial" w:cs="Arial" w:eastAsia="Arial" w:hAnsi="Arial"/>
                <w:sz w:val="14"/>
                <w:szCs w:val="14"/>
                <w:color w:val="auto"/>
              </w:rPr>
              <w:t>982</w:t>
            </w:r>
          </w:p>
        </w:tc>
      </w:tr>
      <w:tr>
        <w:trPr>
          <w:trHeight w:val="23"/>
        </w:trPr>
        <w:tc>
          <w:tcPr>
            <w:tcW w:w="5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16"/>
        </w:trPr>
        <w:tc>
          <w:tcPr>
            <w:tcW w:w="51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3"/>
                <w:szCs w:val="13"/>
                <w:color w:val="auto"/>
              </w:rPr>
              <w:t>Taxes other than income taxes</w:t>
            </w:r>
          </w:p>
        </w:tc>
        <w:tc>
          <w:tcPr>
            <w:tcW w:w="38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114</w:t>
            </w:r>
          </w:p>
        </w:tc>
        <w:tc>
          <w:tcPr>
            <w:tcW w:w="12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95</w:t>
            </w:r>
          </w:p>
        </w:tc>
        <w:tc>
          <w:tcPr>
            <w:tcW w:w="12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353</w:t>
            </w:r>
          </w:p>
        </w:tc>
        <w:tc>
          <w:tcPr>
            <w:tcW w:w="12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307</w:t>
            </w:r>
          </w:p>
        </w:tc>
      </w:tr>
      <w:tr>
        <w:trPr>
          <w:trHeight w:val="184"/>
        </w:trPr>
        <w:tc>
          <w:tcPr>
            <w:tcW w:w="5160" w:type="dxa"/>
            <w:vAlign w:val="bottom"/>
          </w:tcPr>
          <w:p>
            <w:pPr>
              <w:ind w:left="400"/>
              <w:spacing w:after="0"/>
              <w:rPr>
                <w:sz w:val="20"/>
                <w:szCs w:val="20"/>
                <w:color w:val="auto"/>
              </w:rPr>
            </w:pPr>
            <w:r>
              <w:rPr>
                <w:rFonts w:ascii="Arial" w:cs="Arial" w:eastAsia="Arial" w:hAnsi="Arial"/>
                <w:sz w:val="13"/>
                <w:szCs w:val="13"/>
                <w:color w:val="auto"/>
              </w:rPr>
              <w:t>Total</w:t>
            </w:r>
          </w:p>
        </w:tc>
        <w:tc>
          <w:tcPr>
            <w:tcW w:w="38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jc w:val="right"/>
              <w:ind w:right="50"/>
              <w:spacing w:after="0"/>
              <w:rPr>
                <w:sz w:val="20"/>
                <w:szCs w:val="20"/>
                <w:color w:val="auto"/>
              </w:rPr>
            </w:pPr>
            <w:r>
              <w:rPr>
                <w:rFonts w:ascii="Arial" w:cs="Arial" w:eastAsia="Arial" w:hAnsi="Arial"/>
                <w:sz w:val="14"/>
                <w:szCs w:val="14"/>
                <w:color w:val="auto"/>
              </w:rPr>
              <w:t>2,350</w:t>
            </w:r>
          </w:p>
        </w:tc>
        <w:tc>
          <w:tcPr>
            <w:tcW w:w="120" w:type="dxa"/>
            <w:vAlign w:val="bottom"/>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1,986</w:t>
            </w:r>
          </w:p>
        </w:tc>
        <w:tc>
          <w:tcPr>
            <w:tcW w:w="120" w:type="dxa"/>
            <w:vAlign w:val="bottom"/>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rPr>
              <w:t>8,147</w:t>
            </w:r>
          </w:p>
        </w:tc>
        <w:tc>
          <w:tcPr>
            <w:tcW w:w="120" w:type="dxa"/>
            <w:vAlign w:val="bottom"/>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rPr>
              <w:t>6,889</w:t>
            </w:r>
          </w:p>
        </w:tc>
      </w:tr>
      <w:tr>
        <w:trPr>
          <w:trHeight w:val="23"/>
        </w:trPr>
        <w:tc>
          <w:tcPr>
            <w:tcW w:w="51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06"/>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Operating Income</w:t>
            </w:r>
          </w:p>
        </w:tc>
        <w:tc>
          <w:tcPr>
            <w:tcW w:w="38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392</w:t>
            </w:r>
          </w:p>
        </w:tc>
        <w:tc>
          <w:tcPr>
            <w:tcW w:w="12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226</w:t>
            </w:r>
          </w:p>
        </w:tc>
        <w:tc>
          <w:tcPr>
            <w:tcW w:w="12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924</w:t>
            </w:r>
          </w:p>
        </w:tc>
        <w:tc>
          <w:tcPr>
            <w:tcW w:w="12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664</w:t>
            </w:r>
          </w:p>
        </w:tc>
      </w:tr>
      <w:tr>
        <w:trPr>
          <w:trHeight w:val="180"/>
        </w:trPr>
        <w:tc>
          <w:tcPr>
            <w:tcW w:w="5160" w:type="dxa"/>
            <w:vAlign w:val="bottom"/>
          </w:tcPr>
          <w:p>
            <w:pPr>
              <w:ind w:left="20"/>
              <w:spacing w:after="0"/>
              <w:rPr>
                <w:sz w:val="20"/>
                <w:szCs w:val="20"/>
                <w:color w:val="auto"/>
              </w:rPr>
            </w:pPr>
            <w:r>
              <w:rPr>
                <w:rFonts w:ascii="Arial" w:cs="Arial" w:eastAsia="Arial" w:hAnsi="Arial"/>
                <w:sz w:val="13"/>
                <w:szCs w:val="13"/>
                <w:b w:val="1"/>
                <w:bCs w:val="1"/>
                <w:color w:val="auto"/>
              </w:rPr>
              <w:t>Other Income (Expense):</w:t>
            </w:r>
          </w:p>
        </w:tc>
        <w:tc>
          <w:tcPr>
            <w:tcW w:w="38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r>
      <w:tr>
        <w:trPr>
          <w:trHeight w:val="27"/>
        </w:trPr>
        <w:tc>
          <w:tcPr>
            <w:tcW w:w="5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196"/>
        </w:trPr>
        <w:tc>
          <w:tcPr>
            <w:tcW w:w="51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3"/>
                <w:szCs w:val="13"/>
                <w:color w:val="auto"/>
              </w:rPr>
              <w:t>Gain on marketable securities</w:t>
            </w:r>
          </w:p>
        </w:tc>
        <w:tc>
          <w:tcPr>
            <w:tcW w:w="38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59</w:t>
            </w:r>
          </w:p>
        </w:tc>
        <w:tc>
          <w:tcPr>
            <w:tcW w:w="12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43</w:t>
            </w:r>
          </w:p>
        </w:tc>
        <w:tc>
          <w:tcPr>
            <w:tcW w:w="12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206</w:t>
            </w:r>
          </w:p>
        </w:tc>
        <w:tc>
          <w:tcPr>
            <w:tcW w:w="12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66</w:t>
            </w:r>
          </w:p>
        </w:tc>
      </w:tr>
      <w:tr>
        <w:trPr>
          <w:trHeight w:val="193"/>
        </w:trPr>
        <w:tc>
          <w:tcPr>
            <w:tcW w:w="5160" w:type="dxa"/>
            <w:vAlign w:val="bottom"/>
          </w:tcPr>
          <w:p>
            <w:pPr>
              <w:ind w:left="140"/>
              <w:spacing w:after="0"/>
              <w:rPr>
                <w:sz w:val="20"/>
                <w:szCs w:val="20"/>
                <w:color w:val="auto"/>
              </w:rPr>
            </w:pPr>
            <w:r>
              <w:rPr>
                <w:rFonts w:ascii="Arial" w:cs="Arial" w:eastAsia="Arial" w:hAnsi="Arial"/>
                <w:sz w:val="13"/>
                <w:szCs w:val="13"/>
                <w:color w:val="auto"/>
              </w:rPr>
              <w:t>Loss on indexed debt securities</w:t>
            </w:r>
          </w:p>
        </w:tc>
        <w:tc>
          <w:tcPr>
            <w:tcW w:w="38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(62)</w:t>
            </w: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(44)</w:t>
            </w: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(216)</w:t>
            </w: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(316)</w:t>
            </w:r>
          </w:p>
        </w:tc>
      </w:tr>
      <w:tr>
        <w:trPr>
          <w:trHeight w:val="23"/>
        </w:trPr>
        <w:tc>
          <w:tcPr>
            <w:tcW w:w="5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96"/>
        </w:trPr>
        <w:tc>
          <w:tcPr>
            <w:tcW w:w="51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3"/>
                <w:szCs w:val="13"/>
                <w:color w:val="auto"/>
              </w:rPr>
              <w:t>Interest and other finance charges</w:t>
            </w:r>
          </w:p>
        </w:tc>
        <w:tc>
          <w:tcPr>
            <w:tcW w:w="38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(134)</w:t>
            </w:r>
          </w:p>
        </w:tc>
        <w:tc>
          <w:tcPr>
            <w:tcW w:w="12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(90)</w:t>
            </w:r>
          </w:p>
        </w:tc>
        <w:tc>
          <w:tcPr>
            <w:tcW w:w="12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(389)</w:t>
            </w:r>
          </w:p>
        </w:tc>
        <w:tc>
          <w:tcPr>
            <w:tcW w:w="12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(259)</w:t>
            </w:r>
          </w:p>
        </w:tc>
      </w:tr>
      <w:tr>
        <w:trPr>
          <w:trHeight w:val="193"/>
        </w:trPr>
        <w:tc>
          <w:tcPr>
            <w:tcW w:w="5160" w:type="dxa"/>
            <w:vAlign w:val="bottom"/>
          </w:tcPr>
          <w:p>
            <w:pPr>
              <w:ind w:left="140"/>
              <w:spacing w:after="0"/>
              <w:rPr>
                <w:sz w:val="20"/>
                <w:szCs w:val="20"/>
                <w:color w:val="auto"/>
              </w:rPr>
            </w:pPr>
            <w:r>
              <w:rPr>
                <w:rFonts w:ascii="Arial" w:cs="Arial" w:eastAsia="Arial" w:hAnsi="Arial"/>
                <w:sz w:val="13"/>
                <w:szCs w:val="13"/>
                <w:color w:val="auto"/>
              </w:rPr>
              <w:t>Interest on Securitization Bonds</w:t>
            </w:r>
          </w:p>
        </w:tc>
        <w:tc>
          <w:tcPr>
            <w:tcW w:w="38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(16)</w:t>
            </w: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(31)</w:t>
            </w: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(46)</w:t>
            </w:r>
          </w:p>
        </w:tc>
      </w:tr>
      <w:tr>
        <w:trPr>
          <w:trHeight w:val="23"/>
        </w:trPr>
        <w:tc>
          <w:tcPr>
            <w:tcW w:w="5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96"/>
        </w:trPr>
        <w:tc>
          <w:tcPr>
            <w:tcW w:w="51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3"/>
                <w:szCs w:val="13"/>
                <w:color w:val="auto"/>
              </w:rPr>
              <w:t>Equity in earnings of unconsolidated affiliates, net</w:t>
            </w:r>
          </w:p>
        </w:tc>
        <w:tc>
          <w:tcPr>
            <w:tcW w:w="38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77</w:t>
            </w:r>
          </w:p>
        </w:tc>
        <w:tc>
          <w:tcPr>
            <w:tcW w:w="12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81</w:t>
            </w:r>
          </w:p>
        </w:tc>
        <w:tc>
          <w:tcPr>
            <w:tcW w:w="12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213</w:t>
            </w:r>
          </w:p>
        </w:tc>
        <w:tc>
          <w:tcPr>
            <w:tcW w:w="12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208</w:t>
            </w:r>
          </w:p>
        </w:tc>
      </w:tr>
      <w:tr>
        <w:trPr>
          <w:trHeight w:val="193"/>
        </w:trPr>
        <w:tc>
          <w:tcPr>
            <w:tcW w:w="5160" w:type="dxa"/>
            <w:vAlign w:val="bottom"/>
          </w:tcPr>
          <w:p>
            <w:pPr>
              <w:ind w:left="140"/>
              <w:spacing w:after="0"/>
              <w:rPr>
                <w:sz w:val="20"/>
                <w:szCs w:val="20"/>
                <w:color w:val="auto"/>
              </w:rPr>
            </w:pPr>
            <w:r>
              <w:rPr>
                <w:rFonts w:ascii="Arial" w:cs="Arial" w:eastAsia="Arial" w:hAnsi="Arial"/>
                <w:sz w:val="13"/>
                <w:szCs w:val="13"/>
                <w:color w:val="auto"/>
              </w:rPr>
              <w:t>Other income, net</w:t>
            </w:r>
          </w:p>
        </w:tc>
        <w:tc>
          <w:tcPr>
            <w:tcW w:w="380" w:type="dxa"/>
            <w:vAlign w:val="bottom"/>
          </w:tcPr>
          <w:p>
            <w:pPr>
              <w:spacing w:after="0"/>
              <w:rPr>
                <w:sz w:val="16"/>
                <w:szCs w:val="16"/>
                <w:color w:val="auto"/>
              </w:rPr>
            </w:pPr>
          </w:p>
        </w:tc>
        <w:tc>
          <w:tcPr>
            <w:tcW w:w="1120" w:type="dxa"/>
            <w:vAlign w:val="bottom"/>
          </w:tcPr>
          <w:p>
            <w:pPr>
              <w:jc w:val="right"/>
              <w:ind w:right="50"/>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60" w:type="dxa"/>
            <w:vAlign w:val="bottom"/>
          </w:tcPr>
          <w:p>
            <w:pPr>
              <w:jc w:val="right"/>
              <w:ind w:right="49"/>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20" w:type="dxa"/>
            <w:vAlign w:val="bottom"/>
          </w:tcPr>
          <w:p>
            <w:pPr>
              <w:jc w:val="right"/>
              <w:ind w:right="29"/>
              <w:spacing w:after="0"/>
              <w:rPr>
                <w:sz w:val="20"/>
                <w:szCs w:val="20"/>
                <w:color w:val="auto"/>
              </w:rPr>
            </w:pPr>
            <w:r>
              <w:rPr>
                <w:rFonts w:ascii="Arial" w:cs="Arial" w:eastAsia="Arial" w:hAnsi="Arial"/>
                <w:sz w:val="14"/>
                <w:szCs w:val="14"/>
                <w:color w:val="auto"/>
              </w:rPr>
              <w:t>40</w:t>
            </w: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40" w:type="dxa"/>
            <w:vAlign w:val="bottom"/>
          </w:tcPr>
          <w:p>
            <w:pPr>
              <w:jc w:val="right"/>
              <w:ind w:right="29"/>
              <w:spacing w:after="0"/>
              <w:rPr>
                <w:sz w:val="20"/>
                <w:szCs w:val="20"/>
                <w:color w:val="auto"/>
              </w:rPr>
            </w:pPr>
            <w:r>
              <w:rPr>
                <w:rFonts w:ascii="Arial" w:cs="Arial" w:eastAsia="Arial" w:hAnsi="Arial"/>
                <w:sz w:val="14"/>
                <w:szCs w:val="14"/>
                <w:color w:val="auto"/>
              </w:rPr>
              <w:t>16</w:t>
            </w:r>
          </w:p>
        </w:tc>
      </w:tr>
      <w:tr>
        <w:trPr>
          <w:trHeight w:val="23"/>
        </w:trPr>
        <w:tc>
          <w:tcPr>
            <w:tcW w:w="51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06"/>
        </w:trPr>
        <w:tc>
          <w:tcPr>
            <w:tcW w:w="516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3"/>
                <w:szCs w:val="13"/>
                <w:color w:val="auto"/>
              </w:rPr>
              <w:t>Total</w:t>
            </w:r>
          </w:p>
        </w:tc>
        <w:tc>
          <w:tcPr>
            <w:tcW w:w="38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(60)</w:t>
            </w:r>
          </w:p>
        </w:tc>
        <w:tc>
          <w:tcPr>
            <w:tcW w:w="12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12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(177)</w:t>
            </w:r>
          </w:p>
        </w:tc>
        <w:tc>
          <w:tcPr>
            <w:tcW w:w="12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(331)</w:t>
            </w:r>
          </w:p>
        </w:tc>
      </w:tr>
      <w:tr>
        <w:trPr>
          <w:trHeight w:val="184"/>
        </w:trPr>
        <w:tc>
          <w:tcPr>
            <w:tcW w:w="5160" w:type="dxa"/>
            <w:vAlign w:val="bottom"/>
          </w:tcPr>
          <w:p>
            <w:pPr>
              <w:ind w:left="20"/>
              <w:spacing w:after="0"/>
              <w:rPr>
                <w:sz w:val="20"/>
                <w:szCs w:val="20"/>
                <w:color w:val="auto"/>
              </w:rPr>
            </w:pPr>
            <w:r>
              <w:rPr>
                <w:rFonts w:ascii="Arial" w:cs="Arial" w:eastAsia="Arial" w:hAnsi="Arial"/>
                <w:sz w:val="13"/>
                <w:szCs w:val="13"/>
                <w:b w:val="1"/>
                <w:bCs w:val="1"/>
                <w:color w:val="auto"/>
              </w:rPr>
              <w:t>Income Before Income Taxes</w:t>
            </w:r>
          </w:p>
        </w:tc>
        <w:tc>
          <w:tcPr>
            <w:tcW w:w="38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jc w:val="right"/>
              <w:ind w:right="50"/>
              <w:spacing w:after="0"/>
              <w:rPr>
                <w:sz w:val="20"/>
                <w:szCs w:val="20"/>
                <w:color w:val="auto"/>
              </w:rPr>
            </w:pPr>
            <w:r>
              <w:rPr>
                <w:rFonts w:ascii="Arial" w:cs="Arial" w:eastAsia="Arial" w:hAnsi="Arial"/>
                <w:sz w:val="14"/>
                <w:szCs w:val="14"/>
                <w:color w:val="auto"/>
              </w:rPr>
              <w:t>332</w:t>
            </w:r>
          </w:p>
        </w:tc>
        <w:tc>
          <w:tcPr>
            <w:tcW w:w="120" w:type="dxa"/>
            <w:vAlign w:val="bottom"/>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209</w:t>
            </w:r>
          </w:p>
        </w:tc>
        <w:tc>
          <w:tcPr>
            <w:tcW w:w="120" w:type="dxa"/>
            <w:vAlign w:val="bottom"/>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rPr>
              <w:t>747</w:t>
            </w:r>
          </w:p>
        </w:tc>
        <w:tc>
          <w:tcPr>
            <w:tcW w:w="120" w:type="dxa"/>
            <w:vAlign w:val="bottom"/>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rPr>
              <w:t>333</w:t>
            </w:r>
          </w:p>
        </w:tc>
      </w:tr>
      <w:tr>
        <w:trPr>
          <w:trHeight w:val="23"/>
        </w:trPr>
        <w:tc>
          <w:tcPr>
            <w:tcW w:w="5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16"/>
        </w:trPr>
        <w:tc>
          <w:tcPr>
            <w:tcW w:w="51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3"/>
                <w:szCs w:val="13"/>
                <w:color w:val="auto"/>
              </w:rPr>
              <w:t>Income tax expense</w:t>
            </w:r>
          </w:p>
        </w:tc>
        <w:tc>
          <w:tcPr>
            <w:tcW w:w="38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62</w:t>
            </w:r>
          </w:p>
        </w:tc>
        <w:tc>
          <w:tcPr>
            <w:tcW w:w="12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51</w:t>
            </w:r>
          </w:p>
        </w:tc>
        <w:tc>
          <w:tcPr>
            <w:tcW w:w="12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113</w:t>
            </w:r>
          </w:p>
        </w:tc>
        <w:tc>
          <w:tcPr>
            <w:tcW w:w="12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85</w:t>
            </w:r>
          </w:p>
        </w:tc>
      </w:tr>
      <w:tr>
        <w:trPr>
          <w:trHeight w:val="184"/>
        </w:trPr>
        <w:tc>
          <w:tcPr>
            <w:tcW w:w="5160" w:type="dxa"/>
            <w:vAlign w:val="bottom"/>
          </w:tcPr>
          <w:p>
            <w:pPr>
              <w:ind w:left="20"/>
              <w:spacing w:after="0"/>
              <w:rPr>
                <w:sz w:val="20"/>
                <w:szCs w:val="20"/>
                <w:color w:val="auto"/>
              </w:rPr>
            </w:pPr>
            <w:r>
              <w:rPr>
                <w:rFonts w:ascii="Arial" w:cs="Arial" w:eastAsia="Arial" w:hAnsi="Arial"/>
                <w:sz w:val="13"/>
                <w:szCs w:val="13"/>
                <w:b w:val="1"/>
                <w:bCs w:val="1"/>
                <w:color w:val="auto"/>
              </w:rPr>
              <w:t>Net Income</w:t>
            </w:r>
          </w:p>
        </w:tc>
        <w:tc>
          <w:tcPr>
            <w:tcW w:w="38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jc w:val="right"/>
              <w:ind w:right="50"/>
              <w:spacing w:after="0"/>
              <w:rPr>
                <w:sz w:val="20"/>
                <w:szCs w:val="20"/>
                <w:color w:val="auto"/>
              </w:rPr>
            </w:pPr>
            <w:r>
              <w:rPr>
                <w:rFonts w:ascii="Arial" w:cs="Arial" w:eastAsia="Arial" w:hAnsi="Arial"/>
                <w:sz w:val="14"/>
                <w:szCs w:val="14"/>
                <w:color w:val="auto"/>
              </w:rPr>
              <w:t>270</w:t>
            </w:r>
          </w:p>
        </w:tc>
        <w:tc>
          <w:tcPr>
            <w:tcW w:w="120" w:type="dxa"/>
            <w:vAlign w:val="bottom"/>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158</w:t>
            </w:r>
          </w:p>
        </w:tc>
        <w:tc>
          <w:tcPr>
            <w:tcW w:w="120" w:type="dxa"/>
            <w:vAlign w:val="bottom"/>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rPr>
              <w:t>634</w:t>
            </w:r>
          </w:p>
        </w:tc>
        <w:tc>
          <w:tcPr>
            <w:tcW w:w="120" w:type="dxa"/>
            <w:vAlign w:val="bottom"/>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rPr>
              <w:t>248</w:t>
            </w:r>
          </w:p>
        </w:tc>
      </w:tr>
      <w:tr>
        <w:trPr>
          <w:trHeight w:val="23"/>
        </w:trPr>
        <w:tc>
          <w:tcPr>
            <w:tcW w:w="51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06"/>
        </w:trPr>
        <w:tc>
          <w:tcPr>
            <w:tcW w:w="51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3"/>
                <w:szCs w:val="13"/>
                <w:color w:val="auto"/>
              </w:rPr>
              <w:t>Preferred stock dividend requirement</w:t>
            </w:r>
          </w:p>
        </w:tc>
        <w:tc>
          <w:tcPr>
            <w:tcW w:w="38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29</w:t>
            </w:r>
          </w:p>
        </w:tc>
        <w:tc>
          <w:tcPr>
            <w:tcW w:w="12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5</w:t>
            </w:r>
          </w:p>
        </w:tc>
        <w:tc>
          <w:tcPr>
            <w:tcW w:w="12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88</w:t>
            </w:r>
          </w:p>
        </w:tc>
        <w:tc>
          <w:tcPr>
            <w:tcW w:w="12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5</w:t>
            </w:r>
          </w:p>
        </w:tc>
      </w:tr>
      <w:tr>
        <w:trPr>
          <w:trHeight w:val="238"/>
        </w:trPr>
        <w:tc>
          <w:tcPr>
            <w:tcW w:w="5160" w:type="dxa"/>
            <w:vAlign w:val="bottom"/>
            <w:tcBorders>
              <w:bottom w:val="single" w:sz="8" w:color="CCEEFF"/>
            </w:tcBorders>
          </w:tcPr>
          <w:p>
            <w:pPr>
              <w:ind w:left="20"/>
              <w:spacing w:after="0"/>
              <w:rPr>
                <w:sz w:val="20"/>
                <w:szCs w:val="20"/>
                <w:color w:val="auto"/>
              </w:rPr>
            </w:pPr>
            <w:r>
              <w:rPr>
                <w:rFonts w:ascii="Arial" w:cs="Arial" w:eastAsia="Arial" w:hAnsi="Arial"/>
                <w:sz w:val="13"/>
                <w:szCs w:val="13"/>
                <w:b w:val="1"/>
                <w:bCs w:val="1"/>
                <w:color w:val="auto"/>
              </w:rPr>
              <w:t>Income Available to Common Shareholders</w:t>
            </w:r>
          </w:p>
        </w:tc>
        <w:tc>
          <w:tcPr>
            <w:tcW w:w="380" w:type="dxa"/>
            <w:vAlign w:val="bottom"/>
            <w:tcBorders>
              <w:top w:val="single" w:sz="8" w:color="auto"/>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4"/>
                <w:szCs w:val="14"/>
                <w:color w:val="auto"/>
              </w:rPr>
              <w:t>241</w:t>
            </w:r>
          </w:p>
        </w:tc>
        <w:tc>
          <w:tcPr>
            <w:tcW w:w="120" w:type="dxa"/>
            <w:vAlign w:val="bottom"/>
            <w:tcBorders>
              <w:bottom w:val="single" w:sz="8" w:color="CCEEFF"/>
            </w:tcBorders>
          </w:tcPr>
          <w:p>
            <w:pPr>
              <w:spacing w:after="0"/>
              <w:rPr>
                <w:sz w:val="20"/>
                <w:szCs w:val="20"/>
                <w:color w:val="auto"/>
              </w:rPr>
            </w:pPr>
          </w:p>
        </w:tc>
        <w:tc>
          <w:tcPr>
            <w:tcW w:w="540" w:type="dxa"/>
            <w:vAlign w:val="bottom"/>
            <w:tcBorders>
              <w:top w:val="single" w:sz="8" w:color="auto"/>
              <w:bottom w:val="single" w:sz="8" w:color="auto"/>
            </w:tcBorders>
          </w:tcPr>
          <w:p>
            <w:pPr>
              <w:jc w:val="right"/>
              <w:ind w:right="368"/>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153</w:t>
            </w:r>
          </w:p>
        </w:tc>
        <w:tc>
          <w:tcPr>
            <w:tcW w:w="120" w:type="dxa"/>
            <w:vAlign w:val="bottom"/>
            <w:tcBorders>
              <w:bottom w:val="single" w:sz="8" w:color="CCEEFF"/>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791"/>
              <w:spacing w:after="0"/>
              <w:rPr>
                <w:sz w:val="20"/>
                <w:szCs w:val="20"/>
                <w:color w:val="auto"/>
              </w:rPr>
            </w:pPr>
            <w:r>
              <w:rPr>
                <w:rFonts w:ascii="Arial" w:cs="Arial" w:eastAsia="Arial" w:hAnsi="Arial"/>
                <w:sz w:val="14"/>
                <w:szCs w:val="14"/>
                <w:color w:val="auto"/>
              </w:rPr>
              <w:t>$</w:t>
            </w:r>
          </w:p>
        </w:tc>
        <w:tc>
          <w:tcPr>
            <w:tcW w:w="52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546</w:t>
            </w:r>
          </w:p>
        </w:tc>
        <w:tc>
          <w:tcPr>
            <w:tcW w:w="120" w:type="dxa"/>
            <w:vAlign w:val="bottom"/>
            <w:tcBorders>
              <w:bottom w:val="single" w:sz="8" w:color="CCEEFF"/>
            </w:tcBorders>
          </w:tcPr>
          <w:p>
            <w:pPr>
              <w:spacing w:after="0"/>
              <w:rPr>
                <w:sz w:val="20"/>
                <w:szCs w:val="20"/>
                <w:color w:val="auto"/>
              </w:rPr>
            </w:pPr>
          </w:p>
        </w:tc>
        <w:tc>
          <w:tcPr>
            <w:tcW w:w="520" w:type="dxa"/>
            <w:vAlign w:val="bottom"/>
            <w:tcBorders>
              <w:top w:val="single" w:sz="8" w:color="auto"/>
              <w:bottom w:val="single" w:sz="8" w:color="auto"/>
            </w:tcBorders>
          </w:tcPr>
          <w:p>
            <w:pPr>
              <w:jc w:val="right"/>
              <w:ind w:right="368"/>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243</w:t>
            </w:r>
          </w:p>
        </w:tc>
      </w:tr>
      <w:tr>
        <w:trPr>
          <w:trHeight w:val="207"/>
        </w:trPr>
        <w:tc>
          <w:tcPr>
            <w:tcW w:w="5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48"/>
        </w:trPr>
        <w:tc>
          <w:tcPr>
            <w:tcW w:w="5160" w:type="dxa"/>
            <w:vAlign w:val="bottom"/>
            <w:tcBorders>
              <w:bottom w:val="single" w:sz="8" w:color="CCEEFF"/>
            </w:tcBorders>
          </w:tcPr>
          <w:p>
            <w:pPr>
              <w:ind w:left="20"/>
              <w:spacing w:after="0"/>
              <w:rPr>
                <w:sz w:val="20"/>
                <w:szCs w:val="20"/>
                <w:color w:val="auto"/>
              </w:rPr>
            </w:pPr>
            <w:r>
              <w:rPr>
                <w:rFonts w:ascii="Arial" w:cs="Arial" w:eastAsia="Arial" w:hAnsi="Arial"/>
                <w:sz w:val="13"/>
                <w:szCs w:val="13"/>
                <w:b w:val="1"/>
                <w:bCs w:val="1"/>
                <w:color w:val="auto"/>
              </w:rPr>
              <w:t>Basic Earnings Per Common Share</w:t>
            </w:r>
          </w:p>
        </w:tc>
        <w:tc>
          <w:tcPr>
            <w:tcW w:w="3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0.48</w:t>
            </w:r>
          </w:p>
        </w:tc>
        <w:tc>
          <w:tcPr>
            <w:tcW w:w="120" w:type="dxa"/>
            <w:vAlign w:val="bottom"/>
            <w:tcBorders>
              <w:bottom w:val="single" w:sz="8" w:color="CCEEFF"/>
            </w:tcBorders>
          </w:tcPr>
          <w:p>
            <w:pPr>
              <w:spacing w:after="0"/>
              <w:rPr>
                <w:sz w:val="21"/>
                <w:szCs w:val="21"/>
                <w:color w:val="auto"/>
              </w:rPr>
            </w:pPr>
          </w:p>
        </w:tc>
        <w:tc>
          <w:tcPr>
            <w:tcW w:w="54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0.35</w:t>
            </w:r>
          </w:p>
        </w:tc>
        <w:tc>
          <w:tcPr>
            <w:tcW w:w="120" w:type="dxa"/>
            <w:vAlign w:val="bottom"/>
            <w:tcBorders>
              <w:bottom w:val="single" w:sz="8" w:color="CCEEFF"/>
            </w:tcBorders>
          </w:tcPr>
          <w:p>
            <w:pPr>
              <w:spacing w:after="0"/>
              <w:rPr>
                <w:sz w:val="21"/>
                <w:szCs w:val="21"/>
                <w:color w:val="auto"/>
              </w:rPr>
            </w:pPr>
          </w:p>
        </w:tc>
        <w:tc>
          <w:tcPr>
            <w:tcW w:w="960" w:type="dxa"/>
            <w:vAlign w:val="bottom"/>
            <w:tcBorders>
              <w:bottom w:val="single" w:sz="8" w:color="auto"/>
            </w:tcBorders>
          </w:tcPr>
          <w:p>
            <w:pPr>
              <w:jc w:val="right"/>
              <w:ind w:right="791"/>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1.09</w:t>
            </w:r>
          </w:p>
        </w:tc>
        <w:tc>
          <w:tcPr>
            <w:tcW w:w="120" w:type="dxa"/>
            <w:vAlign w:val="bottom"/>
            <w:tcBorders>
              <w:bottom w:val="single" w:sz="8" w:color="CCEEFF"/>
            </w:tcBorders>
          </w:tcPr>
          <w:p>
            <w:pPr>
              <w:spacing w:after="0"/>
              <w:rPr>
                <w:sz w:val="21"/>
                <w:szCs w:val="21"/>
                <w:color w:val="auto"/>
              </w:rPr>
            </w:pPr>
          </w:p>
        </w:tc>
        <w:tc>
          <w:tcPr>
            <w:tcW w:w="52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0.56</w:t>
            </w:r>
          </w:p>
        </w:tc>
      </w:tr>
      <w:tr>
        <w:trPr>
          <w:trHeight w:val="188"/>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Diluted Earnings Per Common Share</w:t>
            </w:r>
          </w:p>
        </w:tc>
        <w:tc>
          <w:tcPr>
            <w:tcW w:w="38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0.47</w:t>
            </w:r>
          </w:p>
        </w:tc>
        <w:tc>
          <w:tcPr>
            <w:tcW w:w="12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ind w:right="36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0.35</w:t>
            </w:r>
          </w:p>
        </w:tc>
        <w:tc>
          <w:tcPr>
            <w:tcW w:w="12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ind w:right="791"/>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1.08</w:t>
            </w:r>
          </w:p>
        </w:tc>
        <w:tc>
          <w:tcPr>
            <w:tcW w:w="12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ind w:right="368"/>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0.56</w:t>
            </w:r>
          </w:p>
        </w:tc>
      </w:tr>
      <w:tr>
        <w:trPr>
          <w:trHeight w:val="20"/>
        </w:trPr>
        <w:tc>
          <w:tcPr>
            <w:tcW w:w="5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28"/>
        </w:trPr>
        <w:tc>
          <w:tcPr>
            <w:tcW w:w="5160" w:type="dxa"/>
            <w:vAlign w:val="bottom"/>
            <w:tcBorders>
              <w:bottom w:val="single" w:sz="8" w:color="CCEEFF"/>
            </w:tcBorders>
          </w:tcPr>
          <w:p>
            <w:pPr>
              <w:ind w:left="20"/>
              <w:spacing w:after="0"/>
              <w:rPr>
                <w:sz w:val="20"/>
                <w:szCs w:val="20"/>
                <w:color w:val="auto"/>
              </w:rPr>
            </w:pPr>
            <w:r>
              <w:rPr>
                <w:rFonts w:ascii="Arial" w:cs="Arial" w:eastAsia="Arial" w:hAnsi="Arial"/>
                <w:sz w:val="13"/>
                <w:szCs w:val="13"/>
                <w:b w:val="1"/>
                <w:bCs w:val="1"/>
                <w:color w:val="auto"/>
              </w:rPr>
              <w:t>Weighted Average Common Shares Outstanding, Basic</w:t>
            </w:r>
          </w:p>
        </w:tc>
        <w:tc>
          <w:tcPr>
            <w:tcW w:w="3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502</w:t>
            </w:r>
          </w:p>
        </w:tc>
        <w:tc>
          <w:tcPr>
            <w:tcW w:w="12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432</w:t>
            </w:r>
          </w:p>
        </w:tc>
        <w:tc>
          <w:tcPr>
            <w:tcW w:w="12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502</w:t>
            </w:r>
          </w:p>
        </w:tc>
        <w:tc>
          <w:tcPr>
            <w:tcW w:w="1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431</w:t>
            </w:r>
          </w:p>
        </w:tc>
      </w:tr>
      <w:tr>
        <w:trPr>
          <w:trHeight w:val="188"/>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Weighted Average Common Shares Outstanding, Diluted</w:t>
            </w:r>
          </w:p>
        </w:tc>
        <w:tc>
          <w:tcPr>
            <w:tcW w:w="38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505</w:t>
            </w:r>
          </w:p>
        </w:tc>
        <w:tc>
          <w:tcPr>
            <w:tcW w:w="12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435</w:t>
            </w:r>
          </w:p>
        </w:tc>
        <w:tc>
          <w:tcPr>
            <w:tcW w:w="12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505</w:t>
            </w:r>
          </w:p>
        </w:tc>
        <w:tc>
          <w:tcPr>
            <w:tcW w:w="12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435</w:t>
            </w:r>
          </w:p>
        </w:tc>
      </w:tr>
      <w:tr>
        <w:trPr>
          <w:trHeight w:val="20"/>
        </w:trPr>
        <w:tc>
          <w:tcPr>
            <w:tcW w:w="5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6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Combined Notes to Unaudited Condensed Consolidated Financial Statements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11460"/>
          </w:cols>
          <w:pgMar w:left="220" w:top="129" w:right="219" w:bottom="1440" w:gutter="0" w:footer="0" w:header="0"/>
        </w:sectPr>
      </w:pPr>
    </w:p>
    <w:bookmarkStart w:id="11" w:name="page12"/>
    <w:bookmarkEnd w:id="11"/>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2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CENTERPOINT ENERGY, INC. AND SUBSIDIARIES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CONDENSED STATEMENTS OF CONSOLIDATED COMPREHENSIVE INCOME</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5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20" w:type="dxa"/>
            <w:vAlign w:val="bottom"/>
            <w:gridSpan w:val="3"/>
          </w:tcPr>
          <w:p>
            <w:pPr>
              <w:jc w:val="right"/>
              <w:ind w:right="8"/>
              <w:spacing w:after="0"/>
              <w:rPr>
                <w:sz w:val="20"/>
                <w:szCs w:val="20"/>
                <w:color w:val="auto"/>
              </w:rPr>
            </w:pPr>
            <w:r>
              <w:rPr>
                <w:rFonts w:ascii="Arial" w:cs="Arial" w:eastAsia="Arial" w:hAnsi="Arial"/>
                <w:sz w:val="11"/>
                <w:szCs w:val="11"/>
                <w:b w:val="1"/>
                <w:bCs w:val="1"/>
                <w:color w:val="auto"/>
              </w:rPr>
              <w:t>Three Months Ended</w:t>
            </w: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700" w:type="dxa"/>
            <w:vAlign w:val="bottom"/>
            <w:gridSpan w:val="3"/>
          </w:tcPr>
          <w:p>
            <w:pPr>
              <w:jc w:val="right"/>
              <w:ind w:right="8"/>
              <w:spacing w:after="0"/>
              <w:rPr>
                <w:sz w:val="20"/>
                <w:szCs w:val="20"/>
                <w:color w:val="auto"/>
              </w:rPr>
            </w:pPr>
            <w:r>
              <w:rPr>
                <w:rFonts w:ascii="Arial" w:cs="Arial" w:eastAsia="Arial" w:hAnsi="Arial"/>
                <w:sz w:val="11"/>
                <w:szCs w:val="11"/>
                <w:b w:val="1"/>
                <w:bCs w:val="1"/>
                <w:color w:val="auto"/>
              </w:rPr>
              <w:t>Nine Months Ended</w:t>
            </w:r>
          </w:p>
        </w:tc>
        <w:tc>
          <w:tcPr>
            <w:tcW w:w="940" w:type="dxa"/>
            <w:vAlign w:val="bottom"/>
          </w:tcPr>
          <w:p>
            <w:pPr>
              <w:spacing w:after="0"/>
              <w:rPr>
                <w:sz w:val="12"/>
                <w:szCs w:val="12"/>
                <w:color w:val="auto"/>
              </w:rPr>
            </w:pPr>
          </w:p>
        </w:tc>
      </w:tr>
      <w:tr>
        <w:trPr>
          <w:trHeight w:val="220"/>
        </w:trPr>
        <w:tc>
          <w:tcPr>
            <w:tcW w:w="5160" w:type="dxa"/>
            <w:vAlign w:val="bottom"/>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3"/>
          </w:tcPr>
          <w:p>
            <w:pPr>
              <w:jc w:val="right"/>
              <w:ind w:right="188"/>
              <w:spacing w:after="0"/>
              <w:rPr>
                <w:sz w:val="20"/>
                <w:szCs w:val="20"/>
                <w:color w:val="auto"/>
              </w:rPr>
            </w:pPr>
            <w:r>
              <w:rPr>
                <w:rFonts w:ascii="Arial" w:cs="Arial" w:eastAsia="Arial" w:hAnsi="Arial"/>
                <w:sz w:val="11"/>
                <w:szCs w:val="11"/>
                <w:b w:val="1"/>
                <w:bCs w:val="1"/>
                <w:color w:val="auto"/>
              </w:rPr>
              <w:t>September 30,</w:t>
            </w:r>
          </w:p>
        </w:tc>
        <w:tc>
          <w:tcPr>
            <w:tcW w:w="9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3"/>
          </w:tcPr>
          <w:p>
            <w:pPr>
              <w:jc w:val="right"/>
              <w:ind w:right="148"/>
              <w:spacing w:after="0"/>
              <w:rPr>
                <w:sz w:val="20"/>
                <w:szCs w:val="20"/>
                <w:color w:val="auto"/>
              </w:rPr>
            </w:pPr>
            <w:r>
              <w:rPr>
                <w:rFonts w:ascii="Arial" w:cs="Arial" w:eastAsia="Arial" w:hAnsi="Arial"/>
                <w:sz w:val="11"/>
                <w:szCs w:val="11"/>
                <w:b w:val="1"/>
                <w:bCs w:val="1"/>
                <w:color w:val="auto"/>
              </w:rPr>
              <w:t>September 30,</w:t>
            </w:r>
          </w:p>
        </w:tc>
        <w:tc>
          <w:tcPr>
            <w:tcW w:w="940" w:type="dxa"/>
            <w:vAlign w:val="bottom"/>
            <w:tcBorders>
              <w:bottom w:val="single" w:sz="8" w:color="auto"/>
            </w:tcBorders>
          </w:tcPr>
          <w:p>
            <w:pPr>
              <w:spacing w:after="0"/>
              <w:rPr>
                <w:sz w:val="19"/>
                <w:szCs w:val="19"/>
                <w:color w:val="auto"/>
              </w:rPr>
            </w:pPr>
          </w:p>
        </w:tc>
      </w:tr>
      <w:tr>
        <w:trPr>
          <w:trHeight w:val="206"/>
        </w:trPr>
        <w:tc>
          <w:tcPr>
            <w:tcW w:w="5160" w:type="dxa"/>
            <w:vAlign w:val="bottom"/>
          </w:tcPr>
          <w:p>
            <w:pPr>
              <w:spacing w:after="0"/>
              <w:rPr>
                <w:sz w:val="17"/>
                <w:szCs w:val="17"/>
                <w:color w:val="auto"/>
              </w:rPr>
            </w:pPr>
          </w:p>
        </w:tc>
        <w:tc>
          <w:tcPr>
            <w:tcW w:w="960" w:type="dxa"/>
            <w:vAlign w:val="bottom"/>
            <w:tcBorders>
              <w:bottom w:val="single" w:sz="8" w:color="auto"/>
            </w:tcBorders>
          </w:tcPr>
          <w:p>
            <w:pPr>
              <w:jc w:val="right"/>
              <w:ind w:right="13"/>
              <w:spacing w:after="0"/>
              <w:rPr>
                <w:sz w:val="20"/>
                <w:szCs w:val="20"/>
                <w:color w:val="auto"/>
              </w:rPr>
            </w:pPr>
            <w:r>
              <w:rPr>
                <w:rFonts w:ascii="Arial" w:cs="Arial" w:eastAsia="Arial" w:hAnsi="Arial"/>
                <w:sz w:val="11"/>
                <w:szCs w:val="11"/>
                <w:b w:val="1"/>
                <w:bCs w:val="1"/>
                <w:color w:val="auto"/>
              </w:rPr>
              <w:t>2019</w:t>
            </w:r>
          </w:p>
        </w:tc>
        <w:tc>
          <w:tcPr>
            <w:tcW w:w="5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571"/>
              <w:spacing w:after="0"/>
              <w:rPr>
                <w:sz w:val="20"/>
                <w:szCs w:val="20"/>
                <w:color w:val="auto"/>
              </w:rPr>
            </w:pPr>
            <w:r>
              <w:rPr>
                <w:rFonts w:ascii="Arial" w:cs="Arial" w:eastAsia="Arial" w:hAnsi="Arial"/>
                <w:sz w:val="11"/>
                <w:szCs w:val="11"/>
                <w:b w:val="1"/>
                <w:bCs w:val="1"/>
                <w:color w:val="auto"/>
              </w:rPr>
              <w:t>2018</w:t>
            </w:r>
          </w:p>
        </w:tc>
        <w:tc>
          <w:tcPr>
            <w:tcW w:w="1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552"/>
              <w:spacing w:after="0"/>
              <w:rPr>
                <w:sz w:val="20"/>
                <w:szCs w:val="20"/>
                <w:color w:val="auto"/>
              </w:rPr>
            </w:pPr>
            <w:r>
              <w:rPr>
                <w:rFonts w:ascii="Arial" w:cs="Arial" w:eastAsia="Arial" w:hAnsi="Arial"/>
                <w:sz w:val="11"/>
                <w:szCs w:val="11"/>
                <w:b w:val="1"/>
                <w:bCs w:val="1"/>
                <w:color w:val="auto"/>
              </w:rPr>
              <w:t>2019</w:t>
            </w:r>
          </w:p>
        </w:tc>
        <w:tc>
          <w:tcPr>
            <w:tcW w:w="1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550"/>
              <w:spacing w:after="0"/>
              <w:rPr>
                <w:sz w:val="20"/>
                <w:szCs w:val="20"/>
                <w:color w:val="auto"/>
              </w:rPr>
            </w:pPr>
            <w:r>
              <w:rPr>
                <w:rFonts w:ascii="Arial" w:cs="Arial" w:eastAsia="Arial" w:hAnsi="Arial"/>
                <w:sz w:val="11"/>
                <w:szCs w:val="11"/>
                <w:b w:val="1"/>
                <w:bCs w:val="1"/>
                <w:color w:val="auto"/>
              </w:rPr>
              <w:t>2018</w:t>
            </w:r>
          </w:p>
        </w:tc>
      </w:tr>
      <w:tr>
        <w:trPr>
          <w:trHeight w:val="196"/>
        </w:trPr>
        <w:tc>
          <w:tcPr>
            <w:tcW w:w="5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80" w:type="dxa"/>
            <w:vAlign w:val="bottom"/>
            <w:gridSpan w:val="3"/>
          </w:tcPr>
          <w:p>
            <w:pPr>
              <w:jc w:val="right"/>
              <w:ind w:right="128"/>
              <w:spacing w:after="0"/>
              <w:rPr>
                <w:sz w:val="20"/>
                <w:szCs w:val="20"/>
                <w:color w:val="auto"/>
              </w:rPr>
            </w:pPr>
            <w:r>
              <w:rPr>
                <w:rFonts w:ascii="Arial" w:cs="Arial" w:eastAsia="Arial" w:hAnsi="Arial"/>
                <w:sz w:val="11"/>
                <w:szCs w:val="11"/>
                <w:b w:val="1"/>
                <w:bCs w:val="1"/>
                <w:color w:val="auto"/>
              </w:rPr>
              <w:t>(in millions)</w:t>
            </w: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20"/>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960" w:type="dxa"/>
            <w:vAlign w:val="bottom"/>
            <w:tcBorders>
              <w:bottom w:val="single" w:sz="8" w:color="CCEEFF"/>
            </w:tcBorders>
            <w:shd w:val="clear" w:color="auto" w:fill="CCEEFF"/>
          </w:tcPr>
          <w:p>
            <w:pPr>
              <w:jc w:val="right"/>
              <w:ind w:right="793"/>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270</w:t>
            </w:r>
          </w:p>
        </w:tc>
        <w:tc>
          <w:tcPr>
            <w:tcW w:w="12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jc w:val="right"/>
              <w:ind w:right="38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158</w:t>
            </w:r>
          </w:p>
        </w:tc>
        <w:tc>
          <w:tcPr>
            <w:tcW w:w="12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634</w:t>
            </w:r>
          </w:p>
        </w:tc>
        <w:tc>
          <w:tcPr>
            <w:tcW w:w="12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jc w:val="right"/>
              <w:ind w:right="368"/>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248</w:t>
            </w:r>
          </w:p>
        </w:tc>
      </w:tr>
      <w:tr>
        <w:trPr>
          <w:trHeight w:val="184"/>
        </w:trPr>
        <w:tc>
          <w:tcPr>
            <w:tcW w:w="5160" w:type="dxa"/>
            <w:vAlign w:val="bottom"/>
          </w:tcPr>
          <w:p>
            <w:pPr>
              <w:ind w:left="20"/>
              <w:spacing w:after="0"/>
              <w:rPr>
                <w:sz w:val="20"/>
                <w:szCs w:val="20"/>
                <w:color w:val="auto"/>
              </w:rPr>
            </w:pPr>
            <w:r>
              <w:rPr>
                <w:rFonts w:ascii="Arial" w:cs="Arial" w:eastAsia="Arial" w:hAnsi="Arial"/>
                <w:sz w:val="14"/>
                <w:szCs w:val="14"/>
                <w:color w:val="auto"/>
              </w:rPr>
              <w:t>Other comprehensive income (loss):</w:t>
            </w:r>
          </w:p>
        </w:tc>
        <w:tc>
          <w:tcPr>
            <w:tcW w:w="96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r>
      <w:tr>
        <w:trPr>
          <w:trHeight w:val="23"/>
        </w:trPr>
        <w:tc>
          <w:tcPr>
            <w:tcW w:w="5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96"/>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w w:val="94"/>
              </w:rPr>
              <w:t>Adjustment to pension and other postretirement plans (net of tax of $-0-, $1, $2 and $2)</w:t>
            </w:r>
          </w:p>
        </w:tc>
        <w:tc>
          <w:tcPr>
            <w:tcW w:w="96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2</w:t>
            </w:r>
          </w:p>
        </w:tc>
        <w:tc>
          <w:tcPr>
            <w:tcW w:w="1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1</w:t>
            </w:r>
          </w:p>
        </w:tc>
        <w:tc>
          <w:tcPr>
            <w:tcW w:w="12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5</w:t>
            </w:r>
          </w:p>
        </w:tc>
        <w:tc>
          <w:tcPr>
            <w:tcW w:w="12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4</w:t>
            </w:r>
          </w:p>
        </w:tc>
      </w:tr>
      <w:tr>
        <w:trPr>
          <w:trHeight w:val="193"/>
        </w:trPr>
        <w:tc>
          <w:tcPr>
            <w:tcW w:w="5160" w:type="dxa"/>
            <w:vAlign w:val="bottom"/>
          </w:tcPr>
          <w:p>
            <w:pPr>
              <w:ind w:left="20"/>
              <w:spacing w:after="0"/>
              <w:rPr>
                <w:sz w:val="20"/>
                <w:szCs w:val="20"/>
                <w:color w:val="auto"/>
              </w:rPr>
            </w:pPr>
            <w:r>
              <w:rPr>
                <w:rFonts w:ascii="Arial" w:cs="Arial" w:eastAsia="Arial" w:hAnsi="Arial"/>
                <w:sz w:val="14"/>
                <w:szCs w:val="14"/>
                <w:color w:val="auto"/>
              </w:rPr>
              <w:t>Net deferred gain (loss) from cash flow hedges (net of tax of $-0-, $1, $-0- and $2)</w:t>
            </w:r>
          </w:p>
        </w:tc>
        <w:tc>
          <w:tcPr>
            <w:tcW w:w="96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40" w:type="dxa"/>
            <w:vAlign w:val="bottom"/>
          </w:tcPr>
          <w:p>
            <w:pPr>
              <w:jc w:val="right"/>
              <w:ind w:right="51"/>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40" w:type="dxa"/>
            <w:vAlign w:val="bottom"/>
          </w:tcPr>
          <w:p>
            <w:pPr>
              <w:jc w:val="right"/>
              <w:ind w:right="30"/>
              <w:spacing w:after="0"/>
              <w:rPr>
                <w:sz w:val="20"/>
                <w:szCs w:val="20"/>
                <w:color w:val="auto"/>
              </w:rPr>
            </w:pPr>
            <w:r>
              <w:rPr>
                <w:rFonts w:ascii="Arial" w:cs="Arial" w:eastAsia="Arial" w:hAnsi="Arial"/>
                <w:sz w:val="14"/>
                <w:szCs w:val="14"/>
                <w:color w:val="auto"/>
              </w:rPr>
              <w:t>6</w:t>
            </w:r>
          </w:p>
        </w:tc>
      </w:tr>
      <w:tr>
        <w:trPr>
          <w:trHeight w:val="23"/>
        </w:trPr>
        <w:tc>
          <w:tcPr>
            <w:tcW w:w="5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83"/>
        </w:trPr>
        <w:tc>
          <w:tcPr>
            <w:tcW w:w="5160" w:type="dxa"/>
            <w:vAlign w:val="bottom"/>
            <w:shd w:val="clear" w:color="auto" w:fill="CCEEFF"/>
          </w:tcPr>
          <w:p>
            <w:pPr>
              <w:ind w:left="20"/>
              <w:spacing w:after="0"/>
              <w:rPr>
                <w:sz w:val="20"/>
                <w:szCs w:val="20"/>
                <w:color w:val="auto"/>
              </w:rPr>
            </w:pPr>
            <w:r>
              <w:rPr>
                <w:rFonts w:ascii="Arial" w:cs="Arial" w:eastAsia="Arial" w:hAnsi="Arial"/>
                <w:sz w:val="14"/>
                <w:szCs w:val="14"/>
                <w:color w:val="auto"/>
                <w:w w:val="97"/>
              </w:rPr>
              <w:t>Reclassification of deferred loss from cash flow hedges realized in net income (net of</w:t>
            </w:r>
          </w:p>
        </w:tc>
        <w:tc>
          <w:tcPr>
            <w:tcW w:w="9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r>
      <w:tr>
        <w:trPr>
          <w:trHeight w:val="185"/>
        </w:trPr>
        <w:tc>
          <w:tcPr>
            <w:tcW w:w="51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4"/>
                <w:szCs w:val="14"/>
                <w:color w:val="auto"/>
              </w:rPr>
              <w:t>tax of $-0-, $-0-, $-0- and $-0-)</w:t>
            </w:r>
          </w:p>
        </w:tc>
        <w:tc>
          <w:tcPr>
            <w:tcW w:w="96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1</w:t>
            </w:r>
          </w:p>
        </w:tc>
        <w:tc>
          <w:tcPr>
            <w:tcW w:w="12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r>
      <w:tr>
        <w:trPr>
          <w:trHeight w:val="183"/>
        </w:trPr>
        <w:tc>
          <w:tcPr>
            <w:tcW w:w="5160" w:type="dxa"/>
            <w:vAlign w:val="bottom"/>
          </w:tcPr>
          <w:p>
            <w:pPr>
              <w:ind w:left="20"/>
              <w:spacing w:after="0"/>
              <w:rPr>
                <w:sz w:val="20"/>
                <w:szCs w:val="20"/>
                <w:color w:val="auto"/>
              </w:rPr>
            </w:pPr>
            <w:r>
              <w:rPr>
                <w:rFonts w:ascii="Arial" w:cs="Arial" w:eastAsia="Arial" w:hAnsi="Arial"/>
                <w:sz w:val="14"/>
                <w:szCs w:val="14"/>
                <w:color w:val="auto"/>
                <w:w w:val="97"/>
              </w:rPr>
              <w:t>Other comprehensive loss from unconsolidated affiliates (net of tax of $-0-, $-0-, $-0-</w:t>
            </w:r>
          </w:p>
        </w:tc>
        <w:tc>
          <w:tcPr>
            <w:tcW w:w="9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2"/>
        </w:trPr>
        <w:tc>
          <w:tcPr>
            <w:tcW w:w="5160" w:type="dxa"/>
            <w:vAlign w:val="bottom"/>
          </w:tcPr>
          <w:p>
            <w:pPr>
              <w:ind w:left="160"/>
              <w:spacing w:after="0"/>
              <w:rPr>
                <w:sz w:val="20"/>
                <w:szCs w:val="20"/>
                <w:color w:val="auto"/>
              </w:rPr>
            </w:pPr>
            <w:r>
              <w:rPr>
                <w:rFonts w:ascii="Arial" w:cs="Arial" w:eastAsia="Arial" w:hAnsi="Arial"/>
                <w:sz w:val="14"/>
                <w:szCs w:val="14"/>
                <w:color w:val="auto"/>
              </w:rPr>
              <w:t>and $-0-)</w:t>
            </w:r>
          </w:p>
        </w:tc>
        <w:tc>
          <w:tcPr>
            <w:tcW w:w="9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40" w:type="dxa"/>
            <w:vAlign w:val="bottom"/>
          </w:tcPr>
          <w:p>
            <w:pPr>
              <w:jc w:val="right"/>
              <w:ind w:right="30"/>
              <w:spacing w:after="0"/>
              <w:rPr>
                <w:sz w:val="20"/>
                <w:szCs w:val="20"/>
                <w:color w:val="auto"/>
              </w:rPr>
            </w:pPr>
            <w:r>
              <w:rPr>
                <w:rFonts w:ascii="Arial" w:cs="Arial" w:eastAsia="Arial" w:hAnsi="Arial"/>
                <w:sz w:val="14"/>
                <w:szCs w:val="14"/>
                <w:color w:val="auto"/>
              </w:rPr>
              <w:t>—</w:t>
            </w:r>
          </w:p>
        </w:tc>
      </w:tr>
      <w:tr>
        <w:trPr>
          <w:trHeight w:val="23"/>
        </w:trPr>
        <w:tc>
          <w:tcPr>
            <w:tcW w:w="516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06"/>
        </w:trPr>
        <w:tc>
          <w:tcPr>
            <w:tcW w:w="51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4"/>
                <w:szCs w:val="14"/>
                <w:color w:val="auto"/>
              </w:rPr>
              <w:t>Total</w:t>
            </w:r>
          </w:p>
        </w:tc>
        <w:tc>
          <w:tcPr>
            <w:tcW w:w="96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4</w:t>
            </w:r>
          </w:p>
        </w:tc>
        <w:tc>
          <w:tcPr>
            <w:tcW w:w="12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1</w:t>
            </w:r>
          </w:p>
        </w:tc>
        <w:tc>
          <w:tcPr>
            <w:tcW w:w="12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10</w:t>
            </w:r>
          </w:p>
        </w:tc>
      </w:tr>
      <w:tr>
        <w:trPr>
          <w:trHeight w:val="200"/>
        </w:trPr>
        <w:tc>
          <w:tcPr>
            <w:tcW w:w="5160" w:type="dxa"/>
            <w:vAlign w:val="bottom"/>
          </w:tcPr>
          <w:p>
            <w:pPr>
              <w:ind w:left="20"/>
              <w:spacing w:after="0"/>
              <w:rPr>
                <w:sz w:val="20"/>
                <w:szCs w:val="20"/>
                <w:color w:val="auto"/>
              </w:rPr>
            </w:pPr>
            <w:r>
              <w:rPr>
                <w:rFonts w:ascii="Arial" w:cs="Arial" w:eastAsia="Arial" w:hAnsi="Arial"/>
                <w:sz w:val="14"/>
                <w:szCs w:val="14"/>
                <w:color w:val="auto"/>
              </w:rPr>
              <w:t>Comprehensive income</w:t>
            </w:r>
          </w:p>
        </w:tc>
        <w:tc>
          <w:tcPr>
            <w:tcW w:w="960" w:type="dxa"/>
            <w:vAlign w:val="bottom"/>
            <w:tcBorders>
              <w:top w:val="single" w:sz="8" w:color="auto"/>
              <w:bottom w:val="single" w:sz="8" w:color="auto"/>
            </w:tcBorders>
          </w:tcPr>
          <w:p>
            <w:pPr>
              <w:jc w:val="right"/>
              <w:ind w:right="793"/>
              <w:spacing w:after="0"/>
              <w:rPr>
                <w:sz w:val="20"/>
                <w:szCs w:val="20"/>
                <w:color w:val="auto"/>
              </w:rPr>
            </w:pPr>
            <w:r>
              <w:rPr>
                <w:rFonts w:ascii="Arial" w:cs="Arial" w:eastAsia="Arial" w:hAnsi="Arial"/>
                <w:sz w:val="14"/>
                <w:szCs w:val="14"/>
                <w:color w:val="auto"/>
              </w:rPr>
              <w:t>$</w:t>
            </w:r>
          </w:p>
        </w:tc>
        <w:tc>
          <w:tcPr>
            <w:tcW w:w="54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4"/>
                <w:szCs w:val="14"/>
                <w:color w:val="auto"/>
              </w:rPr>
              <w:t>268</w:t>
            </w:r>
          </w:p>
        </w:tc>
        <w:tc>
          <w:tcPr>
            <w:tcW w:w="120" w:type="dxa"/>
            <w:vAlign w:val="bottom"/>
          </w:tcPr>
          <w:p>
            <w:pPr>
              <w:spacing w:after="0"/>
              <w:rPr>
                <w:sz w:val="17"/>
                <w:szCs w:val="17"/>
                <w:color w:val="auto"/>
              </w:rPr>
            </w:pPr>
          </w:p>
        </w:tc>
        <w:tc>
          <w:tcPr>
            <w:tcW w:w="560" w:type="dxa"/>
            <w:vAlign w:val="bottom"/>
            <w:tcBorders>
              <w:top w:val="single" w:sz="8" w:color="auto"/>
              <w:bottom w:val="single" w:sz="8" w:color="auto"/>
            </w:tcBorders>
          </w:tcPr>
          <w:p>
            <w:pPr>
              <w:jc w:val="right"/>
              <w:ind w:right="38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4"/>
                <w:szCs w:val="14"/>
                <w:color w:val="auto"/>
              </w:rPr>
              <w:t>162</w:t>
            </w:r>
          </w:p>
        </w:tc>
        <w:tc>
          <w:tcPr>
            <w:tcW w:w="120" w:type="dxa"/>
            <w:vAlign w:val="bottom"/>
          </w:tcPr>
          <w:p>
            <w:pPr>
              <w:spacing w:after="0"/>
              <w:rPr>
                <w:sz w:val="17"/>
                <w:szCs w:val="17"/>
                <w:color w:val="auto"/>
              </w:rPr>
            </w:pPr>
          </w:p>
        </w:tc>
        <w:tc>
          <w:tcPr>
            <w:tcW w:w="420" w:type="dxa"/>
            <w:vAlign w:val="bottom"/>
            <w:tcBorders>
              <w:top w:val="single" w:sz="8" w:color="auto"/>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4"/>
                <w:szCs w:val="14"/>
                <w:color w:val="auto"/>
              </w:rPr>
              <w:t>635</w:t>
            </w:r>
          </w:p>
        </w:tc>
        <w:tc>
          <w:tcPr>
            <w:tcW w:w="120" w:type="dxa"/>
            <w:vAlign w:val="bottom"/>
          </w:tcPr>
          <w:p>
            <w:pPr>
              <w:spacing w:after="0"/>
              <w:rPr>
                <w:sz w:val="17"/>
                <w:szCs w:val="17"/>
                <w:color w:val="auto"/>
              </w:rPr>
            </w:pPr>
          </w:p>
        </w:tc>
        <w:tc>
          <w:tcPr>
            <w:tcW w:w="520" w:type="dxa"/>
            <w:vAlign w:val="bottom"/>
            <w:tcBorders>
              <w:top w:val="single" w:sz="8" w:color="auto"/>
              <w:bottom w:val="single" w:sz="8" w:color="auto"/>
            </w:tcBorders>
          </w:tcPr>
          <w:p>
            <w:pPr>
              <w:jc w:val="right"/>
              <w:ind w:right="368"/>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4"/>
                <w:szCs w:val="14"/>
                <w:color w:val="auto"/>
              </w:rPr>
              <w:t>258</w:t>
            </w:r>
          </w:p>
        </w:tc>
      </w:tr>
      <w:tr>
        <w:trPr>
          <w:trHeight w:val="20"/>
        </w:trPr>
        <w:tc>
          <w:tcPr>
            <w:tcW w:w="51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6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Combined Notes to Unaudited Condensed Consolidated Financial Statements</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460"/>
          </w:cols>
          <w:pgMar w:left="220" w:top="129" w:right="219" w:bottom="1440" w:gutter="0" w:footer="0" w:header="0"/>
        </w:sectPr>
      </w:pPr>
    </w:p>
    <w:bookmarkStart w:id="12" w:name="page13"/>
    <w:bookmarkEnd w:id="12"/>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CENTERPOINT ENERGY, INC. AND SUBSIDIARIES</w:t>
      </w:r>
    </w:p>
    <w:p>
      <w:pPr>
        <w:spacing w:after="0" w:line="25"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CONDENSED CONSOLIDATED BALANCE SHEETS</w:t>
      </w:r>
    </w:p>
    <w:p>
      <w:pPr>
        <w:spacing w:after="0" w:line="11"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(Unaudited)</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ASSETS</w:t>
      </w: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83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380" w:type="dxa"/>
            <w:vAlign w:val="bottom"/>
            <w:gridSpan w:val="2"/>
          </w:tcPr>
          <w:p>
            <w:pPr>
              <w:ind w:left="160"/>
              <w:spacing w:after="0"/>
              <w:rPr>
                <w:sz w:val="20"/>
                <w:szCs w:val="20"/>
                <w:color w:val="auto"/>
              </w:rPr>
            </w:pPr>
            <w:r>
              <w:rPr>
                <w:rFonts w:ascii="Arial" w:cs="Arial" w:eastAsia="Arial" w:hAnsi="Arial"/>
                <w:sz w:val="11"/>
                <w:szCs w:val="11"/>
                <w:b w:val="1"/>
                <w:bCs w:val="1"/>
                <w:color w:val="auto"/>
              </w:rPr>
              <w:t>September 30,</w:t>
            </w:r>
          </w:p>
        </w:tc>
        <w:tc>
          <w:tcPr>
            <w:tcW w:w="320" w:type="dxa"/>
            <w:vAlign w:val="bottom"/>
          </w:tcPr>
          <w:p>
            <w:pPr>
              <w:spacing w:after="0"/>
              <w:rPr>
                <w:sz w:val="10"/>
                <w:szCs w:val="10"/>
                <w:color w:val="auto"/>
              </w:rPr>
            </w:pPr>
          </w:p>
        </w:tc>
        <w:tc>
          <w:tcPr>
            <w:tcW w:w="1140" w:type="dxa"/>
            <w:vAlign w:val="bottom"/>
          </w:tcPr>
          <w:p>
            <w:pPr>
              <w:jc w:val="right"/>
              <w:ind w:right="329"/>
              <w:spacing w:after="0"/>
              <w:rPr>
                <w:sz w:val="20"/>
                <w:szCs w:val="20"/>
                <w:color w:val="auto"/>
              </w:rPr>
            </w:pPr>
            <w:r>
              <w:rPr>
                <w:rFonts w:ascii="Arial" w:cs="Arial" w:eastAsia="Arial" w:hAnsi="Arial"/>
                <w:sz w:val="11"/>
                <w:szCs w:val="11"/>
                <w:b w:val="1"/>
                <w:bCs w:val="1"/>
                <w:color w:val="auto"/>
              </w:rPr>
              <w:t>December 31,</w:t>
            </w:r>
          </w:p>
        </w:tc>
      </w:tr>
      <w:tr>
        <w:trPr>
          <w:trHeight w:val="153"/>
        </w:trPr>
        <w:tc>
          <w:tcPr>
            <w:tcW w:w="834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550"/>
              <w:spacing w:after="0"/>
              <w:rPr>
                <w:sz w:val="20"/>
                <w:szCs w:val="20"/>
                <w:color w:val="auto"/>
              </w:rPr>
            </w:pPr>
            <w:r>
              <w:rPr>
                <w:rFonts w:ascii="Arial" w:cs="Arial" w:eastAsia="Arial" w:hAnsi="Arial"/>
                <w:sz w:val="11"/>
                <w:szCs w:val="11"/>
                <w:b w:val="1"/>
                <w:bCs w:val="1"/>
                <w:color w:val="auto"/>
              </w:rPr>
              <w:t>2019</w:t>
            </w:r>
          </w:p>
        </w:tc>
        <w:tc>
          <w:tcPr>
            <w:tcW w:w="12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29"/>
              <w:spacing w:after="0"/>
              <w:rPr>
                <w:sz w:val="20"/>
                <w:szCs w:val="20"/>
                <w:color w:val="auto"/>
              </w:rPr>
            </w:pPr>
            <w:r>
              <w:rPr>
                <w:rFonts w:ascii="Arial" w:cs="Arial" w:eastAsia="Arial" w:hAnsi="Arial"/>
                <w:sz w:val="11"/>
                <w:szCs w:val="11"/>
                <w:b w:val="1"/>
                <w:bCs w:val="1"/>
                <w:color w:val="auto"/>
              </w:rPr>
              <w:t>2018</w:t>
            </w:r>
          </w:p>
        </w:tc>
      </w:tr>
      <w:tr>
        <w:trPr>
          <w:trHeight w:val="191"/>
        </w:trPr>
        <w:tc>
          <w:tcPr>
            <w:tcW w:w="8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00" w:type="dxa"/>
            <w:vAlign w:val="bottom"/>
            <w:gridSpan w:val="3"/>
          </w:tcPr>
          <w:p>
            <w:pPr>
              <w:jc w:val="right"/>
              <w:ind w:right="8"/>
              <w:spacing w:after="0"/>
              <w:rPr>
                <w:sz w:val="20"/>
                <w:szCs w:val="20"/>
                <w:color w:val="auto"/>
              </w:rPr>
            </w:pPr>
            <w:r>
              <w:rPr>
                <w:rFonts w:ascii="Arial" w:cs="Arial" w:eastAsia="Arial" w:hAnsi="Arial"/>
                <w:sz w:val="11"/>
                <w:szCs w:val="11"/>
                <w:b w:val="1"/>
                <w:bCs w:val="1"/>
                <w:color w:val="auto"/>
              </w:rPr>
              <w:t>(in millions)</w:t>
            </w:r>
          </w:p>
        </w:tc>
        <w:tc>
          <w:tcPr>
            <w:tcW w:w="1140" w:type="dxa"/>
            <w:vAlign w:val="bottom"/>
          </w:tcPr>
          <w:p>
            <w:pPr>
              <w:spacing w:after="0"/>
              <w:rPr>
                <w:sz w:val="16"/>
                <w:szCs w:val="16"/>
                <w:color w:val="auto"/>
              </w:rPr>
            </w:pPr>
          </w:p>
        </w:tc>
      </w:tr>
      <w:tr>
        <w:trPr>
          <w:trHeight w:val="202"/>
        </w:trPr>
        <w:tc>
          <w:tcPr>
            <w:tcW w:w="8340" w:type="dxa"/>
            <w:vAlign w:val="bottom"/>
          </w:tcPr>
          <w:p>
            <w:pPr>
              <w:ind w:left="20"/>
              <w:spacing w:after="0"/>
              <w:rPr>
                <w:sz w:val="20"/>
                <w:szCs w:val="20"/>
                <w:color w:val="auto"/>
              </w:rPr>
            </w:pPr>
            <w:r>
              <w:rPr>
                <w:rFonts w:ascii="Arial" w:cs="Arial" w:eastAsia="Arial" w:hAnsi="Arial"/>
                <w:sz w:val="14"/>
                <w:szCs w:val="14"/>
                <w:b w:val="1"/>
                <w:bCs w:val="1"/>
                <w:color w:val="auto"/>
              </w:rPr>
              <w:t>Current Assets:</w:t>
            </w: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3"/>
        </w:trPr>
        <w:tc>
          <w:tcPr>
            <w:tcW w:w="8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6"/>
        </w:trPr>
        <w:tc>
          <w:tcPr>
            <w:tcW w:w="83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Cash and cash equivalents ($224 and $335 related to VIEs, respectively)</w:t>
            </w:r>
          </w:p>
        </w:tc>
        <w:tc>
          <w:tcPr>
            <w:tcW w:w="24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259</w:t>
            </w:r>
          </w:p>
        </w:tc>
        <w:tc>
          <w:tcPr>
            <w:tcW w:w="1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4,231</w:t>
            </w:r>
          </w:p>
        </w:tc>
      </w:tr>
      <w:tr>
        <w:trPr>
          <w:trHeight w:val="193"/>
        </w:trPr>
        <w:tc>
          <w:tcPr>
            <w:tcW w:w="8340" w:type="dxa"/>
            <w:vAlign w:val="bottom"/>
          </w:tcPr>
          <w:p>
            <w:pPr>
              <w:ind w:left="100"/>
              <w:spacing w:after="0"/>
              <w:rPr>
                <w:sz w:val="20"/>
                <w:szCs w:val="20"/>
                <w:color w:val="auto"/>
              </w:rPr>
            </w:pPr>
            <w:r>
              <w:rPr>
                <w:rFonts w:ascii="Arial" w:cs="Arial" w:eastAsia="Arial" w:hAnsi="Arial"/>
                <w:sz w:val="14"/>
                <w:szCs w:val="14"/>
                <w:color w:val="auto"/>
              </w:rPr>
              <w:t>Investment in marketable securities</w:t>
            </w:r>
          </w:p>
        </w:tc>
        <w:tc>
          <w:tcPr>
            <w:tcW w:w="240" w:type="dxa"/>
            <w:vAlign w:val="bottom"/>
          </w:tcPr>
          <w:p>
            <w:pPr>
              <w:spacing w:after="0"/>
              <w:rPr>
                <w:sz w:val="16"/>
                <w:szCs w:val="16"/>
                <w:color w:val="auto"/>
              </w:rPr>
            </w:pPr>
          </w:p>
        </w:tc>
        <w:tc>
          <w:tcPr>
            <w:tcW w:w="1260" w:type="dxa"/>
            <w:vAlign w:val="bottom"/>
          </w:tcPr>
          <w:p>
            <w:pPr>
              <w:jc w:val="right"/>
              <w:ind w:right="50"/>
              <w:spacing w:after="0"/>
              <w:rPr>
                <w:sz w:val="20"/>
                <w:szCs w:val="20"/>
                <w:color w:val="auto"/>
              </w:rPr>
            </w:pPr>
            <w:r>
              <w:rPr>
                <w:rFonts w:ascii="Arial" w:cs="Arial" w:eastAsia="Arial" w:hAnsi="Arial"/>
                <w:sz w:val="14"/>
                <w:szCs w:val="14"/>
                <w:color w:val="auto"/>
              </w:rPr>
              <w:t>746</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jc w:val="right"/>
              <w:ind w:right="29"/>
              <w:spacing w:after="0"/>
              <w:rPr>
                <w:sz w:val="20"/>
                <w:szCs w:val="20"/>
                <w:color w:val="auto"/>
              </w:rPr>
            </w:pPr>
            <w:r>
              <w:rPr>
                <w:rFonts w:ascii="Arial" w:cs="Arial" w:eastAsia="Arial" w:hAnsi="Arial"/>
                <w:sz w:val="14"/>
                <w:szCs w:val="14"/>
                <w:color w:val="auto"/>
              </w:rPr>
              <w:t>540</w:t>
            </w:r>
          </w:p>
        </w:tc>
      </w:tr>
      <w:tr>
        <w:trPr>
          <w:trHeight w:val="23"/>
        </w:trPr>
        <w:tc>
          <w:tcPr>
            <w:tcW w:w="8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6"/>
        </w:trPr>
        <w:tc>
          <w:tcPr>
            <w:tcW w:w="83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Accounts receivable ($48 and $56 related to VIEs, respectively), less bad debt reserve of $21 and $18, respectively</w:t>
            </w:r>
          </w:p>
        </w:tc>
        <w:tc>
          <w:tcPr>
            <w:tcW w:w="24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1,091</w:t>
            </w:r>
          </w:p>
        </w:tc>
        <w:tc>
          <w:tcPr>
            <w:tcW w:w="1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1,190</w:t>
            </w:r>
          </w:p>
        </w:tc>
      </w:tr>
      <w:tr>
        <w:trPr>
          <w:trHeight w:val="193"/>
        </w:trPr>
        <w:tc>
          <w:tcPr>
            <w:tcW w:w="8340" w:type="dxa"/>
            <w:vAlign w:val="bottom"/>
          </w:tcPr>
          <w:p>
            <w:pPr>
              <w:ind w:left="100"/>
              <w:spacing w:after="0"/>
              <w:rPr>
                <w:sz w:val="20"/>
                <w:szCs w:val="20"/>
                <w:color w:val="auto"/>
              </w:rPr>
            </w:pPr>
            <w:r>
              <w:rPr>
                <w:rFonts w:ascii="Arial" w:cs="Arial" w:eastAsia="Arial" w:hAnsi="Arial"/>
                <w:sz w:val="14"/>
                <w:szCs w:val="14"/>
                <w:color w:val="auto"/>
              </w:rPr>
              <w:t>Accrued unbilled revenues</w:t>
            </w:r>
          </w:p>
        </w:tc>
        <w:tc>
          <w:tcPr>
            <w:tcW w:w="240" w:type="dxa"/>
            <w:vAlign w:val="bottom"/>
          </w:tcPr>
          <w:p>
            <w:pPr>
              <w:spacing w:after="0"/>
              <w:rPr>
                <w:sz w:val="16"/>
                <w:szCs w:val="16"/>
                <w:color w:val="auto"/>
              </w:rPr>
            </w:pPr>
          </w:p>
        </w:tc>
        <w:tc>
          <w:tcPr>
            <w:tcW w:w="1260" w:type="dxa"/>
            <w:vAlign w:val="bottom"/>
          </w:tcPr>
          <w:p>
            <w:pPr>
              <w:jc w:val="right"/>
              <w:ind w:right="50"/>
              <w:spacing w:after="0"/>
              <w:rPr>
                <w:sz w:val="20"/>
                <w:szCs w:val="20"/>
                <w:color w:val="auto"/>
              </w:rPr>
            </w:pPr>
            <w:r>
              <w:rPr>
                <w:rFonts w:ascii="Arial" w:cs="Arial" w:eastAsia="Arial" w:hAnsi="Arial"/>
                <w:sz w:val="14"/>
                <w:szCs w:val="14"/>
                <w:color w:val="auto"/>
              </w:rPr>
              <w:t>403</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jc w:val="right"/>
              <w:ind w:right="29"/>
              <w:spacing w:after="0"/>
              <w:rPr>
                <w:sz w:val="20"/>
                <w:szCs w:val="20"/>
                <w:color w:val="auto"/>
              </w:rPr>
            </w:pPr>
            <w:r>
              <w:rPr>
                <w:rFonts w:ascii="Arial" w:cs="Arial" w:eastAsia="Arial" w:hAnsi="Arial"/>
                <w:sz w:val="14"/>
                <w:szCs w:val="14"/>
                <w:color w:val="auto"/>
              </w:rPr>
              <w:t>378</w:t>
            </w:r>
          </w:p>
        </w:tc>
      </w:tr>
      <w:tr>
        <w:trPr>
          <w:trHeight w:val="23"/>
        </w:trPr>
        <w:tc>
          <w:tcPr>
            <w:tcW w:w="8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6"/>
        </w:trPr>
        <w:tc>
          <w:tcPr>
            <w:tcW w:w="83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Natural gas inventory</w:t>
            </w:r>
          </w:p>
        </w:tc>
        <w:tc>
          <w:tcPr>
            <w:tcW w:w="24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299</w:t>
            </w:r>
          </w:p>
        </w:tc>
        <w:tc>
          <w:tcPr>
            <w:tcW w:w="1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194</w:t>
            </w:r>
          </w:p>
        </w:tc>
      </w:tr>
      <w:tr>
        <w:trPr>
          <w:trHeight w:val="193"/>
        </w:trPr>
        <w:tc>
          <w:tcPr>
            <w:tcW w:w="8340" w:type="dxa"/>
            <w:vAlign w:val="bottom"/>
          </w:tcPr>
          <w:p>
            <w:pPr>
              <w:ind w:left="100"/>
              <w:spacing w:after="0"/>
              <w:rPr>
                <w:sz w:val="20"/>
                <w:szCs w:val="20"/>
                <w:color w:val="auto"/>
              </w:rPr>
            </w:pPr>
            <w:r>
              <w:rPr>
                <w:rFonts w:ascii="Arial" w:cs="Arial" w:eastAsia="Arial" w:hAnsi="Arial"/>
                <w:sz w:val="14"/>
                <w:szCs w:val="14"/>
                <w:color w:val="auto"/>
              </w:rPr>
              <w:t>Materials and supplies</w:t>
            </w:r>
          </w:p>
        </w:tc>
        <w:tc>
          <w:tcPr>
            <w:tcW w:w="240" w:type="dxa"/>
            <w:vAlign w:val="bottom"/>
          </w:tcPr>
          <w:p>
            <w:pPr>
              <w:spacing w:after="0"/>
              <w:rPr>
                <w:sz w:val="16"/>
                <w:szCs w:val="16"/>
                <w:color w:val="auto"/>
              </w:rPr>
            </w:pPr>
          </w:p>
        </w:tc>
        <w:tc>
          <w:tcPr>
            <w:tcW w:w="1260" w:type="dxa"/>
            <w:vAlign w:val="bottom"/>
          </w:tcPr>
          <w:p>
            <w:pPr>
              <w:jc w:val="right"/>
              <w:ind w:right="50"/>
              <w:spacing w:after="0"/>
              <w:rPr>
                <w:sz w:val="20"/>
                <w:szCs w:val="20"/>
                <w:color w:val="auto"/>
              </w:rPr>
            </w:pPr>
            <w:r>
              <w:rPr>
                <w:rFonts w:ascii="Arial" w:cs="Arial" w:eastAsia="Arial" w:hAnsi="Arial"/>
                <w:sz w:val="14"/>
                <w:szCs w:val="14"/>
                <w:color w:val="auto"/>
              </w:rPr>
              <w:t>273</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jc w:val="right"/>
              <w:ind w:right="29"/>
              <w:spacing w:after="0"/>
              <w:rPr>
                <w:sz w:val="20"/>
                <w:szCs w:val="20"/>
                <w:color w:val="auto"/>
              </w:rPr>
            </w:pPr>
            <w:r>
              <w:rPr>
                <w:rFonts w:ascii="Arial" w:cs="Arial" w:eastAsia="Arial" w:hAnsi="Arial"/>
                <w:sz w:val="14"/>
                <w:szCs w:val="14"/>
                <w:color w:val="auto"/>
              </w:rPr>
              <w:t>200</w:t>
            </w:r>
          </w:p>
        </w:tc>
      </w:tr>
      <w:tr>
        <w:trPr>
          <w:trHeight w:val="23"/>
        </w:trPr>
        <w:tc>
          <w:tcPr>
            <w:tcW w:w="8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6"/>
        </w:trPr>
        <w:tc>
          <w:tcPr>
            <w:tcW w:w="83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Non-trading derivative assets</w:t>
            </w:r>
          </w:p>
        </w:tc>
        <w:tc>
          <w:tcPr>
            <w:tcW w:w="24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120</w:t>
            </w:r>
          </w:p>
        </w:tc>
        <w:tc>
          <w:tcPr>
            <w:tcW w:w="1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100</w:t>
            </w:r>
          </w:p>
        </w:tc>
      </w:tr>
      <w:tr>
        <w:trPr>
          <w:trHeight w:val="193"/>
        </w:trPr>
        <w:tc>
          <w:tcPr>
            <w:tcW w:w="8340" w:type="dxa"/>
            <w:vAlign w:val="bottom"/>
          </w:tcPr>
          <w:p>
            <w:pPr>
              <w:ind w:left="100"/>
              <w:spacing w:after="0"/>
              <w:rPr>
                <w:sz w:val="20"/>
                <w:szCs w:val="20"/>
                <w:color w:val="auto"/>
              </w:rPr>
            </w:pPr>
            <w:r>
              <w:rPr>
                <w:rFonts w:ascii="Arial" w:cs="Arial" w:eastAsia="Arial" w:hAnsi="Arial"/>
                <w:sz w:val="14"/>
                <w:szCs w:val="14"/>
                <w:color w:val="auto"/>
              </w:rPr>
              <w:t>Taxes receivable</w:t>
            </w:r>
          </w:p>
        </w:tc>
        <w:tc>
          <w:tcPr>
            <w:tcW w:w="240" w:type="dxa"/>
            <w:vAlign w:val="bottom"/>
          </w:tcPr>
          <w:p>
            <w:pPr>
              <w:spacing w:after="0"/>
              <w:rPr>
                <w:sz w:val="16"/>
                <w:szCs w:val="16"/>
                <w:color w:val="auto"/>
              </w:rPr>
            </w:pPr>
          </w:p>
        </w:tc>
        <w:tc>
          <w:tcPr>
            <w:tcW w:w="1260" w:type="dxa"/>
            <w:vAlign w:val="bottom"/>
          </w:tcPr>
          <w:p>
            <w:pPr>
              <w:jc w:val="right"/>
              <w:ind w:right="50"/>
              <w:spacing w:after="0"/>
              <w:rPr>
                <w:sz w:val="20"/>
                <w:szCs w:val="20"/>
                <w:color w:val="auto"/>
              </w:rPr>
            </w:pPr>
            <w:r>
              <w:rPr>
                <w:rFonts w:ascii="Arial" w:cs="Arial" w:eastAsia="Arial" w:hAnsi="Arial"/>
                <w:sz w:val="14"/>
                <w:szCs w:val="14"/>
                <w:color w:val="auto"/>
              </w:rPr>
              <w:t>69</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jc w:val="right"/>
              <w:ind w:right="29"/>
              <w:spacing w:after="0"/>
              <w:rPr>
                <w:sz w:val="20"/>
                <w:szCs w:val="20"/>
                <w:color w:val="auto"/>
              </w:rPr>
            </w:pPr>
            <w:r>
              <w:rPr>
                <w:rFonts w:ascii="Arial" w:cs="Arial" w:eastAsia="Arial" w:hAnsi="Arial"/>
                <w:sz w:val="14"/>
                <w:szCs w:val="14"/>
                <w:color w:val="auto"/>
              </w:rPr>
              <w:t>—</w:t>
            </w:r>
          </w:p>
        </w:tc>
      </w:tr>
      <w:tr>
        <w:trPr>
          <w:trHeight w:val="23"/>
        </w:trPr>
        <w:tc>
          <w:tcPr>
            <w:tcW w:w="8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16"/>
        </w:trPr>
        <w:tc>
          <w:tcPr>
            <w:tcW w:w="83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Prepaid expenses and other current assets ($19 and $34 related to VIEs, respectively)</w:t>
            </w:r>
          </w:p>
        </w:tc>
        <w:tc>
          <w:tcPr>
            <w:tcW w:w="24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156</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192</w:t>
            </w:r>
          </w:p>
        </w:tc>
      </w:tr>
      <w:tr>
        <w:trPr>
          <w:trHeight w:val="184"/>
        </w:trPr>
        <w:tc>
          <w:tcPr>
            <w:tcW w:w="8340" w:type="dxa"/>
            <w:vAlign w:val="bottom"/>
          </w:tcPr>
          <w:p>
            <w:pPr>
              <w:ind w:left="400"/>
              <w:spacing w:after="0"/>
              <w:rPr>
                <w:sz w:val="20"/>
                <w:szCs w:val="20"/>
                <w:color w:val="auto"/>
              </w:rPr>
            </w:pPr>
            <w:r>
              <w:rPr>
                <w:rFonts w:ascii="Arial" w:cs="Arial" w:eastAsia="Arial" w:hAnsi="Arial"/>
                <w:sz w:val="14"/>
                <w:szCs w:val="14"/>
                <w:color w:val="auto"/>
              </w:rPr>
              <w:t>Total current assets</w:t>
            </w:r>
          </w:p>
        </w:tc>
        <w:tc>
          <w:tcPr>
            <w:tcW w:w="24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jc w:val="right"/>
              <w:ind w:right="50"/>
              <w:spacing w:after="0"/>
              <w:rPr>
                <w:sz w:val="20"/>
                <w:szCs w:val="20"/>
                <w:color w:val="auto"/>
              </w:rPr>
            </w:pPr>
            <w:r>
              <w:rPr>
                <w:rFonts w:ascii="Arial" w:cs="Arial" w:eastAsia="Arial" w:hAnsi="Arial"/>
                <w:sz w:val="14"/>
                <w:szCs w:val="14"/>
                <w:color w:val="auto"/>
              </w:rPr>
              <w:t>3,416</w:t>
            </w:r>
          </w:p>
        </w:tc>
        <w:tc>
          <w:tcPr>
            <w:tcW w:w="12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rPr>
              <w:t>7,025</w:t>
            </w:r>
          </w:p>
        </w:tc>
      </w:tr>
      <w:tr>
        <w:trPr>
          <w:trHeight w:val="23"/>
        </w:trPr>
        <w:tc>
          <w:tcPr>
            <w:tcW w:w="83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86"/>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Property, Plant and Equipment:</w:t>
            </w:r>
          </w:p>
        </w:tc>
        <w:tc>
          <w:tcPr>
            <w:tcW w:w="24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r>
      <w:tr>
        <w:trPr>
          <w:trHeight w:val="193"/>
        </w:trPr>
        <w:tc>
          <w:tcPr>
            <w:tcW w:w="8340" w:type="dxa"/>
            <w:vAlign w:val="bottom"/>
          </w:tcPr>
          <w:p>
            <w:pPr>
              <w:ind w:left="100"/>
              <w:spacing w:after="0"/>
              <w:rPr>
                <w:sz w:val="20"/>
                <w:szCs w:val="20"/>
                <w:color w:val="auto"/>
              </w:rPr>
            </w:pPr>
            <w:r>
              <w:rPr>
                <w:rFonts w:ascii="Arial" w:cs="Arial" w:eastAsia="Arial" w:hAnsi="Arial"/>
                <w:sz w:val="14"/>
                <w:szCs w:val="14"/>
                <w:color w:val="auto"/>
              </w:rPr>
              <w:t>Property, plant and equipment</w:t>
            </w:r>
          </w:p>
        </w:tc>
        <w:tc>
          <w:tcPr>
            <w:tcW w:w="240" w:type="dxa"/>
            <w:vAlign w:val="bottom"/>
          </w:tcPr>
          <w:p>
            <w:pPr>
              <w:spacing w:after="0"/>
              <w:rPr>
                <w:sz w:val="16"/>
                <w:szCs w:val="16"/>
                <w:color w:val="auto"/>
              </w:rPr>
            </w:pPr>
          </w:p>
        </w:tc>
        <w:tc>
          <w:tcPr>
            <w:tcW w:w="1260" w:type="dxa"/>
            <w:vAlign w:val="bottom"/>
          </w:tcPr>
          <w:p>
            <w:pPr>
              <w:jc w:val="right"/>
              <w:ind w:right="50"/>
              <w:spacing w:after="0"/>
              <w:rPr>
                <w:sz w:val="20"/>
                <w:szCs w:val="20"/>
                <w:color w:val="auto"/>
              </w:rPr>
            </w:pPr>
            <w:r>
              <w:rPr>
                <w:rFonts w:ascii="Arial" w:cs="Arial" w:eastAsia="Arial" w:hAnsi="Arial"/>
                <w:sz w:val="14"/>
                <w:szCs w:val="14"/>
                <w:color w:val="auto"/>
              </w:rPr>
              <w:t>30,066</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jc w:val="right"/>
              <w:ind w:right="29"/>
              <w:spacing w:after="0"/>
              <w:rPr>
                <w:sz w:val="20"/>
                <w:szCs w:val="20"/>
                <w:color w:val="auto"/>
              </w:rPr>
            </w:pPr>
            <w:r>
              <w:rPr>
                <w:rFonts w:ascii="Arial" w:cs="Arial" w:eastAsia="Arial" w:hAnsi="Arial"/>
                <w:sz w:val="14"/>
                <w:szCs w:val="14"/>
                <w:color w:val="auto"/>
              </w:rPr>
              <w:t>20,267</w:t>
            </w:r>
          </w:p>
        </w:tc>
      </w:tr>
      <w:tr>
        <w:trPr>
          <w:trHeight w:val="23"/>
        </w:trPr>
        <w:tc>
          <w:tcPr>
            <w:tcW w:w="8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16"/>
        </w:trPr>
        <w:tc>
          <w:tcPr>
            <w:tcW w:w="83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Less: accumulated depreciation and amortization</w:t>
            </w:r>
          </w:p>
        </w:tc>
        <w:tc>
          <w:tcPr>
            <w:tcW w:w="24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9,738</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6,223</w:t>
            </w:r>
          </w:p>
        </w:tc>
      </w:tr>
      <w:tr>
        <w:trPr>
          <w:trHeight w:val="184"/>
        </w:trPr>
        <w:tc>
          <w:tcPr>
            <w:tcW w:w="8340" w:type="dxa"/>
            <w:vAlign w:val="bottom"/>
          </w:tcPr>
          <w:p>
            <w:pPr>
              <w:ind w:left="400"/>
              <w:spacing w:after="0"/>
              <w:rPr>
                <w:sz w:val="20"/>
                <w:szCs w:val="20"/>
                <w:color w:val="auto"/>
              </w:rPr>
            </w:pPr>
            <w:r>
              <w:rPr>
                <w:rFonts w:ascii="Arial" w:cs="Arial" w:eastAsia="Arial" w:hAnsi="Arial"/>
                <w:sz w:val="14"/>
                <w:szCs w:val="14"/>
                <w:color w:val="auto"/>
              </w:rPr>
              <w:t>Property, plant and equipment, net</w:t>
            </w:r>
          </w:p>
        </w:tc>
        <w:tc>
          <w:tcPr>
            <w:tcW w:w="24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jc w:val="right"/>
              <w:ind w:right="50"/>
              <w:spacing w:after="0"/>
              <w:rPr>
                <w:sz w:val="20"/>
                <w:szCs w:val="20"/>
                <w:color w:val="auto"/>
              </w:rPr>
            </w:pPr>
            <w:r>
              <w:rPr>
                <w:rFonts w:ascii="Arial" w:cs="Arial" w:eastAsia="Arial" w:hAnsi="Arial"/>
                <w:sz w:val="14"/>
                <w:szCs w:val="14"/>
                <w:color w:val="auto"/>
              </w:rPr>
              <w:t>20,328</w:t>
            </w:r>
          </w:p>
        </w:tc>
        <w:tc>
          <w:tcPr>
            <w:tcW w:w="12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rPr>
              <w:t>14,044</w:t>
            </w:r>
          </w:p>
        </w:tc>
      </w:tr>
      <w:tr>
        <w:trPr>
          <w:trHeight w:val="23"/>
        </w:trPr>
        <w:tc>
          <w:tcPr>
            <w:tcW w:w="83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86"/>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Other Assets:</w:t>
            </w:r>
          </w:p>
        </w:tc>
        <w:tc>
          <w:tcPr>
            <w:tcW w:w="24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r>
      <w:tr>
        <w:trPr>
          <w:trHeight w:val="193"/>
        </w:trPr>
        <w:tc>
          <w:tcPr>
            <w:tcW w:w="8340" w:type="dxa"/>
            <w:vAlign w:val="bottom"/>
          </w:tcPr>
          <w:p>
            <w:pPr>
              <w:ind w:left="100"/>
              <w:spacing w:after="0"/>
              <w:rPr>
                <w:sz w:val="20"/>
                <w:szCs w:val="20"/>
                <w:color w:val="auto"/>
              </w:rPr>
            </w:pPr>
            <w:r>
              <w:rPr>
                <w:rFonts w:ascii="Arial" w:cs="Arial" w:eastAsia="Arial" w:hAnsi="Arial"/>
                <w:sz w:val="14"/>
                <w:szCs w:val="14"/>
                <w:color w:val="auto"/>
              </w:rPr>
              <w:t>Goodwill</w:t>
            </w:r>
          </w:p>
        </w:tc>
        <w:tc>
          <w:tcPr>
            <w:tcW w:w="240" w:type="dxa"/>
            <w:vAlign w:val="bottom"/>
          </w:tcPr>
          <w:p>
            <w:pPr>
              <w:spacing w:after="0"/>
              <w:rPr>
                <w:sz w:val="16"/>
                <w:szCs w:val="16"/>
                <w:color w:val="auto"/>
              </w:rPr>
            </w:pPr>
          </w:p>
        </w:tc>
        <w:tc>
          <w:tcPr>
            <w:tcW w:w="1260" w:type="dxa"/>
            <w:vAlign w:val="bottom"/>
          </w:tcPr>
          <w:p>
            <w:pPr>
              <w:jc w:val="right"/>
              <w:ind w:right="50"/>
              <w:spacing w:after="0"/>
              <w:rPr>
                <w:sz w:val="20"/>
                <w:szCs w:val="20"/>
                <w:color w:val="auto"/>
              </w:rPr>
            </w:pPr>
            <w:r>
              <w:rPr>
                <w:rFonts w:ascii="Arial" w:cs="Arial" w:eastAsia="Arial" w:hAnsi="Arial"/>
                <w:sz w:val="14"/>
                <w:szCs w:val="14"/>
                <w:color w:val="auto"/>
              </w:rPr>
              <w:t>5,179</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jc w:val="right"/>
              <w:ind w:right="29"/>
              <w:spacing w:after="0"/>
              <w:rPr>
                <w:sz w:val="20"/>
                <w:szCs w:val="20"/>
                <w:color w:val="auto"/>
              </w:rPr>
            </w:pPr>
            <w:r>
              <w:rPr>
                <w:rFonts w:ascii="Arial" w:cs="Arial" w:eastAsia="Arial" w:hAnsi="Arial"/>
                <w:sz w:val="14"/>
                <w:szCs w:val="14"/>
                <w:color w:val="auto"/>
              </w:rPr>
              <w:t>867</w:t>
            </w:r>
          </w:p>
        </w:tc>
      </w:tr>
      <w:tr>
        <w:trPr>
          <w:trHeight w:val="23"/>
        </w:trPr>
        <w:tc>
          <w:tcPr>
            <w:tcW w:w="8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6"/>
        </w:trPr>
        <w:tc>
          <w:tcPr>
            <w:tcW w:w="83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Regulatory assets ($821 and $1,059 related to VIEs, respectively)</w:t>
            </w:r>
          </w:p>
        </w:tc>
        <w:tc>
          <w:tcPr>
            <w:tcW w:w="24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2,194</w:t>
            </w:r>
          </w:p>
        </w:tc>
        <w:tc>
          <w:tcPr>
            <w:tcW w:w="1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1,967</w:t>
            </w:r>
          </w:p>
        </w:tc>
      </w:tr>
      <w:tr>
        <w:trPr>
          <w:trHeight w:val="193"/>
        </w:trPr>
        <w:tc>
          <w:tcPr>
            <w:tcW w:w="8340" w:type="dxa"/>
            <w:vAlign w:val="bottom"/>
          </w:tcPr>
          <w:p>
            <w:pPr>
              <w:ind w:left="100"/>
              <w:spacing w:after="0"/>
              <w:rPr>
                <w:sz w:val="20"/>
                <w:szCs w:val="20"/>
                <w:color w:val="auto"/>
              </w:rPr>
            </w:pPr>
            <w:r>
              <w:rPr>
                <w:rFonts w:ascii="Arial" w:cs="Arial" w:eastAsia="Arial" w:hAnsi="Arial"/>
                <w:sz w:val="14"/>
                <w:szCs w:val="14"/>
                <w:color w:val="auto"/>
              </w:rPr>
              <w:t>Non-trading derivative assets</w:t>
            </w:r>
          </w:p>
        </w:tc>
        <w:tc>
          <w:tcPr>
            <w:tcW w:w="240" w:type="dxa"/>
            <w:vAlign w:val="bottom"/>
          </w:tcPr>
          <w:p>
            <w:pPr>
              <w:spacing w:after="0"/>
              <w:rPr>
                <w:sz w:val="16"/>
                <w:szCs w:val="16"/>
                <w:color w:val="auto"/>
              </w:rPr>
            </w:pPr>
          </w:p>
        </w:tc>
        <w:tc>
          <w:tcPr>
            <w:tcW w:w="1260" w:type="dxa"/>
            <w:vAlign w:val="bottom"/>
          </w:tcPr>
          <w:p>
            <w:pPr>
              <w:jc w:val="right"/>
              <w:ind w:right="50"/>
              <w:spacing w:after="0"/>
              <w:rPr>
                <w:sz w:val="20"/>
                <w:szCs w:val="20"/>
                <w:color w:val="auto"/>
              </w:rPr>
            </w:pPr>
            <w:r>
              <w:rPr>
                <w:rFonts w:ascii="Arial" w:cs="Arial" w:eastAsia="Arial" w:hAnsi="Arial"/>
                <w:sz w:val="14"/>
                <w:szCs w:val="14"/>
                <w:color w:val="auto"/>
              </w:rPr>
              <w:t>64</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jc w:val="right"/>
              <w:ind w:right="29"/>
              <w:spacing w:after="0"/>
              <w:rPr>
                <w:sz w:val="20"/>
                <w:szCs w:val="20"/>
                <w:color w:val="auto"/>
              </w:rPr>
            </w:pPr>
            <w:r>
              <w:rPr>
                <w:rFonts w:ascii="Arial" w:cs="Arial" w:eastAsia="Arial" w:hAnsi="Arial"/>
                <w:sz w:val="14"/>
                <w:szCs w:val="14"/>
                <w:color w:val="auto"/>
              </w:rPr>
              <w:t>38</w:t>
            </w:r>
          </w:p>
        </w:tc>
      </w:tr>
      <w:tr>
        <w:trPr>
          <w:trHeight w:val="23"/>
        </w:trPr>
        <w:tc>
          <w:tcPr>
            <w:tcW w:w="8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6"/>
        </w:trPr>
        <w:tc>
          <w:tcPr>
            <w:tcW w:w="83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Investment in unconsolidated affiliates</w:t>
            </w:r>
          </w:p>
        </w:tc>
        <w:tc>
          <w:tcPr>
            <w:tcW w:w="24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2,469</w:t>
            </w:r>
          </w:p>
        </w:tc>
        <w:tc>
          <w:tcPr>
            <w:tcW w:w="1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2,482</w:t>
            </w:r>
          </w:p>
        </w:tc>
      </w:tr>
      <w:tr>
        <w:trPr>
          <w:trHeight w:val="193"/>
        </w:trPr>
        <w:tc>
          <w:tcPr>
            <w:tcW w:w="8340" w:type="dxa"/>
            <w:vAlign w:val="bottom"/>
          </w:tcPr>
          <w:p>
            <w:pPr>
              <w:ind w:left="100"/>
              <w:spacing w:after="0"/>
              <w:rPr>
                <w:sz w:val="20"/>
                <w:szCs w:val="20"/>
                <w:color w:val="auto"/>
              </w:rPr>
            </w:pPr>
            <w:r>
              <w:rPr>
                <w:rFonts w:ascii="Arial" w:cs="Arial" w:eastAsia="Arial" w:hAnsi="Arial"/>
                <w:sz w:val="14"/>
                <w:szCs w:val="14"/>
                <w:color w:val="auto"/>
              </w:rPr>
              <w:t>Preferred units – unconsolidated affiliate</w:t>
            </w:r>
          </w:p>
        </w:tc>
        <w:tc>
          <w:tcPr>
            <w:tcW w:w="240" w:type="dxa"/>
            <w:vAlign w:val="bottom"/>
          </w:tcPr>
          <w:p>
            <w:pPr>
              <w:spacing w:after="0"/>
              <w:rPr>
                <w:sz w:val="16"/>
                <w:szCs w:val="16"/>
                <w:color w:val="auto"/>
              </w:rPr>
            </w:pPr>
          </w:p>
        </w:tc>
        <w:tc>
          <w:tcPr>
            <w:tcW w:w="1260" w:type="dxa"/>
            <w:vAlign w:val="bottom"/>
          </w:tcPr>
          <w:p>
            <w:pPr>
              <w:jc w:val="right"/>
              <w:ind w:right="50"/>
              <w:spacing w:after="0"/>
              <w:rPr>
                <w:sz w:val="20"/>
                <w:szCs w:val="20"/>
                <w:color w:val="auto"/>
              </w:rPr>
            </w:pPr>
            <w:r>
              <w:rPr>
                <w:rFonts w:ascii="Arial" w:cs="Arial" w:eastAsia="Arial" w:hAnsi="Arial"/>
                <w:sz w:val="14"/>
                <w:szCs w:val="14"/>
                <w:color w:val="auto"/>
              </w:rPr>
              <w:t>363</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jc w:val="right"/>
              <w:ind w:right="29"/>
              <w:spacing w:after="0"/>
              <w:rPr>
                <w:sz w:val="20"/>
                <w:szCs w:val="20"/>
                <w:color w:val="auto"/>
              </w:rPr>
            </w:pPr>
            <w:r>
              <w:rPr>
                <w:rFonts w:ascii="Arial" w:cs="Arial" w:eastAsia="Arial" w:hAnsi="Arial"/>
                <w:sz w:val="14"/>
                <w:szCs w:val="14"/>
                <w:color w:val="auto"/>
              </w:rPr>
              <w:t>363</w:t>
            </w:r>
          </w:p>
        </w:tc>
      </w:tr>
      <w:tr>
        <w:trPr>
          <w:trHeight w:val="23"/>
        </w:trPr>
        <w:tc>
          <w:tcPr>
            <w:tcW w:w="8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6"/>
        </w:trPr>
        <w:tc>
          <w:tcPr>
            <w:tcW w:w="83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Intangible assets, net</w:t>
            </w:r>
          </w:p>
        </w:tc>
        <w:tc>
          <w:tcPr>
            <w:tcW w:w="24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356</w:t>
            </w:r>
          </w:p>
        </w:tc>
        <w:tc>
          <w:tcPr>
            <w:tcW w:w="1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65</w:t>
            </w:r>
          </w:p>
        </w:tc>
      </w:tr>
      <w:tr>
        <w:trPr>
          <w:trHeight w:val="193"/>
        </w:trPr>
        <w:tc>
          <w:tcPr>
            <w:tcW w:w="8340" w:type="dxa"/>
            <w:vAlign w:val="bottom"/>
          </w:tcPr>
          <w:p>
            <w:pPr>
              <w:ind w:left="100"/>
              <w:spacing w:after="0"/>
              <w:rPr>
                <w:sz w:val="20"/>
                <w:szCs w:val="20"/>
                <w:color w:val="auto"/>
              </w:rPr>
            </w:pPr>
            <w:r>
              <w:rPr>
                <w:rFonts w:ascii="Arial" w:cs="Arial" w:eastAsia="Arial" w:hAnsi="Arial"/>
                <w:sz w:val="14"/>
                <w:szCs w:val="14"/>
                <w:color w:val="auto"/>
              </w:rPr>
              <w:t>Other</w:t>
            </w:r>
          </w:p>
        </w:tc>
        <w:tc>
          <w:tcPr>
            <w:tcW w:w="240" w:type="dxa"/>
            <w:vAlign w:val="bottom"/>
          </w:tcPr>
          <w:p>
            <w:pPr>
              <w:spacing w:after="0"/>
              <w:rPr>
                <w:sz w:val="16"/>
                <w:szCs w:val="16"/>
                <w:color w:val="auto"/>
              </w:rPr>
            </w:pPr>
          </w:p>
        </w:tc>
        <w:tc>
          <w:tcPr>
            <w:tcW w:w="1260" w:type="dxa"/>
            <w:vAlign w:val="bottom"/>
          </w:tcPr>
          <w:p>
            <w:pPr>
              <w:jc w:val="right"/>
              <w:ind w:right="50"/>
              <w:spacing w:after="0"/>
              <w:rPr>
                <w:sz w:val="20"/>
                <w:szCs w:val="20"/>
                <w:color w:val="auto"/>
              </w:rPr>
            </w:pPr>
            <w:r>
              <w:rPr>
                <w:rFonts w:ascii="Arial" w:cs="Arial" w:eastAsia="Arial" w:hAnsi="Arial"/>
                <w:sz w:val="14"/>
                <w:szCs w:val="14"/>
                <w:color w:val="auto"/>
              </w:rPr>
              <w:t>273</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jc w:val="right"/>
              <w:ind w:right="29"/>
              <w:spacing w:after="0"/>
              <w:rPr>
                <w:sz w:val="20"/>
                <w:szCs w:val="20"/>
                <w:color w:val="auto"/>
              </w:rPr>
            </w:pPr>
            <w:r>
              <w:rPr>
                <w:rFonts w:ascii="Arial" w:cs="Arial" w:eastAsia="Arial" w:hAnsi="Arial"/>
                <w:sz w:val="14"/>
                <w:szCs w:val="14"/>
                <w:color w:val="auto"/>
              </w:rPr>
              <w:t>158</w:t>
            </w:r>
          </w:p>
        </w:tc>
      </w:tr>
      <w:tr>
        <w:trPr>
          <w:trHeight w:val="23"/>
        </w:trPr>
        <w:tc>
          <w:tcPr>
            <w:tcW w:w="83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06"/>
        </w:trPr>
        <w:tc>
          <w:tcPr>
            <w:tcW w:w="834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4"/>
                <w:szCs w:val="14"/>
                <w:color w:val="auto"/>
              </w:rPr>
              <w:t>Total other assets</w:t>
            </w:r>
          </w:p>
        </w:tc>
        <w:tc>
          <w:tcPr>
            <w:tcW w:w="24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10,898</w:t>
            </w:r>
          </w:p>
        </w:tc>
        <w:tc>
          <w:tcPr>
            <w:tcW w:w="1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5,940</w:t>
            </w:r>
          </w:p>
        </w:tc>
      </w:tr>
      <w:tr>
        <w:trPr>
          <w:trHeight w:val="200"/>
        </w:trPr>
        <w:tc>
          <w:tcPr>
            <w:tcW w:w="8340" w:type="dxa"/>
            <w:vAlign w:val="bottom"/>
          </w:tcPr>
          <w:p>
            <w:pPr>
              <w:ind w:left="560"/>
              <w:spacing w:after="0"/>
              <w:rPr>
                <w:sz w:val="20"/>
                <w:szCs w:val="20"/>
                <w:color w:val="auto"/>
              </w:rPr>
            </w:pPr>
            <w:r>
              <w:rPr>
                <w:rFonts w:ascii="Arial" w:cs="Arial" w:eastAsia="Arial" w:hAnsi="Arial"/>
                <w:sz w:val="14"/>
                <w:szCs w:val="14"/>
                <w:b w:val="1"/>
                <w:bCs w:val="1"/>
                <w:color w:val="auto"/>
              </w:rPr>
              <w:t>Total Assets</w:t>
            </w: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4"/>
                <w:szCs w:val="14"/>
                <w:color w:val="auto"/>
              </w:rPr>
              <w:t>34,642</w:t>
            </w:r>
          </w:p>
        </w:tc>
        <w:tc>
          <w:tcPr>
            <w:tcW w:w="120" w:type="dxa"/>
            <w:vAlign w:val="bottom"/>
          </w:tcPr>
          <w:p>
            <w:pPr>
              <w:spacing w:after="0"/>
              <w:rPr>
                <w:sz w:val="17"/>
                <w:szCs w:val="17"/>
                <w:color w:val="auto"/>
              </w:rPr>
            </w:pPr>
          </w:p>
        </w:tc>
        <w:tc>
          <w:tcPr>
            <w:tcW w:w="32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27,009</w:t>
            </w:r>
          </w:p>
        </w:tc>
      </w:tr>
      <w:tr>
        <w:trPr>
          <w:trHeight w:val="20"/>
        </w:trPr>
        <w:tc>
          <w:tcPr>
            <w:tcW w:w="8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See Combined Notes to Unaudited Condensed Consolidated Financial Statements</w:t>
      </w:r>
    </w:p>
    <w:p>
      <w:pPr>
        <w:spacing w:after="0" w:line="200" w:lineRule="exact"/>
        <w:rPr>
          <w:sz w:val="20"/>
          <w:szCs w:val="20"/>
          <w:color w:val="auto"/>
        </w:rPr>
      </w:pPr>
    </w:p>
    <w:p>
      <w:pPr>
        <w:spacing w:after="0" w:line="35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420"/>
          </w:cols>
          <w:pgMar w:left="220" w:top="129" w:right="259" w:bottom="1440" w:gutter="0" w:footer="0" w:header="0"/>
        </w:sectPr>
      </w:pPr>
    </w:p>
    <w:bookmarkStart w:id="13" w:name="page14"/>
    <w:bookmarkEnd w:id="13"/>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CENTERPOINT ENERGY, INC. AND SUBSIDIARIES</w:t>
      </w:r>
    </w:p>
    <w:p>
      <w:pPr>
        <w:spacing w:after="0" w:line="25"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CONDENSED CONSOLIDATED BALANCE SHEETS – (continued)</w:t>
      </w:r>
    </w:p>
    <w:p>
      <w:pPr>
        <w:spacing w:after="0" w:line="11"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(Unaudited)</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LIABILITIES AND SHAREHOLDERS’ EQUITY</w:t>
      </w: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83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380" w:type="dxa"/>
            <w:vAlign w:val="bottom"/>
            <w:gridSpan w:val="2"/>
          </w:tcPr>
          <w:p>
            <w:pPr>
              <w:ind w:left="160"/>
              <w:spacing w:after="0"/>
              <w:rPr>
                <w:sz w:val="20"/>
                <w:szCs w:val="20"/>
                <w:color w:val="auto"/>
              </w:rPr>
            </w:pPr>
            <w:r>
              <w:rPr>
                <w:rFonts w:ascii="Arial" w:cs="Arial" w:eastAsia="Arial" w:hAnsi="Arial"/>
                <w:sz w:val="11"/>
                <w:szCs w:val="11"/>
                <w:b w:val="1"/>
                <w:bCs w:val="1"/>
                <w:color w:val="auto"/>
              </w:rPr>
              <w:t>September 30,</w:t>
            </w:r>
          </w:p>
        </w:tc>
        <w:tc>
          <w:tcPr>
            <w:tcW w:w="240" w:type="dxa"/>
            <w:vAlign w:val="bottom"/>
          </w:tcPr>
          <w:p>
            <w:pPr>
              <w:spacing w:after="0"/>
              <w:rPr>
                <w:sz w:val="10"/>
                <w:szCs w:val="10"/>
                <w:color w:val="auto"/>
              </w:rPr>
            </w:pPr>
          </w:p>
        </w:tc>
        <w:tc>
          <w:tcPr>
            <w:tcW w:w="1220" w:type="dxa"/>
            <w:vAlign w:val="bottom"/>
          </w:tcPr>
          <w:p>
            <w:pPr>
              <w:jc w:val="right"/>
              <w:ind w:right="329"/>
              <w:spacing w:after="0"/>
              <w:rPr>
                <w:sz w:val="20"/>
                <w:szCs w:val="20"/>
                <w:color w:val="auto"/>
              </w:rPr>
            </w:pPr>
            <w:r>
              <w:rPr>
                <w:rFonts w:ascii="Arial" w:cs="Arial" w:eastAsia="Arial" w:hAnsi="Arial"/>
                <w:sz w:val="11"/>
                <w:szCs w:val="11"/>
                <w:b w:val="1"/>
                <w:bCs w:val="1"/>
                <w:color w:val="auto"/>
              </w:rPr>
              <w:t>December 31,</w:t>
            </w:r>
          </w:p>
        </w:tc>
      </w:tr>
      <w:tr>
        <w:trPr>
          <w:trHeight w:val="153"/>
        </w:trPr>
        <w:tc>
          <w:tcPr>
            <w:tcW w:w="834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550"/>
              <w:spacing w:after="0"/>
              <w:rPr>
                <w:sz w:val="20"/>
                <w:szCs w:val="20"/>
                <w:color w:val="auto"/>
              </w:rPr>
            </w:pPr>
            <w:r>
              <w:rPr>
                <w:rFonts w:ascii="Arial" w:cs="Arial" w:eastAsia="Arial" w:hAnsi="Arial"/>
                <w:sz w:val="11"/>
                <w:szCs w:val="11"/>
                <w:b w:val="1"/>
                <w:bCs w:val="1"/>
                <w:color w:val="auto"/>
              </w:rPr>
              <w:t>2019</w:t>
            </w:r>
          </w:p>
        </w:tc>
        <w:tc>
          <w:tcPr>
            <w:tcW w:w="1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529"/>
              <w:spacing w:after="0"/>
              <w:rPr>
                <w:sz w:val="20"/>
                <w:szCs w:val="20"/>
                <w:color w:val="auto"/>
              </w:rPr>
            </w:pPr>
            <w:r>
              <w:rPr>
                <w:rFonts w:ascii="Arial" w:cs="Arial" w:eastAsia="Arial" w:hAnsi="Arial"/>
                <w:sz w:val="11"/>
                <w:szCs w:val="11"/>
                <w:b w:val="1"/>
                <w:bCs w:val="1"/>
                <w:color w:val="auto"/>
              </w:rPr>
              <w:t>2018</w:t>
            </w:r>
          </w:p>
        </w:tc>
      </w:tr>
      <w:tr>
        <w:trPr>
          <w:trHeight w:val="191"/>
        </w:trPr>
        <w:tc>
          <w:tcPr>
            <w:tcW w:w="8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40" w:type="dxa"/>
            <w:vAlign w:val="bottom"/>
            <w:gridSpan w:val="4"/>
          </w:tcPr>
          <w:p>
            <w:pPr>
              <w:jc w:val="right"/>
              <w:ind w:right="589"/>
              <w:spacing w:after="0"/>
              <w:rPr>
                <w:sz w:val="20"/>
                <w:szCs w:val="20"/>
                <w:color w:val="auto"/>
              </w:rPr>
            </w:pPr>
            <w:r>
              <w:rPr>
                <w:rFonts w:ascii="Arial" w:cs="Arial" w:eastAsia="Arial" w:hAnsi="Arial"/>
                <w:sz w:val="11"/>
                <w:szCs w:val="11"/>
                <w:b w:val="1"/>
                <w:bCs w:val="1"/>
                <w:color w:val="auto"/>
              </w:rPr>
              <w:t>(in millions, except share amounts)</w:t>
            </w:r>
          </w:p>
        </w:tc>
      </w:tr>
      <w:tr>
        <w:trPr>
          <w:trHeight w:val="202"/>
        </w:trPr>
        <w:tc>
          <w:tcPr>
            <w:tcW w:w="8340" w:type="dxa"/>
            <w:vAlign w:val="bottom"/>
          </w:tcPr>
          <w:p>
            <w:pPr>
              <w:ind w:left="20"/>
              <w:spacing w:after="0"/>
              <w:rPr>
                <w:sz w:val="20"/>
                <w:szCs w:val="20"/>
                <w:color w:val="auto"/>
              </w:rPr>
            </w:pPr>
            <w:r>
              <w:rPr>
                <w:rFonts w:ascii="Arial" w:cs="Arial" w:eastAsia="Arial" w:hAnsi="Arial"/>
                <w:sz w:val="14"/>
                <w:szCs w:val="14"/>
                <w:b w:val="1"/>
                <w:bCs w:val="1"/>
                <w:color w:val="auto"/>
              </w:rPr>
              <w:t>Current Liabilities:</w:t>
            </w: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3"/>
        </w:trPr>
        <w:tc>
          <w:tcPr>
            <w:tcW w:w="8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96"/>
        </w:trPr>
        <w:tc>
          <w:tcPr>
            <w:tcW w:w="83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Current portion of VIE Securitization Bonds long-term debt</w:t>
            </w:r>
          </w:p>
        </w:tc>
        <w:tc>
          <w:tcPr>
            <w:tcW w:w="24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229</w:t>
            </w: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458</w:t>
            </w:r>
          </w:p>
        </w:tc>
      </w:tr>
      <w:tr>
        <w:trPr>
          <w:trHeight w:val="193"/>
        </w:trPr>
        <w:tc>
          <w:tcPr>
            <w:tcW w:w="8340" w:type="dxa"/>
            <w:vAlign w:val="bottom"/>
          </w:tcPr>
          <w:p>
            <w:pPr>
              <w:ind w:left="140"/>
              <w:spacing w:after="0"/>
              <w:rPr>
                <w:sz w:val="20"/>
                <w:szCs w:val="20"/>
                <w:color w:val="auto"/>
              </w:rPr>
            </w:pPr>
            <w:r>
              <w:rPr>
                <w:rFonts w:ascii="Arial" w:cs="Arial" w:eastAsia="Arial" w:hAnsi="Arial"/>
                <w:sz w:val="14"/>
                <w:szCs w:val="14"/>
                <w:color w:val="auto"/>
              </w:rPr>
              <w:t>Indexed debt, net</w:t>
            </w:r>
          </w:p>
        </w:tc>
        <w:tc>
          <w:tcPr>
            <w:tcW w:w="240" w:type="dxa"/>
            <w:vAlign w:val="bottom"/>
          </w:tcPr>
          <w:p>
            <w:pPr>
              <w:spacing w:after="0"/>
              <w:rPr>
                <w:sz w:val="16"/>
                <w:szCs w:val="16"/>
                <w:color w:val="auto"/>
              </w:rPr>
            </w:pPr>
          </w:p>
        </w:tc>
        <w:tc>
          <w:tcPr>
            <w:tcW w:w="1260" w:type="dxa"/>
            <w:vAlign w:val="bottom"/>
          </w:tcPr>
          <w:p>
            <w:pPr>
              <w:jc w:val="right"/>
              <w:ind w:right="50"/>
              <w:spacing w:after="0"/>
              <w:rPr>
                <w:sz w:val="20"/>
                <w:szCs w:val="20"/>
                <w:color w:val="auto"/>
              </w:rPr>
            </w:pPr>
            <w:r>
              <w:rPr>
                <w:rFonts w:ascii="Arial" w:cs="Arial" w:eastAsia="Arial" w:hAnsi="Arial"/>
                <w:sz w:val="14"/>
                <w:szCs w:val="14"/>
                <w:color w:val="auto"/>
              </w:rPr>
              <w:t>21</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jc w:val="right"/>
              <w:ind w:right="29"/>
              <w:spacing w:after="0"/>
              <w:rPr>
                <w:sz w:val="20"/>
                <w:szCs w:val="20"/>
                <w:color w:val="auto"/>
              </w:rPr>
            </w:pPr>
            <w:r>
              <w:rPr>
                <w:rFonts w:ascii="Arial" w:cs="Arial" w:eastAsia="Arial" w:hAnsi="Arial"/>
                <w:sz w:val="14"/>
                <w:szCs w:val="14"/>
                <w:color w:val="auto"/>
              </w:rPr>
              <w:t>24</w:t>
            </w:r>
          </w:p>
        </w:tc>
      </w:tr>
      <w:tr>
        <w:trPr>
          <w:trHeight w:val="23"/>
        </w:trPr>
        <w:tc>
          <w:tcPr>
            <w:tcW w:w="8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96"/>
        </w:trPr>
        <w:tc>
          <w:tcPr>
            <w:tcW w:w="83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Current portion of other long-term debt</w:t>
            </w:r>
          </w:p>
        </w:tc>
        <w:tc>
          <w:tcPr>
            <w:tcW w:w="24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618</w:t>
            </w: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r>
      <w:tr>
        <w:trPr>
          <w:trHeight w:val="193"/>
        </w:trPr>
        <w:tc>
          <w:tcPr>
            <w:tcW w:w="8340" w:type="dxa"/>
            <w:vAlign w:val="bottom"/>
          </w:tcPr>
          <w:p>
            <w:pPr>
              <w:ind w:left="140"/>
              <w:spacing w:after="0"/>
              <w:rPr>
                <w:sz w:val="20"/>
                <w:szCs w:val="20"/>
                <w:color w:val="auto"/>
              </w:rPr>
            </w:pPr>
            <w:r>
              <w:rPr>
                <w:rFonts w:ascii="Arial" w:cs="Arial" w:eastAsia="Arial" w:hAnsi="Arial"/>
                <w:sz w:val="14"/>
                <w:szCs w:val="14"/>
                <w:color w:val="auto"/>
              </w:rPr>
              <w:t>Indexed debt securities derivative</w:t>
            </w:r>
          </w:p>
        </w:tc>
        <w:tc>
          <w:tcPr>
            <w:tcW w:w="240" w:type="dxa"/>
            <w:vAlign w:val="bottom"/>
          </w:tcPr>
          <w:p>
            <w:pPr>
              <w:spacing w:after="0"/>
              <w:rPr>
                <w:sz w:val="16"/>
                <w:szCs w:val="16"/>
                <w:color w:val="auto"/>
              </w:rPr>
            </w:pPr>
          </w:p>
        </w:tc>
        <w:tc>
          <w:tcPr>
            <w:tcW w:w="1260" w:type="dxa"/>
            <w:vAlign w:val="bottom"/>
          </w:tcPr>
          <w:p>
            <w:pPr>
              <w:jc w:val="right"/>
              <w:ind w:right="50"/>
              <w:spacing w:after="0"/>
              <w:rPr>
                <w:sz w:val="20"/>
                <w:szCs w:val="20"/>
                <w:color w:val="auto"/>
              </w:rPr>
            </w:pPr>
            <w:r>
              <w:rPr>
                <w:rFonts w:ascii="Arial" w:cs="Arial" w:eastAsia="Arial" w:hAnsi="Arial"/>
                <w:sz w:val="14"/>
                <w:szCs w:val="14"/>
                <w:color w:val="auto"/>
              </w:rPr>
              <w:t>817</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jc w:val="right"/>
              <w:ind w:right="29"/>
              <w:spacing w:after="0"/>
              <w:rPr>
                <w:sz w:val="20"/>
                <w:szCs w:val="20"/>
                <w:color w:val="auto"/>
              </w:rPr>
            </w:pPr>
            <w:r>
              <w:rPr>
                <w:rFonts w:ascii="Arial" w:cs="Arial" w:eastAsia="Arial" w:hAnsi="Arial"/>
                <w:sz w:val="14"/>
                <w:szCs w:val="14"/>
                <w:color w:val="auto"/>
              </w:rPr>
              <w:t>601</w:t>
            </w:r>
          </w:p>
        </w:tc>
      </w:tr>
      <w:tr>
        <w:trPr>
          <w:trHeight w:val="23"/>
        </w:trPr>
        <w:tc>
          <w:tcPr>
            <w:tcW w:w="8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96"/>
        </w:trPr>
        <w:tc>
          <w:tcPr>
            <w:tcW w:w="83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Accounts payable</w:t>
            </w:r>
          </w:p>
        </w:tc>
        <w:tc>
          <w:tcPr>
            <w:tcW w:w="24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888</w:t>
            </w: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1,240</w:t>
            </w:r>
          </w:p>
        </w:tc>
      </w:tr>
      <w:tr>
        <w:trPr>
          <w:trHeight w:val="193"/>
        </w:trPr>
        <w:tc>
          <w:tcPr>
            <w:tcW w:w="8340" w:type="dxa"/>
            <w:vAlign w:val="bottom"/>
          </w:tcPr>
          <w:p>
            <w:pPr>
              <w:ind w:left="140"/>
              <w:spacing w:after="0"/>
              <w:rPr>
                <w:sz w:val="20"/>
                <w:szCs w:val="20"/>
                <w:color w:val="auto"/>
              </w:rPr>
            </w:pPr>
            <w:r>
              <w:rPr>
                <w:rFonts w:ascii="Arial" w:cs="Arial" w:eastAsia="Arial" w:hAnsi="Arial"/>
                <w:sz w:val="14"/>
                <w:szCs w:val="14"/>
                <w:color w:val="auto"/>
              </w:rPr>
              <w:t>Taxes accrued</w:t>
            </w:r>
          </w:p>
        </w:tc>
        <w:tc>
          <w:tcPr>
            <w:tcW w:w="240" w:type="dxa"/>
            <w:vAlign w:val="bottom"/>
          </w:tcPr>
          <w:p>
            <w:pPr>
              <w:spacing w:after="0"/>
              <w:rPr>
                <w:sz w:val="16"/>
                <w:szCs w:val="16"/>
                <w:color w:val="auto"/>
              </w:rPr>
            </w:pPr>
          </w:p>
        </w:tc>
        <w:tc>
          <w:tcPr>
            <w:tcW w:w="1260" w:type="dxa"/>
            <w:vAlign w:val="bottom"/>
          </w:tcPr>
          <w:p>
            <w:pPr>
              <w:jc w:val="right"/>
              <w:ind w:right="50"/>
              <w:spacing w:after="0"/>
              <w:rPr>
                <w:sz w:val="20"/>
                <w:szCs w:val="20"/>
                <w:color w:val="auto"/>
              </w:rPr>
            </w:pPr>
            <w:r>
              <w:rPr>
                <w:rFonts w:ascii="Arial" w:cs="Arial" w:eastAsia="Arial" w:hAnsi="Arial"/>
                <w:sz w:val="14"/>
                <w:szCs w:val="14"/>
                <w:color w:val="auto"/>
              </w:rPr>
              <w:t>193</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jc w:val="right"/>
              <w:ind w:right="29"/>
              <w:spacing w:after="0"/>
              <w:rPr>
                <w:sz w:val="20"/>
                <w:szCs w:val="20"/>
                <w:color w:val="auto"/>
              </w:rPr>
            </w:pPr>
            <w:r>
              <w:rPr>
                <w:rFonts w:ascii="Arial" w:cs="Arial" w:eastAsia="Arial" w:hAnsi="Arial"/>
                <w:sz w:val="14"/>
                <w:szCs w:val="14"/>
                <w:color w:val="auto"/>
              </w:rPr>
              <w:t>204</w:t>
            </w:r>
          </w:p>
        </w:tc>
      </w:tr>
      <w:tr>
        <w:trPr>
          <w:trHeight w:val="23"/>
        </w:trPr>
        <w:tc>
          <w:tcPr>
            <w:tcW w:w="8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96"/>
        </w:trPr>
        <w:tc>
          <w:tcPr>
            <w:tcW w:w="83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Interest accrued</w:t>
            </w:r>
          </w:p>
        </w:tc>
        <w:tc>
          <w:tcPr>
            <w:tcW w:w="24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121</w:t>
            </w: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121</w:t>
            </w:r>
          </w:p>
        </w:tc>
      </w:tr>
      <w:tr>
        <w:trPr>
          <w:trHeight w:val="193"/>
        </w:trPr>
        <w:tc>
          <w:tcPr>
            <w:tcW w:w="8340" w:type="dxa"/>
            <w:vAlign w:val="bottom"/>
          </w:tcPr>
          <w:p>
            <w:pPr>
              <w:ind w:left="140"/>
              <w:spacing w:after="0"/>
              <w:rPr>
                <w:sz w:val="20"/>
                <w:szCs w:val="20"/>
                <w:color w:val="auto"/>
              </w:rPr>
            </w:pPr>
            <w:r>
              <w:rPr>
                <w:rFonts w:ascii="Arial" w:cs="Arial" w:eastAsia="Arial" w:hAnsi="Arial"/>
                <w:sz w:val="14"/>
                <w:szCs w:val="14"/>
                <w:color w:val="auto"/>
              </w:rPr>
              <w:t>Dividends accrued</w:t>
            </w:r>
          </w:p>
        </w:tc>
        <w:tc>
          <w:tcPr>
            <w:tcW w:w="240" w:type="dxa"/>
            <w:vAlign w:val="bottom"/>
          </w:tcPr>
          <w:p>
            <w:pPr>
              <w:spacing w:after="0"/>
              <w:rPr>
                <w:sz w:val="16"/>
                <w:szCs w:val="16"/>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220" w:type="dxa"/>
            <w:vAlign w:val="bottom"/>
          </w:tcPr>
          <w:p>
            <w:pPr>
              <w:jc w:val="right"/>
              <w:ind w:right="29"/>
              <w:spacing w:after="0"/>
              <w:rPr>
                <w:sz w:val="20"/>
                <w:szCs w:val="20"/>
                <w:color w:val="auto"/>
              </w:rPr>
            </w:pPr>
            <w:r>
              <w:rPr>
                <w:rFonts w:ascii="Arial" w:cs="Arial" w:eastAsia="Arial" w:hAnsi="Arial"/>
                <w:sz w:val="14"/>
                <w:szCs w:val="14"/>
                <w:color w:val="auto"/>
              </w:rPr>
              <w:t>187</w:t>
            </w:r>
          </w:p>
        </w:tc>
      </w:tr>
      <w:tr>
        <w:trPr>
          <w:trHeight w:val="23"/>
        </w:trPr>
        <w:tc>
          <w:tcPr>
            <w:tcW w:w="8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96"/>
        </w:trPr>
        <w:tc>
          <w:tcPr>
            <w:tcW w:w="83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Customer deposits</w:t>
            </w:r>
          </w:p>
        </w:tc>
        <w:tc>
          <w:tcPr>
            <w:tcW w:w="24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122</w:t>
            </w: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86</w:t>
            </w:r>
          </w:p>
        </w:tc>
      </w:tr>
      <w:tr>
        <w:trPr>
          <w:trHeight w:val="193"/>
        </w:trPr>
        <w:tc>
          <w:tcPr>
            <w:tcW w:w="8340" w:type="dxa"/>
            <w:vAlign w:val="bottom"/>
          </w:tcPr>
          <w:p>
            <w:pPr>
              <w:ind w:left="140"/>
              <w:spacing w:after="0"/>
              <w:rPr>
                <w:sz w:val="20"/>
                <w:szCs w:val="20"/>
                <w:color w:val="auto"/>
              </w:rPr>
            </w:pPr>
            <w:r>
              <w:rPr>
                <w:rFonts w:ascii="Arial" w:cs="Arial" w:eastAsia="Arial" w:hAnsi="Arial"/>
                <w:sz w:val="14"/>
                <w:szCs w:val="14"/>
                <w:color w:val="auto"/>
              </w:rPr>
              <w:t>Non-trading derivative liabilities</w:t>
            </w:r>
          </w:p>
        </w:tc>
        <w:tc>
          <w:tcPr>
            <w:tcW w:w="240" w:type="dxa"/>
            <w:vAlign w:val="bottom"/>
          </w:tcPr>
          <w:p>
            <w:pPr>
              <w:spacing w:after="0"/>
              <w:rPr>
                <w:sz w:val="16"/>
                <w:szCs w:val="16"/>
                <w:color w:val="auto"/>
              </w:rPr>
            </w:pPr>
          </w:p>
        </w:tc>
        <w:tc>
          <w:tcPr>
            <w:tcW w:w="1260" w:type="dxa"/>
            <w:vAlign w:val="bottom"/>
          </w:tcPr>
          <w:p>
            <w:pPr>
              <w:jc w:val="right"/>
              <w:ind w:right="50"/>
              <w:spacing w:after="0"/>
              <w:rPr>
                <w:sz w:val="20"/>
                <w:szCs w:val="20"/>
                <w:color w:val="auto"/>
              </w:rPr>
            </w:pPr>
            <w:r>
              <w:rPr>
                <w:rFonts w:ascii="Arial" w:cs="Arial" w:eastAsia="Arial" w:hAnsi="Arial"/>
                <w:sz w:val="14"/>
                <w:szCs w:val="14"/>
                <w:color w:val="auto"/>
              </w:rPr>
              <w:t>50</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jc w:val="right"/>
              <w:ind w:right="29"/>
              <w:spacing w:after="0"/>
              <w:rPr>
                <w:sz w:val="20"/>
                <w:szCs w:val="20"/>
                <w:color w:val="auto"/>
              </w:rPr>
            </w:pPr>
            <w:r>
              <w:rPr>
                <w:rFonts w:ascii="Arial" w:cs="Arial" w:eastAsia="Arial" w:hAnsi="Arial"/>
                <w:sz w:val="14"/>
                <w:szCs w:val="14"/>
                <w:color w:val="auto"/>
              </w:rPr>
              <w:t>126</w:t>
            </w:r>
          </w:p>
        </w:tc>
      </w:tr>
      <w:tr>
        <w:trPr>
          <w:trHeight w:val="23"/>
        </w:trPr>
        <w:tc>
          <w:tcPr>
            <w:tcW w:w="8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216"/>
        </w:trPr>
        <w:tc>
          <w:tcPr>
            <w:tcW w:w="83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Other</w:t>
            </w:r>
          </w:p>
        </w:tc>
        <w:tc>
          <w:tcPr>
            <w:tcW w:w="24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375</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255</w:t>
            </w:r>
          </w:p>
        </w:tc>
      </w:tr>
      <w:tr>
        <w:trPr>
          <w:trHeight w:val="184"/>
        </w:trPr>
        <w:tc>
          <w:tcPr>
            <w:tcW w:w="8340" w:type="dxa"/>
            <w:vAlign w:val="bottom"/>
          </w:tcPr>
          <w:p>
            <w:pPr>
              <w:ind w:left="400"/>
              <w:spacing w:after="0"/>
              <w:rPr>
                <w:sz w:val="20"/>
                <w:szCs w:val="20"/>
                <w:color w:val="auto"/>
              </w:rPr>
            </w:pPr>
            <w:r>
              <w:rPr>
                <w:rFonts w:ascii="Arial" w:cs="Arial" w:eastAsia="Arial" w:hAnsi="Arial"/>
                <w:sz w:val="14"/>
                <w:szCs w:val="14"/>
                <w:color w:val="auto"/>
              </w:rPr>
              <w:t>Total current liabilities</w:t>
            </w:r>
          </w:p>
        </w:tc>
        <w:tc>
          <w:tcPr>
            <w:tcW w:w="24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jc w:val="right"/>
              <w:ind w:right="50"/>
              <w:spacing w:after="0"/>
              <w:rPr>
                <w:sz w:val="20"/>
                <w:szCs w:val="20"/>
                <w:color w:val="auto"/>
              </w:rPr>
            </w:pPr>
            <w:r>
              <w:rPr>
                <w:rFonts w:ascii="Arial" w:cs="Arial" w:eastAsia="Arial" w:hAnsi="Arial"/>
                <w:sz w:val="14"/>
                <w:szCs w:val="14"/>
                <w:color w:val="auto"/>
              </w:rPr>
              <w:t>3,434</w:t>
            </w:r>
          </w:p>
        </w:tc>
        <w:tc>
          <w:tcPr>
            <w:tcW w:w="12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rPr>
              <w:t>3,302</w:t>
            </w:r>
          </w:p>
        </w:tc>
      </w:tr>
      <w:tr>
        <w:trPr>
          <w:trHeight w:val="23"/>
        </w:trPr>
        <w:tc>
          <w:tcPr>
            <w:tcW w:w="83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176"/>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Other Liabilities:</w:t>
            </w:r>
          </w:p>
        </w:tc>
        <w:tc>
          <w:tcPr>
            <w:tcW w:w="24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spacing w:after="0"/>
              <w:rPr>
                <w:sz w:val="15"/>
                <w:szCs w:val="15"/>
                <w:color w:val="auto"/>
              </w:rPr>
            </w:pPr>
          </w:p>
        </w:tc>
      </w:tr>
      <w:tr>
        <w:trPr>
          <w:trHeight w:val="193"/>
        </w:trPr>
        <w:tc>
          <w:tcPr>
            <w:tcW w:w="8340" w:type="dxa"/>
            <w:vAlign w:val="bottom"/>
          </w:tcPr>
          <w:p>
            <w:pPr>
              <w:ind w:left="140"/>
              <w:spacing w:after="0"/>
              <w:rPr>
                <w:sz w:val="20"/>
                <w:szCs w:val="20"/>
                <w:color w:val="auto"/>
              </w:rPr>
            </w:pPr>
            <w:r>
              <w:rPr>
                <w:rFonts w:ascii="Arial" w:cs="Arial" w:eastAsia="Arial" w:hAnsi="Arial"/>
                <w:sz w:val="14"/>
                <w:szCs w:val="14"/>
                <w:color w:val="auto"/>
              </w:rPr>
              <w:t>Deferred income taxes, net</w:t>
            </w:r>
          </w:p>
        </w:tc>
        <w:tc>
          <w:tcPr>
            <w:tcW w:w="240" w:type="dxa"/>
            <w:vAlign w:val="bottom"/>
          </w:tcPr>
          <w:p>
            <w:pPr>
              <w:spacing w:after="0"/>
              <w:rPr>
                <w:sz w:val="16"/>
                <w:szCs w:val="16"/>
                <w:color w:val="auto"/>
              </w:rPr>
            </w:pPr>
          </w:p>
        </w:tc>
        <w:tc>
          <w:tcPr>
            <w:tcW w:w="1260" w:type="dxa"/>
            <w:vAlign w:val="bottom"/>
          </w:tcPr>
          <w:p>
            <w:pPr>
              <w:jc w:val="right"/>
              <w:ind w:right="50"/>
              <w:spacing w:after="0"/>
              <w:rPr>
                <w:sz w:val="20"/>
                <w:szCs w:val="20"/>
                <w:color w:val="auto"/>
              </w:rPr>
            </w:pPr>
            <w:r>
              <w:rPr>
                <w:rFonts w:ascii="Arial" w:cs="Arial" w:eastAsia="Arial" w:hAnsi="Arial"/>
                <w:sz w:val="14"/>
                <w:szCs w:val="14"/>
                <w:color w:val="auto"/>
              </w:rPr>
              <w:t>3,851</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jc w:val="right"/>
              <w:ind w:right="29"/>
              <w:spacing w:after="0"/>
              <w:rPr>
                <w:sz w:val="20"/>
                <w:szCs w:val="20"/>
                <w:color w:val="auto"/>
              </w:rPr>
            </w:pPr>
            <w:r>
              <w:rPr>
                <w:rFonts w:ascii="Arial" w:cs="Arial" w:eastAsia="Arial" w:hAnsi="Arial"/>
                <w:sz w:val="14"/>
                <w:szCs w:val="14"/>
                <w:color w:val="auto"/>
              </w:rPr>
              <w:t>3,239</w:t>
            </w:r>
          </w:p>
        </w:tc>
      </w:tr>
      <w:tr>
        <w:trPr>
          <w:trHeight w:val="23"/>
        </w:trPr>
        <w:tc>
          <w:tcPr>
            <w:tcW w:w="8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96"/>
        </w:trPr>
        <w:tc>
          <w:tcPr>
            <w:tcW w:w="83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Non-trading derivative liabilities</w:t>
            </w:r>
          </w:p>
        </w:tc>
        <w:tc>
          <w:tcPr>
            <w:tcW w:w="24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32</w:t>
            </w: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5</w:t>
            </w:r>
          </w:p>
        </w:tc>
      </w:tr>
      <w:tr>
        <w:trPr>
          <w:trHeight w:val="193"/>
        </w:trPr>
        <w:tc>
          <w:tcPr>
            <w:tcW w:w="8340" w:type="dxa"/>
            <w:vAlign w:val="bottom"/>
          </w:tcPr>
          <w:p>
            <w:pPr>
              <w:ind w:left="140"/>
              <w:spacing w:after="0"/>
              <w:rPr>
                <w:sz w:val="20"/>
                <w:szCs w:val="20"/>
                <w:color w:val="auto"/>
              </w:rPr>
            </w:pPr>
            <w:r>
              <w:rPr>
                <w:rFonts w:ascii="Arial" w:cs="Arial" w:eastAsia="Arial" w:hAnsi="Arial"/>
                <w:sz w:val="14"/>
                <w:szCs w:val="14"/>
                <w:color w:val="auto"/>
              </w:rPr>
              <w:t>Benefit obligations</w:t>
            </w:r>
          </w:p>
        </w:tc>
        <w:tc>
          <w:tcPr>
            <w:tcW w:w="240" w:type="dxa"/>
            <w:vAlign w:val="bottom"/>
          </w:tcPr>
          <w:p>
            <w:pPr>
              <w:spacing w:after="0"/>
              <w:rPr>
                <w:sz w:val="16"/>
                <w:szCs w:val="16"/>
                <w:color w:val="auto"/>
              </w:rPr>
            </w:pPr>
          </w:p>
        </w:tc>
        <w:tc>
          <w:tcPr>
            <w:tcW w:w="1260" w:type="dxa"/>
            <w:vAlign w:val="bottom"/>
          </w:tcPr>
          <w:p>
            <w:pPr>
              <w:jc w:val="right"/>
              <w:ind w:right="50"/>
              <w:spacing w:after="0"/>
              <w:rPr>
                <w:sz w:val="20"/>
                <w:szCs w:val="20"/>
                <w:color w:val="auto"/>
              </w:rPr>
            </w:pPr>
            <w:r>
              <w:rPr>
                <w:rFonts w:ascii="Arial" w:cs="Arial" w:eastAsia="Arial" w:hAnsi="Arial"/>
                <w:sz w:val="14"/>
                <w:szCs w:val="14"/>
                <w:color w:val="auto"/>
              </w:rPr>
              <w:t>812</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jc w:val="right"/>
              <w:ind w:right="29"/>
              <w:spacing w:after="0"/>
              <w:rPr>
                <w:sz w:val="20"/>
                <w:szCs w:val="20"/>
                <w:color w:val="auto"/>
              </w:rPr>
            </w:pPr>
            <w:r>
              <w:rPr>
                <w:rFonts w:ascii="Arial" w:cs="Arial" w:eastAsia="Arial" w:hAnsi="Arial"/>
                <w:sz w:val="14"/>
                <w:szCs w:val="14"/>
                <w:color w:val="auto"/>
              </w:rPr>
              <w:t>796</w:t>
            </w:r>
          </w:p>
        </w:tc>
      </w:tr>
      <w:tr>
        <w:trPr>
          <w:trHeight w:val="23"/>
        </w:trPr>
        <w:tc>
          <w:tcPr>
            <w:tcW w:w="8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96"/>
        </w:trPr>
        <w:tc>
          <w:tcPr>
            <w:tcW w:w="83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Regulatory liabilities</w:t>
            </w:r>
          </w:p>
        </w:tc>
        <w:tc>
          <w:tcPr>
            <w:tcW w:w="24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3,481</w:t>
            </w: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2,525</w:t>
            </w:r>
          </w:p>
        </w:tc>
      </w:tr>
      <w:tr>
        <w:trPr>
          <w:trHeight w:val="193"/>
        </w:trPr>
        <w:tc>
          <w:tcPr>
            <w:tcW w:w="8340" w:type="dxa"/>
            <w:vAlign w:val="bottom"/>
          </w:tcPr>
          <w:p>
            <w:pPr>
              <w:ind w:left="140"/>
              <w:spacing w:after="0"/>
              <w:rPr>
                <w:sz w:val="20"/>
                <w:szCs w:val="20"/>
                <w:color w:val="auto"/>
              </w:rPr>
            </w:pPr>
            <w:r>
              <w:rPr>
                <w:rFonts w:ascii="Arial" w:cs="Arial" w:eastAsia="Arial" w:hAnsi="Arial"/>
                <w:sz w:val="14"/>
                <w:szCs w:val="14"/>
                <w:color w:val="auto"/>
              </w:rPr>
              <w:t>Other</w:t>
            </w:r>
          </w:p>
        </w:tc>
        <w:tc>
          <w:tcPr>
            <w:tcW w:w="240" w:type="dxa"/>
            <w:vAlign w:val="bottom"/>
          </w:tcPr>
          <w:p>
            <w:pPr>
              <w:spacing w:after="0"/>
              <w:rPr>
                <w:sz w:val="16"/>
                <w:szCs w:val="16"/>
                <w:color w:val="auto"/>
              </w:rPr>
            </w:pPr>
          </w:p>
        </w:tc>
        <w:tc>
          <w:tcPr>
            <w:tcW w:w="1260" w:type="dxa"/>
            <w:vAlign w:val="bottom"/>
          </w:tcPr>
          <w:p>
            <w:pPr>
              <w:jc w:val="right"/>
              <w:ind w:right="50"/>
              <w:spacing w:after="0"/>
              <w:rPr>
                <w:sz w:val="20"/>
                <w:szCs w:val="20"/>
                <w:color w:val="auto"/>
              </w:rPr>
            </w:pPr>
            <w:r>
              <w:rPr>
                <w:rFonts w:ascii="Arial" w:cs="Arial" w:eastAsia="Arial" w:hAnsi="Arial"/>
                <w:sz w:val="14"/>
                <w:szCs w:val="14"/>
                <w:color w:val="auto"/>
              </w:rPr>
              <w:t>672</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jc w:val="right"/>
              <w:ind w:right="29"/>
              <w:spacing w:after="0"/>
              <w:rPr>
                <w:sz w:val="20"/>
                <w:szCs w:val="20"/>
                <w:color w:val="auto"/>
              </w:rPr>
            </w:pPr>
            <w:r>
              <w:rPr>
                <w:rFonts w:ascii="Arial" w:cs="Arial" w:eastAsia="Arial" w:hAnsi="Arial"/>
                <w:sz w:val="14"/>
                <w:szCs w:val="14"/>
                <w:color w:val="auto"/>
              </w:rPr>
              <w:t>402</w:t>
            </w:r>
          </w:p>
        </w:tc>
      </w:tr>
      <w:tr>
        <w:trPr>
          <w:trHeight w:val="23"/>
        </w:trPr>
        <w:tc>
          <w:tcPr>
            <w:tcW w:w="83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06"/>
        </w:trPr>
        <w:tc>
          <w:tcPr>
            <w:tcW w:w="834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4"/>
                <w:szCs w:val="14"/>
                <w:color w:val="auto"/>
              </w:rPr>
              <w:t>Total other liabilities</w:t>
            </w:r>
          </w:p>
        </w:tc>
        <w:tc>
          <w:tcPr>
            <w:tcW w:w="24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8,848</w:t>
            </w: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6,967</w:t>
            </w:r>
          </w:p>
        </w:tc>
      </w:tr>
      <w:tr>
        <w:trPr>
          <w:trHeight w:val="173"/>
        </w:trPr>
        <w:tc>
          <w:tcPr>
            <w:tcW w:w="8340" w:type="dxa"/>
            <w:vAlign w:val="bottom"/>
          </w:tcPr>
          <w:p>
            <w:pPr>
              <w:ind w:left="20"/>
              <w:spacing w:after="0"/>
              <w:rPr>
                <w:sz w:val="20"/>
                <w:szCs w:val="20"/>
                <w:color w:val="auto"/>
              </w:rPr>
            </w:pPr>
            <w:r>
              <w:rPr>
                <w:rFonts w:ascii="Arial" w:cs="Arial" w:eastAsia="Arial" w:hAnsi="Arial"/>
                <w:sz w:val="14"/>
                <w:szCs w:val="14"/>
                <w:b w:val="1"/>
                <w:bCs w:val="1"/>
                <w:color w:val="auto"/>
              </w:rPr>
              <w:t>Long-term Debt:</w:t>
            </w:r>
          </w:p>
        </w:tc>
        <w:tc>
          <w:tcPr>
            <w:tcW w:w="24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spacing w:after="0"/>
              <w:rPr>
                <w:sz w:val="15"/>
                <w:szCs w:val="15"/>
                <w:color w:val="auto"/>
              </w:rPr>
            </w:pPr>
          </w:p>
        </w:tc>
      </w:tr>
      <w:tr>
        <w:trPr>
          <w:trHeight w:val="23"/>
        </w:trPr>
        <w:tc>
          <w:tcPr>
            <w:tcW w:w="8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96"/>
        </w:trPr>
        <w:tc>
          <w:tcPr>
            <w:tcW w:w="83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VIE Securitization Bonds, net</w:t>
            </w:r>
          </w:p>
        </w:tc>
        <w:tc>
          <w:tcPr>
            <w:tcW w:w="24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817</w:t>
            </w: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977</w:t>
            </w:r>
          </w:p>
        </w:tc>
      </w:tr>
      <w:tr>
        <w:trPr>
          <w:trHeight w:val="193"/>
        </w:trPr>
        <w:tc>
          <w:tcPr>
            <w:tcW w:w="8340" w:type="dxa"/>
            <w:vAlign w:val="bottom"/>
          </w:tcPr>
          <w:p>
            <w:pPr>
              <w:ind w:left="140"/>
              <w:spacing w:after="0"/>
              <w:rPr>
                <w:sz w:val="20"/>
                <w:szCs w:val="20"/>
                <w:color w:val="auto"/>
              </w:rPr>
            </w:pPr>
            <w:r>
              <w:rPr>
                <w:rFonts w:ascii="Arial" w:cs="Arial" w:eastAsia="Arial" w:hAnsi="Arial"/>
                <w:sz w:val="14"/>
                <w:szCs w:val="14"/>
                <w:color w:val="auto"/>
              </w:rPr>
              <w:t>Other long-term debt, net</w:t>
            </w:r>
          </w:p>
        </w:tc>
        <w:tc>
          <w:tcPr>
            <w:tcW w:w="240" w:type="dxa"/>
            <w:vAlign w:val="bottom"/>
          </w:tcPr>
          <w:p>
            <w:pPr>
              <w:spacing w:after="0"/>
              <w:rPr>
                <w:sz w:val="16"/>
                <w:szCs w:val="16"/>
                <w:color w:val="auto"/>
              </w:rPr>
            </w:pPr>
          </w:p>
        </w:tc>
        <w:tc>
          <w:tcPr>
            <w:tcW w:w="1260" w:type="dxa"/>
            <w:vAlign w:val="bottom"/>
          </w:tcPr>
          <w:p>
            <w:pPr>
              <w:jc w:val="right"/>
              <w:ind w:right="50"/>
              <w:spacing w:after="0"/>
              <w:rPr>
                <w:sz w:val="20"/>
                <w:szCs w:val="20"/>
                <w:color w:val="auto"/>
              </w:rPr>
            </w:pPr>
            <w:r>
              <w:rPr>
                <w:rFonts w:ascii="Arial" w:cs="Arial" w:eastAsia="Arial" w:hAnsi="Arial"/>
                <w:sz w:val="14"/>
                <w:szCs w:val="14"/>
                <w:color w:val="auto"/>
              </w:rPr>
              <w:t>13,197</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jc w:val="right"/>
              <w:ind w:right="29"/>
              <w:spacing w:after="0"/>
              <w:rPr>
                <w:sz w:val="20"/>
                <w:szCs w:val="20"/>
                <w:color w:val="auto"/>
              </w:rPr>
            </w:pPr>
            <w:r>
              <w:rPr>
                <w:rFonts w:ascii="Arial" w:cs="Arial" w:eastAsia="Arial" w:hAnsi="Arial"/>
                <w:sz w:val="14"/>
                <w:szCs w:val="14"/>
                <w:color w:val="auto"/>
              </w:rPr>
              <w:t>7,705</w:t>
            </w:r>
          </w:p>
        </w:tc>
      </w:tr>
      <w:tr>
        <w:trPr>
          <w:trHeight w:val="23"/>
        </w:trPr>
        <w:tc>
          <w:tcPr>
            <w:tcW w:w="83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06"/>
        </w:trPr>
        <w:tc>
          <w:tcPr>
            <w:tcW w:w="834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4"/>
                <w:szCs w:val="14"/>
                <w:color w:val="auto"/>
              </w:rPr>
              <w:t>Total long-term debt, net</w:t>
            </w:r>
          </w:p>
        </w:tc>
        <w:tc>
          <w:tcPr>
            <w:tcW w:w="24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14,014</w:t>
            </w: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8,682</w:t>
            </w:r>
          </w:p>
        </w:tc>
      </w:tr>
      <w:tr>
        <w:trPr>
          <w:trHeight w:val="173"/>
        </w:trPr>
        <w:tc>
          <w:tcPr>
            <w:tcW w:w="8340" w:type="dxa"/>
            <w:vAlign w:val="bottom"/>
          </w:tcPr>
          <w:p>
            <w:pPr>
              <w:ind w:left="20"/>
              <w:spacing w:after="0"/>
              <w:rPr>
                <w:sz w:val="20"/>
                <w:szCs w:val="20"/>
                <w:color w:val="auto"/>
              </w:rPr>
            </w:pPr>
            <w:r>
              <w:rPr>
                <w:rFonts w:ascii="Arial" w:cs="Arial" w:eastAsia="Arial" w:hAnsi="Arial"/>
                <w:sz w:val="14"/>
                <w:szCs w:val="14"/>
                <w:b w:val="1"/>
                <w:bCs w:val="1"/>
                <w:color w:val="auto"/>
              </w:rPr>
              <w:t>Commitments and Contingencies (Note 14)</w:t>
            </w:r>
          </w:p>
        </w:tc>
        <w:tc>
          <w:tcPr>
            <w:tcW w:w="24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spacing w:after="0"/>
              <w:rPr>
                <w:sz w:val="15"/>
                <w:szCs w:val="15"/>
                <w:color w:val="auto"/>
              </w:rPr>
            </w:pPr>
          </w:p>
        </w:tc>
      </w:tr>
      <w:tr>
        <w:trPr>
          <w:trHeight w:val="23"/>
        </w:trPr>
        <w:tc>
          <w:tcPr>
            <w:tcW w:w="8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96"/>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Shareholders’ Equity:</w:t>
            </w:r>
          </w:p>
        </w:tc>
        <w:tc>
          <w:tcPr>
            <w:tcW w:w="24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spacing w:after="0"/>
              <w:rPr>
                <w:sz w:val="17"/>
                <w:szCs w:val="17"/>
                <w:color w:val="auto"/>
              </w:rPr>
            </w:pPr>
          </w:p>
        </w:tc>
      </w:tr>
      <w:tr>
        <w:trPr>
          <w:trHeight w:val="193"/>
        </w:trPr>
        <w:tc>
          <w:tcPr>
            <w:tcW w:w="8340" w:type="dxa"/>
            <w:vAlign w:val="bottom"/>
          </w:tcPr>
          <w:p>
            <w:pPr>
              <w:ind w:left="140"/>
              <w:spacing w:after="0"/>
              <w:rPr>
                <w:sz w:val="20"/>
                <w:szCs w:val="20"/>
                <w:color w:val="auto"/>
              </w:rPr>
            </w:pPr>
            <w:r>
              <w:rPr>
                <w:rFonts w:ascii="Arial" w:cs="Arial" w:eastAsia="Arial" w:hAnsi="Arial"/>
                <w:sz w:val="14"/>
                <w:szCs w:val="14"/>
                <w:color w:val="auto"/>
              </w:rPr>
              <w:t>Cumulative preferred stock, $0.01 par value, 20,000,000 shares authorized</w:t>
            </w:r>
          </w:p>
        </w:tc>
        <w:tc>
          <w:tcPr>
            <w:tcW w:w="2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3"/>
        </w:trPr>
        <w:tc>
          <w:tcPr>
            <w:tcW w:w="8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96"/>
        </w:trPr>
        <w:tc>
          <w:tcPr>
            <w:tcW w:w="83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4"/>
                <w:szCs w:val="14"/>
                <w:color w:val="auto"/>
              </w:rPr>
              <w:t>Series A Preferred Stock, $0.01 par value, $800 aggregate liquidation preference, 800,000 shares outstanding</w:t>
            </w:r>
          </w:p>
        </w:tc>
        <w:tc>
          <w:tcPr>
            <w:tcW w:w="24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790</w:t>
            </w: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790</w:t>
            </w:r>
          </w:p>
        </w:tc>
      </w:tr>
      <w:tr>
        <w:trPr>
          <w:trHeight w:val="193"/>
        </w:trPr>
        <w:tc>
          <w:tcPr>
            <w:tcW w:w="8340" w:type="dxa"/>
            <w:vAlign w:val="bottom"/>
          </w:tcPr>
          <w:p>
            <w:pPr>
              <w:ind w:left="260"/>
              <w:spacing w:after="0"/>
              <w:rPr>
                <w:sz w:val="20"/>
                <w:szCs w:val="20"/>
                <w:color w:val="auto"/>
              </w:rPr>
            </w:pPr>
            <w:r>
              <w:rPr>
                <w:rFonts w:ascii="Arial" w:cs="Arial" w:eastAsia="Arial" w:hAnsi="Arial"/>
                <w:sz w:val="14"/>
                <w:szCs w:val="14"/>
                <w:color w:val="auto"/>
              </w:rPr>
              <w:t>Series B Preferred Stock, $0.01 par value, $978 aggregate liquidation preference, 977,500 shares outstanding</w:t>
            </w:r>
          </w:p>
        </w:tc>
        <w:tc>
          <w:tcPr>
            <w:tcW w:w="240" w:type="dxa"/>
            <w:vAlign w:val="bottom"/>
          </w:tcPr>
          <w:p>
            <w:pPr>
              <w:spacing w:after="0"/>
              <w:rPr>
                <w:sz w:val="16"/>
                <w:szCs w:val="16"/>
                <w:color w:val="auto"/>
              </w:rPr>
            </w:pPr>
          </w:p>
        </w:tc>
        <w:tc>
          <w:tcPr>
            <w:tcW w:w="1260" w:type="dxa"/>
            <w:vAlign w:val="bottom"/>
          </w:tcPr>
          <w:p>
            <w:pPr>
              <w:jc w:val="right"/>
              <w:ind w:right="50"/>
              <w:spacing w:after="0"/>
              <w:rPr>
                <w:sz w:val="20"/>
                <w:szCs w:val="20"/>
                <w:color w:val="auto"/>
              </w:rPr>
            </w:pPr>
            <w:r>
              <w:rPr>
                <w:rFonts w:ascii="Arial" w:cs="Arial" w:eastAsia="Arial" w:hAnsi="Arial"/>
                <w:sz w:val="14"/>
                <w:szCs w:val="14"/>
                <w:color w:val="auto"/>
              </w:rPr>
              <w:t>950</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jc w:val="right"/>
              <w:ind w:right="29"/>
              <w:spacing w:after="0"/>
              <w:rPr>
                <w:sz w:val="20"/>
                <w:szCs w:val="20"/>
                <w:color w:val="auto"/>
              </w:rPr>
            </w:pPr>
            <w:r>
              <w:rPr>
                <w:rFonts w:ascii="Arial" w:cs="Arial" w:eastAsia="Arial" w:hAnsi="Arial"/>
                <w:sz w:val="14"/>
                <w:szCs w:val="14"/>
                <w:color w:val="auto"/>
              </w:rPr>
              <w:t>950</w:t>
            </w:r>
          </w:p>
        </w:tc>
      </w:tr>
      <w:tr>
        <w:trPr>
          <w:trHeight w:val="23"/>
        </w:trPr>
        <w:tc>
          <w:tcPr>
            <w:tcW w:w="8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96"/>
        </w:trPr>
        <w:tc>
          <w:tcPr>
            <w:tcW w:w="83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w w:val="95"/>
              </w:rPr>
              <w:t>Common stock, $0.01 par value, 1,000,000,000 shares authorized, 502,235,354 shares and 501,197,784 shares outstanding, respectively</w:t>
            </w:r>
          </w:p>
        </w:tc>
        <w:tc>
          <w:tcPr>
            <w:tcW w:w="24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5</w:t>
            </w: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5</w:t>
            </w:r>
          </w:p>
        </w:tc>
      </w:tr>
      <w:tr>
        <w:trPr>
          <w:trHeight w:val="193"/>
        </w:trPr>
        <w:tc>
          <w:tcPr>
            <w:tcW w:w="8340" w:type="dxa"/>
            <w:vAlign w:val="bottom"/>
          </w:tcPr>
          <w:p>
            <w:pPr>
              <w:ind w:left="140"/>
              <w:spacing w:after="0"/>
              <w:rPr>
                <w:sz w:val="20"/>
                <w:szCs w:val="20"/>
                <w:color w:val="auto"/>
              </w:rPr>
            </w:pPr>
            <w:r>
              <w:rPr>
                <w:rFonts w:ascii="Arial" w:cs="Arial" w:eastAsia="Arial" w:hAnsi="Arial"/>
                <w:sz w:val="14"/>
                <w:szCs w:val="14"/>
                <w:color w:val="auto"/>
              </w:rPr>
              <w:t>Additional paid-in capital</w:t>
            </w:r>
          </w:p>
        </w:tc>
        <w:tc>
          <w:tcPr>
            <w:tcW w:w="240" w:type="dxa"/>
            <w:vAlign w:val="bottom"/>
          </w:tcPr>
          <w:p>
            <w:pPr>
              <w:spacing w:after="0"/>
              <w:rPr>
                <w:sz w:val="16"/>
                <w:szCs w:val="16"/>
                <w:color w:val="auto"/>
              </w:rPr>
            </w:pPr>
          </w:p>
        </w:tc>
        <w:tc>
          <w:tcPr>
            <w:tcW w:w="1260" w:type="dxa"/>
            <w:vAlign w:val="bottom"/>
          </w:tcPr>
          <w:p>
            <w:pPr>
              <w:jc w:val="right"/>
              <w:ind w:right="50"/>
              <w:spacing w:after="0"/>
              <w:rPr>
                <w:sz w:val="20"/>
                <w:szCs w:val="20"/>
                <w:color w:val="auto"/>
              </w:rPr>
            </w:pPr>
            <w:r>
              <w:rPr>
                <w:rFonts w:ascii="Arial" w:cs="Arial" w:eastAsia="Arial" w:hAnsi="Arial"/>
                <w:sz w:val="14"/>
                <w:szCs w:val="14"/>
                <w:color w:val="auto"/>
              </w:rPr>
              <w:t>6,072</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jc w:val="right"/>
              <w:ind w:right="29"/>
              <w:spacing w:after="0"/>
              <w:rPr>
                <w:sz w:val="20"/>
                <w:szCs w:val="20"/>
                <w:color w:val="auto"/>
              </w:rPr>
            </w:pPr>
            <w:r>
              <w:rPr>
                <w:rFonts w:ascii="Arial" w:cs="Arial" w:eastAsia="Arial" w:hAnsi="Arial"/>
                <w:sz w:val="14"/>
                <w:szCs w:val="14"/>
                <w:color w:val="auto"/>
              </w:rPr>
              <w:t>6,072</w:t>
            </w:r>
          </w:p>
        </w:tc>
      </w:tr>
      <w:tr>
        <w:trPr>
          <w:trHeight w:val="23"/>
        </w:trPr>
        <w:tc>
          <w:tcPr>
            <w:tcW w:w="8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96"/>
        </w:trPr>
        <w:tc>
          <w:tcPr>
            <w:tcW w:w="83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Retained earnings</w:t>
            </w:r>
          </w:p>
        </w:tc>
        <w:tc>
          <w:tcPr>
            <w:tcW w:w="24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636</w:t>
            </w: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349</w:t>
            </w:r>
          </w:p>
        </w:tc>
      </w:tr>
      <w:tr>
        <w:trPr>
          <w:trHeight w:val="193"/>
        </w:trPr>
        <w:tc>
          <w:tcPr>
            <w:tcW w:w="8340" w:type="dxa"/>
            <w:vAlign w:val="bottom"/>
          </w:tcPr>
          <w:p>
            <w:pPr>
              <w:ind w:left="140"/>
              <w:spacing w:after="0"/>
              <w:rPr>
                <w:sz w:val="20"/>
                <w:szCs w:val="20"/>
                <w:color w:val="auto"/>
              </w:rPr>
            </w:pPr>
            <w:r>
              <w:rPr>
                <w:rFonts w:ascii="Arial" w:cs="Arial" w:eastAsia="Arial" w:hAnsi="Arial"/>
                <w:sz w:val="14"/>
                <w:szCs w:val="14"/>
                <w:color w:val="auto"/>
              </w:rPr>
              <w:t>Accumulated other comprehensive loss</w:t>
            </w:r>
          </w:p>
        </w:tc>
        <w:tc>
          <w:tcPr>
            <w:tcW w:w="24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(107)</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(108)</w:t>
            </w:r>
          </w:p>
        </w:tc>
      </w:tr>
      <w:tr>
        <w:trPr>
          <w:trHeight w:val="23"/>
        </w:trPr>
        <w:tc>
          <w:tcPr>
            <w:tcW w:w="83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06"/>
        </w:trPr>
        <w:tc>
          <w:tcPr>
            <w:tcW w:w="834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4"/>
                <w:szCs w:val="14"/>
                <w:color w:val="auto"/>
              </w:rPr>
              <w:t>Total shareholders’ equity</w:t>
            </w:r>
          </w:p>
        </w:tc>
        <w:tc>
          <w:tcPr>
            <w:tcW w:w="24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8,346</w:t>
            </w: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8,058</w:t>
            </w:r>
          </w:p>
        </w:tc>
      </w:tr>
      <w:tr>
        <w:trPr>
          <w:trHeight w:val="200"/>
        </w:trPr>
        <w:tc>
          <w:tcPr>
            <w:tcW w:w="8340" w:type="dxa"/>
            <w:vAlign w:val="bottom"/>
          </w:tcPr>
          <w:p>
            <w:pPr>
              <w:ind w:left="560"/>
              <w:spacing w:after="0"/>
              <w:rPr>
                <w:sz w:val="20"/>
                <w:szCs w:val="20"/>
                <w:color w:val="auto"/>
              </w:rPr>
            </w:pPr>
            <w:r>
              <w:rPr>
                <w:rFonts w:ascii="Arial" w:cs="Arial" w:eastAsia="Arial" w:hAnsi="Arial"/>
                <w:sz w:val="14"/>
                <w:szCs w:val="14"/>
                <w:b w:val="1"/>
                <w:bCs w:val="1"/>
                <w:color w:val="auto"/>
              </w:rPr>
              <w:t>Total Liabilities and Shareholders’ Equity</w:t>
            </w: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4"/>
                <w:szCs w:val="14"/>
                <w:color w:val="auto"/>
              </w:rPr>
              <w:t>34,642</w:t>
            </w:r>
          </w:p>
        </w:tc>
        <w:tc>
          <w:tcPr>
            <w:tcW w:w="12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27,009</w:t>
            </w:r>
          </w:p>
        </w:tc>
      </w:tr>
      <w:tr>
        <w:trPr>
          <w:trHeight w:val="20"/>
        </w:trPr>
        <w:tc>
          <w:tcPr>
            <w:tcW w:w="8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See Combined Notes to Unaudited Condensed Consolidated Financial Statements</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420"/>
          </w:cols>
          <w:pgMar w:left="220" w:top="129" w:right="259" w:bottom="1440" w:gutter="0" w:footer="0" w:header="0"/>
        </w:sectPr>
      </w:pPr>
    </w:p>
    <w:bookmarkStart w:id="14" w:name="page15"/>
    <w:bookmarkEnd w:id="14"/>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2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CENTERPOINT ENERGY, INC. AND SUBSIDIARIES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CONDENSED STATEMENTS OF CONSOLIDATED CASH FLOWS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8600" w:type="dxa"/>
            <w:vAlign w:val="bottom"/>
          </w:tcPr>
          <w:p>
            <w:pPr>
              <w:spacing w:after="0"/>
              <w:rPr>
                <w:sz w:val="13"/>
                <w:szCs w:val="13"/>
                <w:color w:val="auto"/>
              </w:rPr>
            </w:pPr>
          </w:p>
        </w:tc>
        <w:tc>
          <w:tcPr>
            <w:tcW w:w="2360" w:type="dxa"/>
            <w:vAlign w:val="bottom"/>
            <w:tcBorders>
              <w:bottom w:val="single" w:sz="8" w:color="auto"/>
            </w:tcBorders>
            <w:gridSpan w:val="4"/>
          </w:tcPr>
          <w:p>
            <w:pPr>
              <w:jc w:val="right"/>
              <w:spacing w:after="0"/>
              <w:rPr>
                <w:sz w:val="20"/>
                <w:szCs w:val="20"/>
                <w:color w:val="auto"/>
              </w:rPr>
            </w:pPr>
            <w:r>
              <w:rPr>
                <w:rFonts w:ascii="Arial" w:cs="Arial" w:eastAsia="Arial" w:hAnsi="Arial"/>
                <w:sz w:val="11"/>
                <w:szCs w:val="11"/>
                <w:b w:val="1"/>
                <w:bCs w:val="1"/>
                <w:color w:val="auto"/>
              </w:rPr>
              <w:t>Nine Months Ended September 30,</w:t>
            </w:r>
          </w:p>
        </w:tc>
        <w:tc>
          <w:tcPr>
            <w:tcW w:w="500" w:type="dxa"/>
            <w:vAlign w:val="bottom"/>
            <w:tcBorders>
              <w:bottom w:val="single" w:sz="8" w:color="auto"/>
            </w:tcBorders>
          </w:tcPr>
          <w:p>
            <w:pPr>
              <w:spacing w:after="0"/>
              <w:rPr>
                <w:sz w:val="13"/>
                <w:szCs w:val="13"/>
                <w:color w:val="auto"/>
              </w:rPr>
            </w:pPr>
          </w:p>
        </w:tc>
      </w:tr>
      <w:tr>
        <w:trPr>
          <w:trHeight w:val="206"/>
        </w:trPr>
        <w:tc>
          <w:tcPr>
            <w:tcW w:w="8600" w:type="dxa"/>
            <w:vAlign w:val="bottom"/>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2019</w:t>
            </w:r>
          </w:p>
        </w:tc>
        <w:tc>
          <w:tcPr>
            <w:tcW w:w="5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2018</w:t>
            </w:r>
          </w:p>
        </w:tc>
        <w:tc>
          <w:tcPr>
            <w:tcW w:w="500" w:type="dxa"/>
            <w:vAlign w:val="bottom"/>
            <w:tcBorders>
              <w:bottom w:val="single" w:sz="8" w:color="auto"/>
            </w:tcBorders>
          </w:tcPr>
          <w:p>
            <w:pPr>
              <w:spacing w:after="0"/>
              <w:rPr>
                <w:sz w:val="17"/>
                <w:szCs w:val="17"/>
                <w:color w:val="auto"/>
              </w:rPr>
            </w:pPr>
          </w:p>
        </w:tc>
      </w:tr>
      <w:tr>
        <w:trPr>
          <w:trHeight w:val="191"/>
        </w:trPr>
        <w:tc>
          <w:tcPr>
            <w:tcW w:w="86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80" w:type="dxa"/>
            <w:vAlign w:val="bottom"/>
            <w:gridSpan w:val="3"/>
          </w:tcPr>
          <w:p>
            <w:pPr>
              <w:jc w:val="right"/>
              <w:ind w:right="558"/>
              <w:spacing w:after="0"/>
              <w:rPr>
                <w:sz w:val="20"/>
                <w:szCs w:val="20"/>
                <w:color w:val="auto"/>
              </w:rPr>
            </w:pPr>
            <w:r>
              <w:rPr>
                <w:rFonts w:ascii="Arial" w:cs="Arial" w:eastAsia="Arial" w:hAnsi="Arial"/>
                <w:sz w:val="11"/>
                <w:szCs w:val="11"/>
                <w:b w:val="1"/>
                <w:bCs w:val="1"/>
                <w:color w:val="auto"/>
              </w:rPr>
              <w:t>(in millions)</w:t>
            </w:r>
          </w:p>
        </w:tc>
        <w:tc>
          <w:tcPr>
            <w:tcW w:w="500" w:type="dxa"/>
            <w:vAlign w:val="bottom"/>
          </w:tcPr>
          <w:p>
            <w:pPr>
              <w:spacing w:after="0"/>
              <w:rPr>
                <w:sz w:val="16"/>
                <w:szCs w:val="16"/>
                <w:color w:val="auto"/>
              </w:rPr>
            </w:pPr>
          </w:p>
        </w:tc>
      </w:tr>
      <w:tr>
        <w:trPr>
          <w:trHeight w:val="198"/>
        </w:trPr>
        <w:tc>
          <w:tcPr>
            <w:tcW w:w="8600" w:type="dxa"/>
            <w:vAlign w:val="bottom"/>
          </w:tcPr>
          <w:p>
            <w:pPr>
              <w:ind w:left="20"/>
              <w:spacing w:after="0"/>
              <w:rPr>
                <w:sz w:val="20"/>
                <w:szCs w:val="20"/>
                <w:color w:val="auto"/>
              </w:rPr>
            </w:pPr>
            <w:r>
              <w:rPr>
                <w:rFonts w:ascii="Arial" w:cs="Arial" w:eastAsia="Arial" w:hAnsi="Arial"/>
                <w:sz w:val="13"/>
                <w:szCs w:val="13"/>
                <w:b w:val="1"/>
                <w:bCs w:val="1"/>
                <w:color w:val="auto"/>
              </w:rPr>
              <w:t>Cash Flows from Operating Activities:</w:t>
            </w:r>
          </w:p>
        </w:tc>
        <w:tc>
          <w:tcPr>
            <w:tcW w:w="8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00" w:type="dxa"/>
            <w:vAlign w:val="bottom"/>
          </w:tcPr>
          <w:p>
            <w:pPr>
              <w:spacing w:after="0"/>
              <w:rPr>
                <w:sz w:val="17"/>
                <w:szCs w:val="17"/>
                <w:color w:val="auto"/>
              </w:rPr>
            </w:pPr>
          </w:p>
        </w:tc>
      </w:tr>
      <w:tr>
        <w:trPr>
          <w:trHeight w:val="27"/>
        </w:trPr>
        <w:tc>
          <w:tcPr>
            <w:tcW w:w="8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196"/>
        </w:trPr>
        <w:tc>
          <w:tcPr>
            <w:tcW w:w="86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3"/>
                <w:szCs w:val="13"/>
                <w:color w:val="auto"/>
              </w:rPr>
              <w:t>Net income</w:t>
            </w:r>
          </w:p>
        </w:tc>
        <w:tc>
          <w:tcPr>
            <w:tcW w:w="880" w:type="dxa"/>
            <w:vAlign w:val="bottom"/>
            <w:tcBorders>
              <w:bottom w:val="single" w:sz="8" w:color="CCEEFF"/>
            </w:tcBorders>
            <w:shd w:val="clear" w:color="auto" w:fill="CCEEFF"/>
          </w:tcPr>
          <w:p>
            <w:pPr>
              <w:jc w:val="right"/>
              <w:ind w:right="719"/>
              <w:spacing w:after="0"/>
              <w:rPr>
                <w:sz w:val="20"/>
                <w:szCs w:val="20"/>
                <w:color w:val="auto"/>
              </w:rPr>
            </w:pPr>
            <w:r>
              <w:rPr>
                <w:rFonts w:ascii="Arial" w:cs="Arial" w:eastAsia="Arial" w:hAnsi="Arial"/>
                <w:sz w:val="13"/>
                <w:szCs w:val="13"/>
                <w:color w:val="auto"/>
              </w:rPr>
              <w:t>$</w:t>
            </w:r>
          </w:p>
        </w:tc>
        <w:tc>
          <w:tcPr>
            <w:tcW w:w="5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3"/>
                <w:szCs w:val="13"/>
                <w:color w:val="auto"/>
              </w:rPr>
              <w:t>634</w:t>
            </w:r>
          </w:p>
        </w:tc>
        <w:tc>
          <w:tcPr>
            <w:tcW w:w="1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ind w:right="698"/>
              <w:spacing w:after="0"/>
              <w:rPr>
                <w:sz w:val="20"/>
                <w:szCs w:val="20"/>
                <w:color w:val="auto"/>
              </w:rPr>
            </w:pPr>
            <w:r>
              <w:rPr>
                <w:rFonts w:ascii="Arial" w:cs="Arial" w:eastAsia="Arial" w:hAnsi="Arial"/>
                <w:sz w:val="13"/>
                <w:szCs w:val="13"/>
                <w:color w:val="auto"/>
              </w:rPr>
              <w:t>$</w:t>
            </w:r>
          </w:p>
        </w:tc>
        <w:tc>
          <w:tcPr>
            <w:tcW w:w="5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3"/>
                <w:szCs w:val="13"/>
                <w:color w:val="auto"/>
              </w:rPr>
              <w:t>248</w:t>
            </w:r>
          </w:p>
        </w:tc>
      </w:tr>
      <w:tr>
        <w:trPr>
          <w:trHeight w:val="189"/>
        </w:trPr>
        <w:tc>
          <w:tcPr>
            <w:tcW w:w="8600" w:type="dxa"/>
            <w:vAlign w:val="bottom"/>
          </w:tcPr>
          <w:p>
            <w:pPr>
              <w:ind w:left="140"/>
              <w:spacing w:after="0"/>
              <w:rPr>
                <w:sz w:val="20"/>
                <w:szCs w:val="20"/>
                <w:color w:val="auto"/>
              </w:rPr>
            </w:pPr>
            <w:r>
              <w:rPr>
                <w:rFonts w:ascii="Arial" w:cs="Arial" w:eastAsia="Arial" w:hAnsi="Arial"/>
                <w:sz w:val="13"/>
                <w:szCs w:val="13"/>
                <w:color w:val="auto"/>
              </w:rPr>
              <w:t>Adjustments to reconcile net income to net cash provided by operating activities:</w:t>
            </w:r>
          </w:p>
        </w:tc>
        <w:tc>
          <w:tcPr>
            <w:tcW w:w="8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00" w:type="dxa"/>
            <w:vAlign w:val="bottom"/>
          </w:tcPr>
          <w:p>
            <w:pPr>
              <w:spacing w:after="0"/>
              <w:rPr>
                <w:sz w:val="16"/>
                <w:szCs w:val="16"/>
                <w:color w:val="auto"/>
              </w:rPr>
            </w:pPr>
          </w:p>
        </w:tc>
      </w:tr>
      <w:tr>
        <w:trPr>
          <w:trHeight w:val="27"/>
        </w:trPr>
        <w:tc>
          <w:tcPr>
            <w:tcW w:w="8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196"/>
        </w:trPr>
        <w:tc>
          <w:tcPr>
            <w:tcW w:w="86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3"/>
                <w:szCs w:val="13"/>
                <w:color w:val="auto"/>
              </w:rPr>
              <w:t>Depreciation and amortization</w:t>
            </w:r>
          </w:p>
        </w:tc>
        <w:tc>
          <w:tcPr>
            <w:tcW w:w="88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3"/>
                <w:szCs w:val="13"/>
                <w:color w:val="auto"/>
              </w:rPr>
              <w:t>987</w:t>
            </w:r>
          </w:p>
        </w:tc>
        <w:tc>
          <w:tcPr>
            <w:tcW w:w="1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3"/>
                <w:szCs w:val="13"/>
                <w:color w:val="auto"/>
              </w:rPr>
              <w:t>982</w:t>
            </w:r>
          </w:p>
        </w:tc>
      </w:tr>
      <w:tr>
        <w:trPr>
          <w:trHeight w:val="189"/>
        </w:trPr>
        <w:tc>
          <w:tcPr>
            <w:tcW w:w="8600" w:type="dxa"/>
            <w:vAlign w:val="bottom"/>
          </w:tcPr>
          <w:p>
            <w:pPr>
              <w:ind w:left="300"/>
              <w:spacing w:after="0"/>
              <w:rPr>
                <w:sz w:val="20"/>
                <w:szCs w:val="20"/>
                <w:color w:val="auto"/>
              </w:rPr>
            </w:pPr>
            <w:r>
              <w:rPr>
                <w:rFonts w:ascii="Arial" w:cs="Arial" w:eastAsia="Arial" w:hAnsi="Arial"/>
                <w:sz w:val="13"/>
                <w:szCs w:val="13"/>
                <w:color w:val="auto"/>
              </w:rPr>
              <w:t>Amortization of deferred financing costs</w:t>
            </w:r>
          </w:p>
        </w:tc>
        <w:tc>
          <w:tcPr>
            <w:tcW w:w="880" w:type="dxa"/>
            <w:vAlign w:val="bottom"/>
          </w:tcPr>
          <w:p>
            <w:pPr>
              <w:spacing w:after="0"/>
              <w:rPr>
                <w:sz w:val="16"/>
                <w:szCs w:val="16"/>
                <w:color w:val="auto"/>
              </w:rPr>
            </w:pPr>
          </w:p>
        </w:tc>
        <w:tc>
          <w:tcPr>
            <w:tcW w:w="520" w:type="dxa"/>
            <w:vAlign w:val="bottom"/>
          </w:tcPr>
          <w:p>
            <w:pPr>
              <w:jc w:val="right"/>
              <w:ind w:right="55"/>
              <w:spacing w:after="0"/>
              <w:rPr>
                <w:sz w:val="20"/>
                <w:szCs w:val="20"/>
                <w:color w:val="auto"/>
              </w:rPr>
            </w:pPr>
            <w:r>
              <w:rPr>
                <w:rFonts w:ascii="Arial" w:cs="Arial" w:eastAsia="Arial" w:hAnsi="Arial"/>
                <w:sz w:val="13"/>
                <w:szCs w:val="13"/>
                <w:color w:val="auto"/>
              </w:rPr>
              <w:t>22</w:t>
            </w: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00" w:type="dxa"/>
            <w:vAlign w:val="bottom"/>
          </w:tcPr>
          <w:p>
            <w:pPr>
              <w:jc w:val="right"/>
              <w:ind w:right="35"/>
              <w:spacing w:after="0"/>
              <w:rPr>
                <w:sz w:val="20"/>
                <w:szCs w:val="20"/>
                <w:color w:val="auto"/>
              </w:rPr>
            </w:pPr>
            <w:r>
              <w:rPr>
                <w:rFonts w:ascii="Arial" w:cs="Arial" w:eastAsia="Arial" w:hAnsi="Arial"/>
                <w:sz w:val="13"/>
                <w:szCs w:val="13"/>
                <w:color w:val="auto"/>
              </w:rPr>
              <w:t>34</w:t>
            </w:r>
          </w:p>
        </w:tc>
      </w:tr>
      <w:tr>
        <w:trPr>
          <w:trHeight w:val="27"/>
        </w:trPr>
        <w:tc>
          <w:tcPr>
            <w:tcW w:w="8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196"/>
        </w:trPr>
        <w:tc>
          <w:tcPr>
            <w:tcW w:w="86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3"/>
                <w:szCs w:val="13"/>
                <w:color w:val="auto"/>
              </w:rPr>
              <w:t>Amortization of intangible assets in non-utility cost of revenues</w:t>
            </w:r>
          </w:p>
        </w:tc>
        <w:tc>
          <w:tcPr>
            <w:tcW w:w="88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3"/>
                <w:szCs w:val="13"/>
                <w:color w:val="auto"/>
              </w:rPr>
              <w:t>19</w:t>
            </w:r>
          </w:p>
        </w:tc>
        <w:tc>
          <w:tcPr>
            <w:tcW w:w="1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3"/>
                <w:szCs w:val="13"/>
                <w:color w:val="auto"/>
              </w:rPr>
              <w:t>—</w:t>
            </w:r>
          </w:p>
        </w:tc>
      </w:tr>
      <w:tr>
        <w:trPr>
          <w:trHeight w:val="189"/>
        </w:trPr>
        <w:tc>
          <w:tcPr>
            <w:tcW w:w="8600" w:type="dxa"/>
            <w:vAlign w:val="bottom"/>
          </w:tcPr>
          <w:p>
            <w:pPr>
              <w:ind w:left="300"/>
              <w:spacing w:after="0"/>
              <w:rPr>
                <w:sz w:val="20"/>
                <w:szCs w:val="20"/>
                <w:color w:val="auto"/>
              </w:rPr>
            </w:pPr>
            <w:r>
              <w:rPr>
                <w:rFonts w:ascii="Arial" w:cs="Arial" w:eastAsia="Arial" w:hAnsi="Arial"/>
                <w:sz w:val="13"/>
                <w:szCs w:val="13"/>
                <w:color w:val="auto"/>
              </w:rPr>
              <w:t>Deferred income taxes</w:t>
            </w:r>
          </w:p>
        </w:tc>
        <w:tc>
          <w:tcPr>
            <w:tcW w:w="880" w:type="dxa"/>
            <w:vAlign w:val="bottom"/>
          </w:tcPr>
          <w:p>
            <w:pPr>
              <w:spacing w:after="0"/>
              <w:rPr>
                <w:sz w:val="16"/>
                <w:szCs w:val="16"/>
                <w:color w:val="auto"/>
              </w:rPr>
            </w:pPr>
          </w:p>
        </w:tc>
        <w:tc>
          <w:tcPr>
            <w:tcW w:w="520" w:type="dxa"/>
            <w:vAlign w:val="bottom"/>
          </w:tcPr>
          <w:p>
            <w:pPr>
              <w:jc w:val="right"/>
              <w:ind w:right="55"/>
              <w:spacing w:after="0"/>
              <w:rPr>
                <w:sz w:val="20"/>
                <w:szCs w:val="20"/>
                <w:color w:val="auto"/>
              </w:rPr>
            </w:pPr>
            <w:r>
              <w:rPr>
                <w:rFonts w:ascii="Arial" w:cs="Arial" w:eastAsia="Arial" w:hAnsi="Arial"/>
                <w:sz w:val="13"/>
                <w:szCs w:val="13"/>
                <w:color w:val="auto"/>
              </w:rPr>
              <w:t>8</w:t>
            </w: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00" w:type="dxa"/>
            <w:vAlign w:val="bottom"/>
          </w:tcPr>
          <w:p>
            <w:pPr>
              <w:jc w:val="right"/>
              <w:ind w:right="35"/>
              <w:spacing w:after="0"/>
              <w:rPr>
                <w:sz w:val="20"/>
                <w:szCs w:val="20"/>
                <w:color w:val="auto"/>
              </w:rPr>
            </w:pPr>
            <w:r>
              <w:rPr>
                <w:rFonts w:ascii="Arial" w:cs="Arial" w:eastAsia="Arial" w:hAnsi="Arial"/>
                <w:sz w:val="13"/>
                <w:szCs w:val="13"/>
                <w:color w:val="auto"/>
              </w:rPr>
              <w:t>33</w:t>
            </w:r>
          </w:p>
        </w:tc>
      </w:tr>
      <w:tr>
        <w:trPr>
          <w:trHeight w:val="27"/>
        </w:trPr>
        <w:tc>
          <w:tcPr>
            <w:tcW w:w="8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196"/>
        </w:trPr>
        <w:tc>
          <w:tcPr>
            <w:tcW w:w="86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3"/>
                <w:szCs w:val="13"/>
                <w:color w:val="auto"/>
              </w:rPr>
              <w:t>Unrealized gain on marketable securities</w:t>
            </w:r>
          </w:p>
        </w:tc>
        <w:tc>
          <w:tcPr>
            <w:tcW w:w="88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3"/>
                <w:szCs w:val="13"/>
                <w:color w:val="auto"/>
              </w:rPr>
              <w:t>(206)</w:t>
            </w:r>
          </w:p>
        </w:tc>
        <w:tc>
          <w:tcPr>
            <w:tcW w:w="1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(66)</w:t>
            </w:r>
          </w:p>
        </w:tc>
      </w:tr>
      <w:tr>
        <w:trPr>
          <w:trHeight w:val="189"/>
        </w:trPr>
        <w:tc>
          <w:tcPr>
            <w:tcW w:w="8600" w:type="dxa"/>
            <w:vAlign w:val="bottom"/>
          </w:tcPr>
          <w:p>
            <w:pPr>
              <w:ind w:left="300"/>
              <w:spacing w:after="0"/>
              <w:rPr>
                <w:sz w:val="20"/>
                <w:szCs w:val="20"/>
                <w:color w:val="auto"/>
              </w:rPr>
            </w:pPr>
            <w:r>
              <w:rPr>
                <w:rFonts w:ascii="Arial" w:cs="Arial" w:eastAsia="Arial" w:hAnsi="Arial"/>
                <w:sz w:val="13"/>
                <w:szCs w:val="13"/>
                <w:color w:val="auto"/>
              </w:rPr>
              <w:t>Loss on indexed debt securities</w:t>
            </w:r>
          </w:p>
        </w:tc>
        <w:tc>
          <w:tcPr>
            <w:tcW w:w="880" w:type="dxa"/>
            <w:vAlign w:val="bottom"/>
          </w:tcPr>
          <w:p>
            <w:pPr>
              <w:spacing w:after="0"/>
              <w:rPr>
                <w:sz w:val="16"/>
                <w:szCs w:val="16"/>
                <w:color w:val="auto"/>
              </w:rPr>
            </w:pPr>
          </w:p>
        </w:tc>
        <w:tc>
          <w:tcPr>
            <w:tcW w:w="520" w:type="dxa"/>
            <w:vAlign w:val="bottom"/>
          </w:tcPr>
          <w:p>
            <w:pPr>
              <w:jc w:val="right"/>
              <w:ind w:right="55"/>
              <w:spacing w:after="0"/>
              <w:rPr>
                <w:sz w:val="20"/>
                <w:szCs w:val="20"/>
                <w:color w:val="auto"/>
              </w:rPr>
            </w:pPr>
            <w:r>
              <w:rPr>
                <w:rFonts w:ascii="Arial" w:cs="Arial" w:eastAsia="Arial" w:hAnsi="Arial"/>
                <w:sz w:val="13"/>
                <w:szCs w:val="13"/>
                <w:color w:val="auto"/>
              </w:rPr>
              <w:t>216</w:t>
            </w: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00" w:type="dxa"/>
            <w:vAlign w:val="bottom"/>
          </w:tcPr>
          <w:p>
            <w:pPr>
              <w:jc w:val="right"/>
              <w:ind w:right="35"/>
              <w:spacing w:after="0"/>
              <w:rPr>
                <w:sz w:val="20"/>
                <w:szCs w:val="20"/>
                <w:color w:val="auto"/>
              </w:rPr>
            </w:pPr>
            <w:r>
              <w:rPr>
                <w:rFonts w:ascii="Arial" w:cs="Arial" w:eastAsia="Arial" w:hAnsi="Arial"/>
                <w:sz w:val="13"/>
                <w:szCs w:val="13"/>
                <w:color w:val="auto"/>
              </w:rPr>
              <w:t>316</w:t>
            </w:r>
          </w:p>
        </w:tc>
      </w:tr>
      <w:tr>
        <w:trPr>
          <w:trHeight w:val="27"/>
        </w:trPr>
        <w:tc>
          <w:tcPr>
            <w:tcW w:w="8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196"/>
        </w:trPr>
        <w:tc>
          <w:tcPr>
            <w:tcW w:w="86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3"/>
                <w:szCs w:val="13"/>
                <w:color w:val="auto"/>
              </w:rPr>
              <w:t>Write-down of natural gas inventory</w:t>
            </w:r>
          </w:p>
        </w:tc>
        <w:tc>
          <w:tcPr>
            <w:tcW w:w="88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3"/>
                <w:szCs w:val="13"/>
                <w:color w:val="auto"/>
              </w:rPr>
              <w:t>5</w:t>
            </w:r>
          </w:p>
        </w:tc>
        <w:tc>
          <w:tcPr>
            <w:tcW w:w="1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3"/>
                <w:szCs w:val="13"/>
                <w:color w:val="auto"/>
              </w:rPr>
              <w:t>2</w:t>
            </w:r>
          </w:p>
        </w:tc>
      </w:tr>
      <w:tr>
        <w:trPr>
          <w:trHeight w:val="189"/>
        </w:trPr>
        <w:tc>
          <w:tcPr>
            <w:tcW w:w="8600" w:type="dxa"/>
            <w:vAlign w:val="bottom"/>
          </w:tcPr>
          <w:p>
            <w:pPr>
              <w:ind w:left="300"/>
              <w:spacing w:after="0"/>
              <w:rPr>
                <w:sz w:val="20"/>
                <w:szCs w:val="20"/>
                <w:color w:val="auto"/>
              </w:rPr>
            </w:pPr>
            <w:r>
              <w:rPr>
                <w:rFonts w:ascii="Arial" w:cs="Arial" w:eastAsia="Arial" w:hAnsi="Arial"/>
                <w:sz w:val="13"/>
                <w:szCs w:val="13"/>
                <w:color w:val="auto"/>
              </w:rPr>
              <w:t>Equity in earnings of unconsolidated affiliates, net of distributions</w:t>
            </w:r>
          </w:p>
        </w:tc>
        <w:tc>
          <w:tcPr>
            <w:tcW w:w="880" w:type="dxa"/>
            <w:vAlign w:val="bottom"/>
          </w:tcPr>
          <w:p>
            <w:pPr>
              <w:spacing w:after="0"/>
              <w:rPr>
                <w:sz w:val="16"/>
                <w:szCs w:val="16"/>
                <w:color w:val="auto"/>
              </w:rPr>
            </w:pPr>
          </w:p>
        </w:tc>
        <w:tc>
          <w:tcPr>
            <w:tcW w:w="520" w:type="dxa"/>
            <w:vAlign w:val="bottom"/>
          </w:tcPr>
          <w:p>
            <w:pPr>
              <w:jc w:val="right"/>
              <w:ind w:right="55"/>
              <w:spacing w:after="0"/>
              <w:rPr>
                <w:sz w:val="20"/>
                <w:szCs w:val="20"/>
                <w:color w:val="auto"/>
              </w:rPr>
            </w:pPr>
            <w:r>
              <w:rPr>
                <w:rFonts w:ascii="Arial" w:cs="Arial" w:eastAsia="Arial" w:hAnsi="Arial"/>
                <w:sz w:val="13"/>
                <w:szCs w:val="13"/>
                <w:color w:val="auto"/>
              </w:rPr>
              <w:t>13</w:t>
            </w: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(15)</w:t>
            </w:r>
          </w:p>
        </w:tc>
      </w:tr>
      <w:tr>
        <w:trPr>
          <w:trHeight w:val="27"/>
        </w:trPr>
        <w:tc>
          <w:tcPr>
            <w:tcW w:w="8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196"/>
        </w:trPr>
        <w:tc>
          <w:tcPr>
            <w:tcW w:w="86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3"/>
                <w:szCs w:val="13"/>
                <w:color w:val="auto"/>
              </w:rPr>
              <w:t>Pension contributions</w:t>
            </w:r>
          </w:p>
        </w:tc>
        <w:tc>
          <w:tcPr>
            <w:tcW w:w="88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3"/>
                <w:szCs w:val="13"/>
                <w:color w:val="auto"/>
              </w:rPr>
              <w:t>(94)</w:t>
            </w:r>
          </w:p>
        </w:tc>
        <w:tc>
          <w:tcPr>
            <w:tcW w:w="1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(67)</w:t>
            </w:r>
          </w:p>
        </w:tc>
      </w:tr>
      <w:tr>
        <w:trPr>
          <w:trHeight w:val="189"/>
        </w:trPr>
        <w:tc>
          <w:tcPr>
            <w:tcW w:w="8600" w:type="dxa"/>
            <w:vAlign w:val="bottom"/>
          </w:tcPr>
          <w:p>
            <w:pPr>
              <w:ind w:left="300"/>
              <w:spacing w:after="0"/>
              <w:rPr>
                <w:sz w:val="20"/>
                <w:szCs w:val="20"/>
                <w:color w:val="auto"/>
              </w:rPr>
            </w:pPr>
            <w:r>
              <w:rPr>
                <w:rFonts w:ascii="Arial" w:cs="Arial" w:eastAsia="Arial" w:hAnsi="Arial"/>
                <w:sz w:val="13"/>
                <w:szCs w:val="13"/>
                <w:color w:val="auto"/>
              </w:rPr>
              <w:t>Changes in other assets and liabilities, excluding acquisitions:</w:t>
            </w:r>
          </w:p>
        </w:tc>
        <w:tc>
          <w:tcPr>
            <w:tcW w:w="8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00" w:type="dxa"/>
            <w:vAlign w:val="bottom"/>
          </w:tcPr>
          <w:p>
            <w:pPr>
              <w:spacing w:after="0"/>
              <w:rPr>
                <w:sz w:val="16"/>
                <w:szCs w:val="16"/>
                <w:color w:val="auto"/>
              </w:rPr>
            </w:pPr>
          </w:p>
        </w:tc>
      </w:tr>
      <w:tr>
        <w:trPr>
          <w:trHeight w:val="27"/>
        </w:trPr>
        <w:tc>
          <w:tcPr>
            <w:tcW w:w="8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196"/>
        </w:trPr>
        <w:tc>
          <w:tcPr>
            <w:tcW w:w="860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3"/>
                <w:szCs w:val="13"/>
                <w:color w:val="auto"/>
              </w:rPr>
              <w:t>Accounts receivable and unbilled revenues, net</w:t>
            </w:r>
          </w:p>
        </w:tc>
        <w:tc>
          <w:tcPr>
            <w:tcW w:w="88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3"/>
                <w:szCs w:val="13"/>
                <w:color w:val="auto"/>
              </w:rPr>
              <w:t>521</w:t>
            </w:r>
          </w:p>
        </w:tc>
        <w:tc>
          <w:tcPr>
            <w:tcW w:w="1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3"/>
                <w:szCs w:val="13"/>
                <w:color w:val="auto"/>
              </w:rPr>
              <w:t>355</w:t>
            </w:r>
          </w:p>
        </w:tc>
      </w:tr>
      <w:tr>
        <w:trPr>
          <w:trHeight w:val="189"/>
        </w:trPr>
        <w:tc>
          <w:tcPr>
            <w:tcW w:w="8600" w:type="dxa"/>
            <w:vAlign w:val="bottom"/>
          </w:tcPr>
          <w:p>
            <w:pPr>
              <w:ind w:left="400"/>
              <w:spacing w:after="0"/>
              <w:rPr>
                <w:sz w:val="20"/>
                <w:szCs w:val="20"/>
                <w:color w:val="auto"/>
              </w:rPr>
            </w:pPr>
            <w:r>
              <w:rPr>
                <w:rFonts w:ascii="Arial" w:cs="Arial" w:eastAsia="Arial" w:hAnsi="Arial"/>
                <w:sz w:val="13"/>
                <w:szCs w:val="13"/>
                <w:color w:val="auto"/>
              </w:rPr>
              <w:t>Inventory</w:t>
            </w:r>
          </w:p>
        </w:tc>
        <w:tc>
          <w:tcPr>
            <w:tcW w:w="880" w:type="dxa"/>
            <w:vAlign w:val="bottom"/>
          </w:tcPr>
          <w:p>
            <w:pPr>
              <w:spacing w:after="0"/>
              <w:rPr>
                <w:sz w:val="16"/>
                <w:szCs w:val="16"/>
                <w:color w:val="auto"/>
              </w:rPr>
            </w:pPr>
          </w:p>
        </w:tc>
        <w:tc>
          <w:tcPr>
            <w:tcW w:w="520" w:type="dxa"/>
            <w:vAlign w:val="bottom"/>
          </w:tcPr>
          <w:p>
            <w:pPr>
              <w:jc w:val="right"/>
              <w:ind w:right="15"/>
              <w:spacing w:after="0"/>
              <w:rPr>
                <w:sz w:val="20"/>
                <w:szCs w:val="20"/>
                <w:color w:val="auto"/>
              </w:rPr>
            </w:pPr>
            <w:r>
              <w:rPr>
                <w:rFonts w:ascii="Arial" w:cs="Arial" w:eastAsia="Arial" w:hAnsi="Arial"/>
                <w:sz w:val="13"/>
                <w:szCs w:val="13"/>
                <w:color w:val="auto"/>
              </w:rPr>
              <w:t>(85)</w:t>
            </w: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(10)</w:t>
            </w:r>
          </w:p>
        </w:tc>
      </w:tr>
      <w:tr>
        <w:trPr>
          <w:trHeight w:val="27"/>
        </w:trPr>
        <w:tc>
          <w:tcPr>
            <w:tcW w:w="8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196"/>
        </w:trPr>
        <w:tc>
          <w:tcPr>
            <w:tcW w:w="860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3"/>
                <w:szCs w:val="13"/>
                <w:color w:val="auto"/>
              </w:rPr>
              <w:t>Taxes receivable</w:t>
            </w:r>
          </w:p>
        </w:tc>
        <w:tc>
          <w:tcPr>
            <w:tcW w:w="88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3"/>
                <w:szCs w:val="13"/>
                <w:color w:val="auto"/>
              </w:rPr>
              <w:t>(69)</w:t>
            </w:r>
          </w:p>
        </w:tc>
        <w:tc>
          <w:tcPr>
            <w:tcW w:w="1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(38)</w:t>
            </w:r>
          </w:p>
        </w:tc>
      </w:tr>
      <w:tr>
        <w:trPr>
          <w:trHeight w:val="189"/>
        </w:trPr>
        <w:tc>
          <w:tcPr>
            <w:tcW w:w="8600" w:type="dxa"/>
            <w:vAlign w:val="bottom"/>
          </w:tcPr>
          <w:p>
            <w:pPr>
              <w:ind w:left="400"/>
              <w:spacing w:after="0"/>
              <w:rPr>
                <w:sz w:val="20"/>
                <w:szCs w:val="20"/>
                <w:color w:val="auto"/>
              </w:rPr>
            </w:pPr>
            <w:r>
              <w:rPr>
                <w:rFonts w:ascii="Arial" w:cs="Arial" w:eastAsia="Arial" w:hAnsi="Arial"/>
                <w:sz w:val="13"/>
                <w:szCs w:val="13"/>
                <w:color w:val="auto"/>
              </w:rPr>
              <w:t>Accounts payable</w:t>
            </w:r>
          </w:p>
        </w:tc>
        <w:tc>
          <w:tcPr>
            <w:tcW w:w="880" w:type="dxa"/>
            <w:vAlign w:val="bottom"/>
          </w:tcPr>
          <w:p>
            <w:pPr>
              <w:spacing w:after="0"/>
              <w:rPr>
                <w:sz w:val="16"/>
                <w:szCs w:val="16"/>
                <w:color w:val="auto"/>
              </w:rPr>
            </w:pPr>
          </w:p>
        </w:tc>
        <w:tc>
          <w:tcPr>
            <w:tcW w:w="520" w:type="dxa"/>
            <w:vAlign w:val="bottom"/>
          </w:tcPr>
          <w:p>
            <w:pPr>
              <w:jc w:val="right"/>
              <w:ind w:right="15"/>
              <w:spacing w:after="0"/>
              <w:rPr>
                <w:sz w:val="20"/>
                <w:szCs w:val="20"/>
                <w:color w:val="auto"/>
              </w:rPr>
            </w:pPr>
            <w:r>
              <w:rPr>
                <w:rFonts w:ascii="Arial" w:cs="Arial" w:eastAsia="Arial" w:hAnsi="Arial"/>
                <w:sz w:val="13"/>
                <w:szCs w:val="13"/>
                <w:color w:val="auto"/>
              </w:rPr>
              <w:t>(646)</w:t>
            </w: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(262)</w:t>
            </w:r>
          </w:p>
        </w:tc>
      </w:tr>
      <w:tr>
        <w:trPr>
          <w:trHeight w:val="27"/>
        </w:trPr>
        <w:tc>
          <w:tcPr>
            <w:tcW w:w="8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196"/>
        </w:trPr>
        <w:tc>
          <w:tcPr>
            <w:tcW w:w="860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3"/>
                <w:szCs w:val="13"/>
                <w:color w:val="auto"/>
              </w:rPr>
              <w:t>Fuel cost recovery</w:t>
            </w:r>
          </w:p>
        </w:tc>
        <w:tc>
          <w:tcPr>
            <w:tcW w:w="88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3"/>
                <w:szCs w:val="13"/>
                <w:color w:val="auto"/>
              </w:rPr>
              <w:t>68</w:t>
            </w:r>
          </w:p>
        </w:tc>
        <w:tc>
          <w:tcPr>
            <w:tcW w:w="1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3"/>
                <w:szCs w:val="13"/>
                <w:color w:val="auto"/>
              </w:rPr>
              <w:t>53</w:t>
            </w:r>
          </w:p>
        </w:tc>
      </w:tr>
      <w:tr>
        <w:trPr>
          <w:trHeight w:val="189"/>
        </w:trPr>
        <w:tc>
          <w:tcPr>
            <w:tcW w:w="8600" w:type="dxa"/>
            <w:vAlign w:val="bottom"/>
          </w:tcPr>
          <w:p>
            <w:pPr>
              <w:ind w:left="400"/>
              <w:spacing w:after="0"/>
              <w:rPr>
                <w:sz w:val="20"/>
                <w:szCs w:val="20"/>
                <w:color w:val="auto"/>
              </w:rPr>
            </w:pPr>
            <w:r>
              <w:rPr>
                <w:rFonts w:ascii="Arial" w:cs="Arial" w:eastAsia="Arial" w:hAnsi="Arial"/>
                <w:sz w:val="13"/>
                <w:szCs w:val="13"/>
                <w:color w:val="auto"/>
              </w:rPr>
              <w:t>Non-trading derivatives, net</w:t>
            </w:r>
          </w:p>
        </w:tc>
        <w:tc>
          <w:tcPr>
            <w:tcW w:w="880" w:type="dxa"/>
            <w:vAlign w:val="bottom"/>
          </w:tcPr>
          <w:p>
            <w:pPr>
              <w:spacing w:after="0"/>
              <w:rPr>
                <w:sz w:val="16"/>
                <w:szCs w:val="16"/>
                <w:color w:val="auto"/>
              </w:rPr>
            </w:pPr>
          </w:p>
        </w:tc>
        <w:tc>
          <w:tcPr>
            <w:tcW w:w="520" w:type="dxa"/>
            <w:vAlign w:val="bottom"/>
          </w:tcPr>
          <w:p>
            <w:pPr>
              <w:jc w:val="right"/>
              <w:ind w:right="15"/>
              <w:spacing w:after="0"/>
              <w:rPr>
                <w:sz w:val="20"/>
                <w:szCs w:val="20"/>
                <w:color w:val="auto"/>
              </w:rPr>
            </w:pPr>
            <w:r>
              <w:rPr>
                <w:rFonts w:ascii="Arial" w:cs="Arial" w:eastAsia="Arial" w:hAnsi="Arial"/>
                <w:sz w:val="13"/>
                <w:szCs w:val="13"/>
                <w:color w:val="auto"/>
              </w:rPr>
              <w:t>(66)</w:t>
            </w: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00" w:type="dxa"/>
            <w:vAlign w:val="bottom"/>
          </w:tcPr>
          <w:p>
            <w:pPr>
              <w:jc w:val="right"/>
              <w:ind w:right="35"/>
              <w:spacing w:after="0"/>
              <w:rPr>
                <w:sz w:val="20"/>
                <w:szCs w:val="20"/>
                <w:color w:val="auto"/>
              </w:rPr>
            </w:pPr>
            <w:r>
              <w:rPr>
                <w:rFonts w:ascii="Arial" w:cs="Arial" w:eastAsia="Arial" w:hAnsi="Arial"/>
                <w:sz w:val="13"/>
                <w:szCs w:val="13"/>
                <w:color w:val="auto"/>
              </w:rPr>
              <w:t>63</w:t>
            </w:r>
          </w:p>
        </w:tc>
      </w:tr>
      <w:tr>
        <w:trPr>
          <w:trHeight w:val="27"/>
        </w:trPr>
        <w:tc>
          <w:tcPr>
            <w:tcW w:w="8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196"/>
        </w:trPr>
        <w:tc>
          <w:tcPr>
            <w:tcW w:w="860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3"/>
                <w:szCs w:val="13"/>
                <w:color w:val="auto"/>
              </w:rPr>
              <w:t>Margin deposits, net</w:t>
            </w:r>
          </w:p>
        </w:tc>
        <w:tc>
          <w:tcPr>
            <w:tcW w:w="88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3"/>
                <w:szCs w:val="13"/>
                <w:color w:val="auto"/>
              </w:rPr>
              <w:t>(33)</w:t>
            </w:r>
          </w:p>
        </w:tc>
        <w:tc>
          <w:tcPr>
            <w:tcW w:w="1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3"/>
                <w:szCs w:val="13"/>
                <w:color w:val="auto"/>
              </w:rPr>
              <w:t>2</w:t>
            </w:r>
          </w:p>
        </w:tc>
      </w:tr>
      <w:tr>
        <w:trPr>
          <w:trHeight w:val="189"/>
        </w:trPr>
        <w:tc>
          <w:tcPr>
            <w:tcW w:w="8600" w:type="dxa"/>
            <w:vAlign w:val="bottom"/>
          </w:tcPr>
          <w:p>
            <w:pPr>
              <w:ind w:left="400"/>
              <w:spacing w:after="0"/>
              <w:rPr>
                <w:sz w:val="20"/>
                <w:szCs w:val="20"/>
                <w:color w:val="auto"/>
              </w:rPr>
            </w:pPr>
            <w:r>
              <w:rPr>
                <w:rFonts w:ascii="Arial" w:cs="Arial" w:eastAsia="Arial" w:hAnsi="Arial"/>
                <w:sz w:val="13"/>
                <w:szCs w:val="13"/>
                <w:color w:val="auto"/>
              </w:rPr>
              <w:t>Interest and taxes accrued</w:t>
            </w:r>
          </w:p>
        </w:tc>
        <w:tc>
          <w:tcPr>
            <w:tcW w:w="880" w:type="dxa"/>
            <w:vAlign w:val="bottom"/>
          </w:tcPr>
          <w:p>
            <w:pPr>
              <w:spacing w:after="0"/>
              <w:rPr>
                <w:sz w:val="16"/>
                <w:szCs w:val="16"/>
                <w:color w:val="auto"/>
              </w:rPr>
            </w:pPr>
          </w:p>
        </w:tc>
        <w:tc>
          <w:tcPr>
            <w:tcW w:w="520" w:type="dxa"/>
            <w:vAlign w:val="bottom"/>
          </w:tcPr>
          <w:p>
            <w:pPr>
              <w:jc w:val="right"/>
              <w:ind w:right="15"/>
              <w:spacing w:after="0"/>
              <w:rPr>
                <w:sz w:val="20"/>
                <w:szCs w:val="20"/>
                <w:color w:val="auto"/>
              </w:rPr>
            </w:pPr>
            <w:r>
              <w:rPr>
                <w:rFonts w:ascii="Arial" w:cs="Arial" w:eastAsia="Arial" w:hAnsi="Arial"/>
                <w:sz w:val="13"/>
                <w:szCs w:val="13"/>
                <w:color w:val="auto"/>
              </w:rPr>
              <w:t>(89)</w:t>
            </w: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(53)</w:t>
            </w:r>
          </w:p>
        </w:tc>
      </w:tr>
      <w:tr>
        <w:trPr>
          <w:trHeight w:val="27"/>
        </w:trPr>
        <w:tc>
          <w:tcPr>
            <w:tcW w:w="8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196"/>
        </w:trPr>
        <w:tc>
          <w:tcPr>
            <w:tcW w:w="860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3"/>
                <w:szCs w:val="13"/>
                <w:color w:val="auto"/>
              </w:rPr>
              <w:t>Net regulatory assets and liabilities</w:t>
            </w:r>
          </w:p>
        </w:tc>
        <w:tc>
          <w:tcPr>
            <w:tcW w:w="88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3"/>
                <w:szCs w:val="13"/>
                <w:color w:val="auto"/>
              </w:rPr>
              <w:t>(101)</w:t>
            </w:r>
          </w:p>
        </w:tc>
        <w:tc>
          <w:tcPr>
            <w:tcW w:w="1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3"/>
                <w:szCs w:val="13"/>
                <w:color w:val="auto"/>
              </w:rPr>
              <w:t>44</w:t>
            </w:r>
          </w:p>
        </w:tc>
      </w:tr>
      <w:tr>
        <w:trPr>
          <w:trHeight w:val="189"/>
        </w:trPr>
        <w:tc>
          <w:tcPr>
            <w:tcW w:w="8600" w:type="dxa"/>
            <w:vAlign w:val="bottom"/>
          </w:tcPr>
          <w:p>
            <w:pPr>
              <w:ind w:left="400"/>
              <w:spacing w:after="0"/>
              <w:rPr>
                <w:sz w:val="20"/>
                <w:szCs w:val="20"/>
                <w:color w:val="auto"/>
              </w:rPr>
            </w:pPr>
            <w:r>
              <w:rPr>
                <w:rFonts w:ascii="Arial" w:cs="Arial" w:eastAsia="Arial" w:hAnsi="Arial"/>
                <w:sz w:val="13"/>
                <w:szCs w:val="13"/>
                <w:color w:val="auto"/>
              </w:rPr>
              <w:t>Other current assets</w:t>
            </w:r>
          </w:p>
        </w:tc>
        <w:tc>
          <w:tcPr>
            <w:tcW w:w="880" w:type="dxa"/>
            <w:vAlign w:val="bottom"/>
          </w:tcPr>
          <w:p>
            <w:pPr>
              <w:spacing w:after="0"/>
              <w:rPr>
                <w:sz w:val="16"/>
                <w:szCs w:val="16"/>
                <w:color w:val="auto"/>
              </w:rPr>
            </w:pPr>
          </w:p>
        </w:tc>
        <w:tc>
          <w:tcPr>
            <w:tcW w:w="520" w:type="dxa"/>
            <w:vAlign w:val="bottom"/>
          </w:tcPr>
          <w:p>
            <w:pPr>
              <w:jc w:val="right"/>
              <w:ind w:right="55"/>
              <w:spacing w:after="0"/>
              <w:rPr>
                <w:sz w:val="20"/>
                <w:szCs w:val="20"/>
                <w:color w:val="auto"/>
              </w:rPr>
            </w:pPr>
            <w:r>
              <w:rPr>
                <w:rFonts w:ascii="Arial" w:cs="Arial" w:eastAsia="Arial" w:hAnsi="Arial"/>
                <w:sz w:val="13"/>
                <w:szCs w:val="13"/>
                <w:color w:val="auto"/>
              </w:rPr>
              <w:t>31</w:t>
            </w: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00" w:type="dxa"/>
            <w:vAlign w:val="bottom"/>
          </w:tcPr>
          <w:p>
            <w:pPr>
              <w:jc w:val="right"/>
              <w:ind w:right="35"/>
              <w:spacing w:after="0"/>
              <w:rPr>
                <w:sz w:val="20"/>
                <w:szCs w:val="20"/>
                <w:color w:val="auto"/>
              </w:rPr>
            </w:pPr>
            <w:r>
              <w:rPr>
                <w:rFonts w:ascii="Arial" w:cs="Arial" w:eastAsia="Arial" w:hAnsi="Arial"/>
                <w:sz w:val="13"/>
                <w:szCs w:val="13"/>
                <w:color w:val="auto"/>
              </w:rPr>
              <w:t>11</w:t>
            </w:r>
          </w:p>
        </w:tc>
      </w:tr>
      <w:tr>
        <w:trPr>
          <w:trHeight w:val="27"/>
        </w:trPr>
        <w:tc>
          <w:tcPr>
            <w:tcW w:w="8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196"/>
        </w:trPr>
        <w:tc>
          <w:tcPr>
            <w:tcW w:w="860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3"/>
                <w:szCs w:val="13"/>
                <w:color w:val="auto"/>
              </w:rPr>
              <w:t>Other current liabilities</w:t>
            </w:r>
          </w:p>
        </w:tc>
        <w:tc>
          <w:tcPr>
            <w:tcW w:w="88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3"/>
                <w:szCs w:val="13"/>
                <w:color w:val="auto"/>
              </w:rPr>
              <w:t>(118)</w:t>
            </w:r>
          </w:p>
        </w:tc>
        <w:tc>
          <w:tcPr>
            <w:tcW w:w="1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3"/>
                <w:szCs w:val="13"/>
                <w:color w:val="auto"/>
              </w:rPr>
              <w:t>16</w:t>
            </w:r>
          </w:p>
        </w:tc>
      </w:tr>
      <w:tr>
        <w:trPr>
          <w:trHeight w:val="189"/>
        </w:trPr>
        <w:tc>
          <w:tcPr>
            <w:tcW w:w="8600" w:type="dxa"/>
            <w:vAlign w:val="bottom"/>
          </w:tcPr>
          <w:p>
            <w:pPr>
              <w:ind w:left="400"/>
              <w:spacing w:after="0"/>
              <w:rPr>
                <w:sz w:val="20"/>
                <w:szCs w:val="20"/>
                <w:color w:val="auto"/>
              </w:rPr>
            </w:pPr>
            <w:r>
              <w:rPr>
                <w:rFonts w:ascii="Arial" w:cs="Arial" w:eastAsia="Arial" w:hAnsi="Arial"/>
                <w:sz w:val="13"/>
                <w:szCs w:val="13"/>
                <w:color w:val="auto"/>
              </w:rPr>
              <w:t>Other assets</w:t>
            </w:r>
          </w:p>
        </w:tc>
        <w:tc>
          <w:tcPr>
            <w:tcW w:w="880" w:type="dxa"/>
            <w:vAlign w:val="bottom"/>
          </w:tcPr>
          <w:p>
            <w:pPr>
              <w:spacing w:after="0"/>
              <w:rPr>
                <w:sz w:val="16"/>
                <w:szCs w:val="16"/>
                <w:color w:val="auto"/>
              </w:rPr>
            </w:pPr>
          </w:p>
        </w:tc>
        <w:tc>
          <w:tcPr>
            <w:tcW w:w="520" w:type="dxa"/>
            <w:vAlign w:val="bottom"/>
          </w:tcPr>
          <w:p>
            <w:pPr>
              <w:jc w:val="right"/>
              <w:ind w:right="55"/>
              <w:spacing w:after="0"/>
              <w:rPr>
                <w:sz w:val="20"/>
                <w:szCs w:val="20"/>
                <w:color w:val="auto"/>
              </w:rPr>
            </w:pPr>
            <w:r>
              <w:rPr>
                <w:rFonts w:ascii="Arial" w:cs="Arial" w:eastAsia="Arial" w:hAnsi="Arial"/>
                <w:sz w:val="13"/>
                <w:szCs w:val="13"/>
                <w:color w:val="auto"/>
              </w:rPr>
              <w:t>81</w:t>
            </w: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(3)</w:t>
            </w:r>
          </w:p>
        </w:tc>
      </w:tr>
      <w:tr>
        <w:trPr>
          <w:trHeight w:val="27"/>
        </w:trPr>
        <w:tc>
          <w:tcPr>
            <w:tcW w:w="8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196"/>
        </w:trPr>
        <w:tc>
          <w:tcPr>
            <w:tcW w:w="860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3"/>
                <w:szCs w:val="13"/>
                <w:color w:val="auto"/>
              </w:rPr>
              <w:t>Other liabilities</w:t>
            </w:r>
          </w:p>
        </w:tc>
        <w:tc>
          <w:tcPr>
            <w:tcW w:w="88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3"/>
                <w:szCs w:val="13"/>
                <w:color w:val="auto"/>
              </w:rPr>
              <w:t>(22)</w:t>
            </w:r>
          </w:p>
        </w:tc>
        <w:tc>
          <w:tcPr>
            <w:tcW w:w="1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3"/>
                <w:szCs w:val="13"/>
                <w:color w:val="auto"/>
              </w:rPr>
              <w:t>24</w:t>
            </w:r>
          </w:p>
        </w:tc>
      </w:tr>
      <w:tr>
        <w:trPr>
          <w:trHeight w:val="189"/>
        </w:trPr>
        <w:tc>
          <w:tcPr>
            <w:tcW w:w="8600" w:type="dxa"/>
            <w:vAlign w:val="bottom"/>
          </w:tcPr>
          <w:p>
            <w:pPr>
              <w:ind w:left="300"/>
              <w:spacing w:after="0"/>
              <w:rPr>
                <w:sz w:val="20"/>
                <w:szCs w:val="20"/>
                <w:color w:val="auto"/>
              </w:rPr>
            </w:pPr>
            <w:r>
              <w:rPr>
                <w:rFonts w:ascii="Arial" w:cs="Arial" w:eastAsia="Arial" w:hAnsi="Arial"/>
                <w:sz w:val="13"/>
                <w:szCs w:val="13"/>
                <w:color w:val="auto"/>
              </w:rPr>
              <w:t>Other operating activities, net</w:t>
            </w:r>
          </w:p>
        </w:tc>
        <w:tc>
          <w:tcPr>
            <w:tcW w:w="880" w:type="dxa"/>
            <w:vAlign w:val="bottom"/>
          </w:tcPr>
          <w:p>
            <w:pPr>
              <w:spacing w:after="0"/>
              <w:rPr>
                <w:sz w:val="16"/>
                <w:szCs w:val="16"/>
                <w:color w:val="auto"/>
              </w:rPr>
            </w:pPr>
          </w:p>
        </w:tc>
        <w:tc>
          <w:tcPr>
            <w:tcW w:w="520" w:type="dxa"/>
            <w:vAlign w:val="bottom"/>
          </w:tcPr>
          <w:p>
            <w:pPr>
              <w:jc w:val="right"/>
              <w:ind w:right="55"/>
              <w:spacing w:after="0"/>
              <w:rPr>
                <w:sz w:val="20"/>
                <w:szCs w:val="20"/>
                <w:color w:val="auto"/>
              </w:rPr>
            </w:pPr>
            <w:r>
              <w:rPr>
                <w:rFonts w:ascii="Arial" w:cs="Arial" w:eastAsia="Arial" w:hAnsi="Arial"/>
                <w:sz w:val="13"/>
                <w:szCs w:val="13"/>
                <w:color w:val="auto"/>
              </w:rPr>
              <w:t>10</w:t>
            </w: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00" w:type="dxa"/>
            <w:vAlign w:val="bottom"/>
          </w:tcPr>
          <w:p>
            <w:pPr>
              <w:jc w:val="right"/>
              <w:ind w:right="35"/>
              <w:spacing w:after="0"/>
              <w:rPr>
                <w:sz w:val="20"/>
                <w:szCs w:val="20"/>
                <w:color w:val="auto"/>
              </w:rPr>
            </w:pPr>
            <w:r>
              <w:rPr>
                <w:rFonts w:ascii="Arial" w:cs="Arial" w:eastAsia="Arial" w:hAnsi="Arial"/>
                <w:sz w:val="13"/>
                <w:szCs w:val="13"/>
                <w:color w:val="auto"/>
              </w:rPr>
              <w:t>10</w:t>
            </w:r>
          </w:p>
        </w:tc>
      </w:tr>
      <w:tr>
        <w:trPr>
          <w:trHeight w:val="27"/>
        </w:trPr>
        <w:tc>
          <w:tcPr>
            <w:tcW w:w="86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196"/>
        </w:trPr>
        <w:tc>
          <w:tcPr>
            <w:tcW w:w="860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3"/>
                <w:szCs w:val="13"/>
                <w:color w:val="auto"/>
              </w:rPr>
              <w:t>Net cash provided by operating activities</w:t>
            </w:r>
          </w:p>
        </w:tc>
        <w:tc>
          <w:tcPr>
            <w:tcW w:w="88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3"/>
                <w:szCs w:val="13"/>
                <w:color w:val="auto"/>
              </w:rPr>
              <w:t>1,086</w:t>
            </w:r>
          </w:p>
        </w:tc>
        <w:tc>
          <w:tcPr>
            <w:tcW w:w="1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3"/>
                <w:szCs w:val="13"/>
                <w:color w:val="auto"/>
              </w:rPr>
              <w:t>1,679</w:t>
            </w:r>
          </w:p>
        </w:tc>
      </w:tr>
      <w:tr>
        <w:trPr>
          <w:trHeight w:val="180"/>
        </w:trPr>
        <w:tc>
          <w:tcPr>
            <w:tcW w:w="8600" w:type="dxa"/>
            <w:vAlign w:val="bottom"/>
          </w:tcPr>
          <w:p>
            <w:pPr>
              <w:ind w:left="20"/>
              <w:spacing w:after="0"/>
              <w:rPr>
                <w:sz w:val="20"/>
                <w:szCs w:val="20"/>
                <w:color w:val="auto"/>
              </w:rPr>
            </w:pPr>
            <w:r>
              <w:rPr>
                <w:rFonts w:ascii="Arial" w:cs="Arial" w:eastAsia="Arial" w:hAnsi="Arial"/>
                <w:sz w:val="13"/>
                <w:szCs w:val="13"/>
                <w:b w:val="1"/>
                <w:bCs w:val="1"/>
                <w:color w:val="auto"/>
              </w:rPr>
              <w:t>Cash Flows from Investing Activities:</w:t>
            </w:r>
          </w:p>
        </w:tc>
        <w:tc>
          <w:tcPr>
            <w:tcW w:w="88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r>
      <w:tr>
        <w:trPr>
          <w:trHeight w:val="27"/>
        </w:trPr>
        <w:tc>
          <w:tcPr>
            <w:tcW w:w="8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196"/>
        </w:trPr>
        <w:tc>
          <w:tcPr>
            <w:tcW w:w="86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3"/>
                <w:szCs w:val="13"/>
                <w:color w:val="auto"/>
              </w:rPr>
              <w:t>Capital expenditures</w:t>
            </w:r>
          </w:p>
        </w:tc>
        <w:tc>
          <w:tcPr>
            <w:tcW w:w="88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3"/>
                <w:szCs w:val="13"/>
                <w:color w:val="auto"/>
              </w:rPr>
              <w:t>(1,822)</w:t>
            </w:r>
          </w:p>
        </w:tc>
        <w:tc>
          <w:tcPr>
            <w:tcW w:w="1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(1,121)</w:t>
            </w:r>
          </w:p>
        </w:tc>
      </w:tr>
      <w:tr>
        <w:trPr>
          <w:trHeight w:val="189"/>
        </w:trPr>
        <w:tc>
          <w:tcPr>
            <w:tcW w:w="8600" w:type="dxa"/>
            <w:vAlign w:val="bottom"/>
          </w:tcPr>
          <w:p>
            <w:pPr>
              <w:ind w:left="140"/>
              <w:spacing w:after="0"/>
              <w:rPr>
                <w:sz w:val="20"/>
                <w:szCs w:val="20"/>
                <w:color w:val="auto"/>
              </w:rPr>
            </w:pPr>
            <w:r>
              <w:rPr>
                <w:rFonts w:ascii="Arial" w:cs="Arial" w:eastAsia="Arial" w:hAnsi="Arial"/>
                <w:sz w:val="13"/>
                <w:szCs w:val="13"/>
                <w:color w:val="auto"/>
              </w:rPr>
              <w:t>Acquisitions, net of cash acquired</w:t>
            </w:r>
          </w:p>
        </w:tc>
        <w:tc>
          <w:tcPr>
            <w:tcW w:w="880" w:type="dxa"/>
            <w:vAlign w:val="bottom"/>
          </w:tcPr>
          <w:p>
            <w:pPr>
              <w:spacing w:after="0"/>
              <w:rPr>
                <w:sz w:val="16"/>
                <w:szCs w:val="16"/>
                <w:color w:val="auto"/>
              </w:rPr>
            </w:pPr>
          </w:p>
        </w:tc>
        <w:tc>
          <w:tcPr>
            <w:tcW w:w="520" w:type="dxa"/>
            <w:vAlign w:val="bottom"/>
          </w:tcPr>
          <w:p>
            <w:pPr>
              <w:jc w:val="right"/>
              <w:ind w:right="15"/>
              <w:spacing w:after="0"/>
              <w:rPr>
                <w:sz w:val="20"/>
                <w:szCs w:val="20"/>
                <w:color w:val="auto"/>
              </w:rPr>
            </w:pPr>
            <w:r>
              <w:rPr>
                <w:rFonts w:ascii="Arial" w:cs="Arial" w:eastAsia="Arial" w:hAnsi="Arial"/>
                <w:sz w:val="13"/>
                <w:szCs w:val="13"/>
                <w:color w:val="auto"/>
              </w:rPr>
              <w:t>(5,991)</w:t>
            </w: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00" w:type="dxa"/>
            <w:vAlign w:val="bottom"/>
          </w:tcPr>
          <w:p>
            <w:pPr>
              <w:jc w:val="right"/>
              <w:ind w:right="35"/>
              <w:spacing w:after="0"/>
              <w:rPr>
                <w:sz w:val="20"/>
                <w:szCs w:val="20"/>
                <w:color w:val="auto"/>
              </w:rPr>
            </w:pPr>
            <w:r>
              <w:rPr>
                <w:rFonts w:ascii="Arial" w:cs="Arial" w:eastAsia="Arial" w:hAnsi="Arial"/>
                <w:sz w:val="13"/>
                <w:szCs w:val="13"/>
                <w:color w:val="auto"/>
              </w:rPr>
              <w:t>—</w:t>
            </w:r>
          </w:p>
        </w:tc>
      </w:tr>
      <w:tr>
        <w:trPr>
          <w:trHeight w:val="27"/>
        </w:trPr>
        <w:tc>
          <w:tcPr>
            <w:tcW w:w="8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196"/>
        </w:trPr>
        <w:tc>
          <w:tcPr>
            <w:tcW w:w="86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3"/>
                <w:szCs w:val="13"/>
                <w:color w:val="auto"/>
              </w:rPr>
              <w:t>Distributions from unconsolidated affiliate in excess of cumulative earnings</w:t>
            </w:r>
          </w:p>
        </w:tc>
        <w:tc>
          <w:tcPr>
            <w:tcW w:w="88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3"/>
                <w:szCs w:val="13"/>
                <w:color w:val="auto"/>
              </w:rPr>
              <w:t>30</w:t>
            </w:r>
          </w:p>
        </w:tc>
      </w:tr>
      <w:tr>
        <w:trPr>
          <w:trHeight w:val="189"/>
        </w:trPr>
        <w:tc>
          <w:tcPr>
            <w:tcW w:w="8600" w:type="dxa"/>
            <w:vAlign w:val="bottom"/>
          </w:tcPr>
          <w:p>
            <w:pPr>
              <w:ind w:left="140"/>
              <w:spacing w:after="0"/>
              <w:rPr>
                <w:sz w:val="20"/>
                <w:szCs w:val="20"/>
                <w:color w:val="auto"/>
              </w:rPr>
            </w:pPr>
            <w:r>
              <w:rPr>
                <w:rFonts w:ascii="Arial" w:cs="Arial" w:eastAsia="Arial" w:hAnsi="Arial"/>
                <w:sz w:val="13"/>
                <w:szCs w:val="13"/>
                <w:color w:val="auto"/>
              </w:rPr>
              <w:t>Proceeds from sale of marketable securities</w:t>
            </w:r>
          </w:p>
        </w:tc>
        <w:tc>
          <w:tcPr>
            <w:tcW w:w="880" w:type="dxa"/>
            <w:vAlign w:val="bottom"/>
          </w:tcPr>
          <w:p>
            <w:pPr>
              <w:spacing w:after="0"/>
              <w:rPr>
                <w:sz w:val="16"/>
                <w:szCs w:val="16"/>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60" w:type="dxa"/>
            <w:vAlign w:val="bottom"/>
          </w:tcPr>
          <w:p>
            <w:pPr>
              <w:spacing w:after="0"/>
              <w:rPr>
                <w:sz w:val="16"/>
                <w:szCs w:val="16"/>
                <w:color w:val="auto"/>
              </w:rPr>
            </w:pPr>
          </w:p>
        </w:tc>
        <w:tc>
          <w:tcPr>
            <w:tcW w:w="500" w:type="dxa"/>
            <w:vAlign w:val="bottom"/>
          </w:tcPr>
          <w:p>
            <w:pPr>
              <w:jc w:val="right"/>
              <w:ind w:right="35"/>
              <w:spacing w:after="0"/>
              <w:rPr>
                <w:sz w:val="20"/>
                <w:szCs w:val="20"/>
                <w:color w:val="auto"/>
              </w:rPr>
            </w:pPr>
            <w:r>
              <w:rPr>
                <w:rFonts w:ascii="Arial" w:cs="Arial" w:eastAsia="Arial" w:hAnsi="Arial"/>
                <w:sz w:val="13"/>
                <w:szCs w:val="13"/>
                <w:color w:val="auto"/>
              </w:rPr>
              <w:t>398</w:t>
            </w:r>
          </w:p>
        </w:tc>
      </w:tr>
      <w:tr>
        <w:trPr>
          <w:trHeight w:val="27"/>
        </w:trPr>
        <w:tc>
          <w:tcPr>
            <w:tcW w:w="8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16"/>
        </w:trPr>
        <w:tc>
          <w:tcPr>
            <w:tcW w:w="86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3"/>
                <w:szCs w:val="13"/>
                <w:color w:val="auto"/>
              </w:rPr>
              <w:t>Other investing activities, net</w:t>
            </w:r>
          </w:p>
        </w:tc>
        <w:tc>
          <w:tcPr>
            <w:tcW w:w="88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3"/>
                <w:szCs w:val="13"/>
                <w:color w:val="auto"/>
              </w:rPr>
              <w:t>38</w:t>
            </w:r>
          </w:p>
        </w:tc>
        <w:tc>
          <w:tcPr>
            <w:tcW w:w="10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3"/>
                <w:szCs w:val="13"/>
                <w:color w:val="auto"/>
              </w:rPr>
              <w:t>19</w:t>
            </w:r>
          </w:p>
        </w:tc>
      </w:tr>
      <w:tr>
        <w:trPr>
          <w:trHeight w:val="169"/>
        </w:trPr>
        <w:tc>
          <w:tcPr>
            <w:tcW w:w="8600" w:type="dxa"/>
            <w:vAlign w:val="bottom"/>
          </w:tcPr>
          <w:p>
            <w:pPr>
              <w:ind w:left="560"/>
              <w:spacing w:after="0"/>
              <w:rPr>
                <w:sz w:val="20"/>
                <w:szCs w:val="20"/>
                <w:color w:val="auto"/>
              </w:rPr>
            </w:pPr>
            <w:r>
              <w:rPr>
                <w:rFonts w:ascii="Arial" w:cs="Arial" w:eastAsia="Arial" w:hAnsi="Arial"/>
                <w:sz w:val="13"/>
                <w:szCs w:val="13"/>
                <w:color w:val="auto"/>
              </w:rPr>
              <w:t>Net cash used in investing activities</w:t>
            </w:r>
          </w:p>
        </w:tc>
        <w:tc>
          <w:tcPr>
            <w:tcW w:w="88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jc w:val="right"/>
              <w:ind w:right="15"/>
              <w:spacing w:after="0"/>
              <w:rPr>
                <w:sz w:val="20"/>
                <w:szCs w:val="20"/>
                <w:color w:val="auto"/>
              </w:rPr>
            </w:pPr>
            <w:r>
              <w:rPr>
                <w:rFonts w:ascii="Arial" w:cs="Arial" w:eastAsia="Arial" w:hAnsi="Arial"/>
                <w:sz w:val="13"/>
                <w:szCs w:val="13"/>
                <w:color w:val="auto"/>
              </w:rPr>
              <w:t>(7,775)</w:t>
            </w:r>
          </w:p>
        </w:tc>
        <w:tc>
          <w:tcPr>
            <w:tcW w:w="100" w:type="dxa"/>
            <w:vAlign w:val="bottom"/>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(674)</w:t>
            </w:r>
          </w:p>
        </w:tc>
      </w:tr>
      <w:tr>
        <w:trPr>
          <w:trHeight w:val="27"/>
        </w:trPr>
        <w:tc>
          <w:tcPr>
            <w:tcW w:w="86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186"/>
        </w:trPr>
        <w:tc>
          <w:tcPr>
            <w:tcW w:w="8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Cash Flows from Financing Activities:</w:t>
            </w:r>
          </w:p>
        </w:tc>
        <w:tc>
          <w:tcPr>
            <w:tcW w:w="88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r>
      <w:tr>
        <w:trPr>
          <w:trHeight w:val="189"/>
        </w:trPr>
        <w:tc>
          <w:tcPr>
            <w:tcW w:w="8600" w:type="dxa"/>
            <w:vAlign w:val="bottom"/>
          </w:tcPr>
          <w:p>
            <w:pPr>
              <w:ind w:left="140"/>
              <w:spacing w:after="0"/>
              <w:rPr>
                <w:sz w:val="20"/>
                <w:szCs w:val="20"/>
                <w:color w:val="auto"/>
              </w:rPr>
            </w:pPr>
            <w:r>
              <w:rPr>
                <w:rFonts w:ascii="Arial" w:cs="Arial" w:eastAsia="Arial" w:hAnsi="Arial"/>
                <w:sz w:val="13"/>
                <w:szCs w:val="13"/>
                <w:color w:val="auto"/>
              </w:rPr>
              <w:t>Decrease in short-term borrowings, net</w:t>
            </w:r>
          </w:p>
        </w:tc>
        <w:tc>
          <w:tcPr>
            <w:tcW w:w="880" w:type="dxa"/>
            <w:vAlign w:val="bottom"/>
          </w:tcPr>
          <w:p>
            <w:pPr>
              <w:spacing w:after="0"/>
              <w:rPr>
                <w:sz w:val="16"/>
                <w:szCs w:val="16"/>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(39)</w:t>
            </w:r>
          </w:p>
        </w:tc>
      </w:tr>
      <w:tr>
        <w:trPr>
          <w:trHeight w:val="27"/>
        </w:trPr>
        <w:tc>
          <w:tcPr>
            <w:tcW w:w="8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196"/>
        </w:trPr>
        <w:tc>
          <w:tcPr>
            <w:tcW w:w="86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3"/>
                <w:szCs w:val="13"/>
                <w:color w:val="auto"/>
              </w:rPr>
              <w:t>Proceeds from (payments of) commercial paper, net</w:t>
            </w:r>
          </w:p>
        </w:tc>
        <w:tc>
          <w:tcPr>
            <w:tcW w:w="88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3"/>
                <w:szCs w:val="13"/>
                <w:color w:val="auto"/>
              </w:rPr>
              <w:t>1,584</w:t>
            </w:r>
          </w:p>
        </w:tc>
        <w:tc>
          <w:tcPr>
            <w:tcW w:w="1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(1,551)</w:t>
            </w:r>
          </w:p>
        </w:tc>
      </w:tr>
      <w:tr>
        <w:trPr>
          <w:trHeight w:val="189"/>
        </w:trPr>
        <w:tc>
          <w:tcPr>
            <w:tcW w:w="8600" w:type="dxa"/>
            <w:vAlign w:val="bottom"/>
          </w:tcPr>
          <w:p>
            <w:pPr>
              <w:ind w:left="140"/>
              <w:spacing w:after="0"/>
              <w:rPr>
                <w:sz w:val="20"/>
                <w:szCs w:val="20"/>
                <w:color w:val="auto"/>
              </w:rPr>
            </w:pPr>
            <w:r>
              <w:rPr>
                <w:rFonts w:ascii="Arial" w:cs="Arial" w:eastAsia="Arial" w:hAnsi="Arial"/>
                <w:sz w:val="13"/>
                <w:szCs w:val="13"/>
                <w:color w:val="auto"/>
              </w:rPr>
              <w:t>Proceeds from long-term debt, net</w:t>
            </w:r>
          </w:p>
        </w:tc>
        <w:tc>
          <w:tcPr>
            <w:tcW w:w="880" w:type="dxa"/>
            <w:vAlign w:val="bottom"/>
          </w:tcPr>
          <w:p>
            <w:pPr>
              <w:spacing w:after="0"/>
              <w:rPr>
                <w:sz w:val="16"/>
                <w:szCs w:val="16"/>
                <w:color w:val="auto"/>
              </w:rPr>
            </w:pPr>
          </w:p>
        </w:tc>
        <w:tc>
          <w:tcPr>
            <w:tcW w:w="520" w:type="dxa"/>
            <w:vAlign w:val="bottom"/>
          </w:tcPr>
          <w:p>
            <w:pPr>
              <w:jc w:val="right"/>
              <w:ind w:right="55"/>
              <w:spacing w:after="0"/>
              <w:rPr>
                <w:sz w:val="20"/>
                <w:szCs w:val="20"/>
                <w:color w:val="auto"/>
              </w:rPr>
            </w:pPr>
            <w:r>
              <w:rPr>
                <w:rFonts w:ascii="Arial" w:cs="Arial" w:eastAsia="Arial" w:hAnsi="Arial"/>
                <w:sz w:val="13"/>
                <w:szCs w:val="13"/>
                <w:color w:val="auto"/>
              </w:rPr>
              <w:t>2,916</w:t>
            </w: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00" w:type="dxa"/>
            <w:vAlign w:val="bottom"/>
          </w:tcPr>
          <w:p>
            <w:pPr>
              <w:jc w:val="right"/>
              <w:ind w:right="35"/>
              <w:spacing w:after="0"/>
              <w:rPr>
                <w:sz w:val="20"/>
                <w:szCs w:val="20"/>
                <w:color w:val="auto"/>
              </w:rPr>
            </w:pPr>
            <w:r>
              <w:rPr>
                <w:rFonts w:ascii="Arial" w:cs="Arial" w:eastAsia="Arial" w:hAnsi="Arial"/>
                <w:sz w:val="13"/>
                <w:szCs w:val="13"/>
                <w:color w:val="auto"/>
              </w:rPr>
              <w:t>997</w:t>
            </w:r>
          </w:p>
        </w:tc>
      </w:tr>
      <w:tr>
        <w:trPr>
          <w:trHeight w:val="27"/>
        </w:trPr>
        <w:tc>
          <w:tcPr>
            <w:tcW w:w="8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196"/>
        </w:trPr>
        <w:tc>
          <w:tcPr>
            <w:tcW w:w="86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3"/>
                <w:szCs w:val="13"/>
                <w:color w:val="auto"/>
              </w:rPr>
              <w:t>Payments of long-term debt</w:t>
            </w:r>
          </w:p>
        </w:tc>
        <w:tc>
          <w:tcPr>
            <w:tcW w:w="88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3"/>
                <w:szCs w:val="13"/>
                <w:color w:val="auto"/>
              </w:rPr>
              <w:t>(1,225)</w:t>
            </w:r>
          </w:p>
        </w:tc>
        <w:tc>
          <w:tcPr>
            <w:tcW w:w="1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(368)</w:t>
            </w:r>
          </w:p>
        </w:tc>
      </w:tr>
      <w:tr>
        <w:trPr>
          <w:trHeight w:val="189"/>
        </w:trPr>
        <w:tc>
          <w:tcPr>
            <w:tcW w:w="8600" w:type="dxa"/>
            <w:vAlign w:val="bottom"/>
          </w:tcPr>
          <w:p>
            <w:pPr>
              <w:ind w:left="140"/>
              <w:spacing w:after="0"/>
              <w:rPr>
                <w:sz w:val="20"/>
                <w:szCs w:val="20"/>
                <w:color w:val="auto"/>
              </w:rPr>
            </w:pPr>
            <w:r>
              <w:rPr>
                <w:rFonts w:ascii="Arial" w:cs="Arial" w:eastAsia="Arial" w:hAnsi="Arial"/>
                <w:sz w:val="13"/>
                <w:szCs w:val="13"/>
                <w:color w:val="auto"/>
              </w:rPr>
              <w:t>Debt issuance costs</w:t>
            </w:r>
          </w:p>
        </w:tc>
        <w:tc>
          <w:tcPr>
            <w:tcW w:w="880" w:type="dxa"/>
            <w:vAlign w:val="bottom"/>
          </w:tcPr>
          <w:p>
            <w:pPr>
              <w:spacing w:after="0"/>
              <w:rPr>
                <w:sz w:val="16"/>
                <w:szCs w:val="16"/>
                <w:color w:val="auto"/>
              </w:rPr>
            </w:pPr>
          </w:p>
        </w:tc>
        <w:tc>
          <w:tcPr>
            <w:tcW w:w="520" w:type="dxa"/>
            <w:vAlign w:val="bottom"/>
          </w:tcPr>
          <w:p>
            <w:pPr>
              <w:jc w:val="right"/>
              <w:ind w:right="15"/>
              <w:spacing w:after="0"/>
              <w:rPr>
                <w:sz w:val="20"/>
                <w:szCs w:val="20"/>
                <w:color w:val="auto"/>
              </w:rPr>
            </w:pPr>
            <w:r>
              <w:rPr>
                <w:rFonts w:ascii="Arial" w:cs="Arial" w:eastAsia="Arial" w:hAnsi="Arial"/>
                <w:sz w:val="13"/>
                <w:szCs w:val="13"/>
                <w:color w:val="auto"/>
              </w:rPr>
              <w:t>(19)</w:t>
            </w: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(36)</w:t>
            </w:r>
          </w:p>
        </w:tc>
      </w:tr>
      <w:tr>
        <w:trPr>
          <w:trHeight w:val="27"/>
        </w:trPr>
        <w:tc>
          <w:tcPr>
            <w:tcW w:w="8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196"/>
        </w:trPr>
        <w:tc>
          <w:tcPr>
            <w:tcW w:w="86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3"/>
                <w:szCs w:val="13"/>
                <w:color w:val="auto"/>
              </w:rPr>
              <w:t>Payment of dividends on Common Stock</w:t>
            </w:r>
          </w:p>
        </w:tc>
        <w:tc>
          <w:tcPr>
            <w:tcW w:w="88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3"/>
                <w:szCs w:val="13"/>
                <w:color w:val="auto"/>
              </w:rPr>
              <w:t>(433)</w:t>
            </w:r>
          </w:p>
        </w:tc>
        <w:tc>
          <w:tcPr>
            <w:tcW w:w="1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(360)</w:t>
            </w:r>
          </w:p>
        </w:tc>
      </w:tr>
      <w:tr>
        <w:trPr>
          <w:trHeight w:val="189"/>
        </w:trPr>
        <w:tc>
          <w:tcPr>
            <w:tcW w:w="8600" w:type="dxa"/>
            <w:vAlign w:val="bottom"/>
          </w:tcPr>
          <w:p>
            <w:pPr>
              <w:ind w:left="140"/>
              <w:spacing w:after="0"/>
              <w:rPr>
                <w:sz w:val="20"/>
                <w:szCs w:val="20"/>
                <w:color w:val="auto"/>
              </w:rPr>
            </w:pPr>
            <w:r>
              <w:rPr>
                <w:rFonts w:ascii="Arial" w:cs="Arial" w:eastAsia="Arial" w:hAnsi="Arial"/>
                <w:sz w:val="13"/>
                <w:szCs w:val="13"/>
                <w:color w:val="auto"/>
              </w:rPr>
              <w:t>Payment of dividends on Preferred Stock</w:t>
            </w:r>
          </w:p>
        </w:tc>
        <w:tc>
          <w:tcPr>
            <w:tcW w:w="880" w:type="dxa"/>
            <w:vAlign w:val="bottom"/>
          </w:tcPr>
          <w:p>
            <w:pPr>
              <w:spacing w:after="0"/>
              <w:rPr>
                <w:sz w:val="16"/>
                <w:szCs w:val="16"/>
                <w:color w:val="auto"/>
              </w:rPr>
            </w:pPr>
          </w:p>
        </w:tc>
        <w:tc>
          <w:tcPr>
            <w:tcW w:w="520" w:type="dxa"/>
            <w:vAlign w:val="bottom"/>
          </w:tcPr>
          <w:p>
            <w:pPr>
              <w:jc w:val="right"/>
              <w:ind w:right="15"/>
              <w:spacing w:after="0"/>
              <w:rPr>
                <w:sz w:val="20"/>
                <w:szCs w:val="20"/>
                <w:color w:val="auto"/>
              </w:rPr>
            </w:pPr>
            <w:r>
              <w:rPr>
                <w:rFonts w:ascii="Arial" w:cs="Arial" w:eastAsia="Arial" w:hAnsi="Arial"/>
                <w:sz w:val="13"/>
                <w:szCs w:val="13"/>
                <w:color w:val="auto"/>
              </w:rPr>
              <w:t>(101)</w:t>
            </w: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00" w:type="dxa"/>
            <w:vAlign w:val="bottom"/>
          </w:tcPr>
          <w:p>
            <w:pPr>
              <w:jc w:val="right"/>
              <w:ind w:right="35"/>
              <w:spacing w:after="0"/>
              <w:rPr>
                <w:sz w:val="20"/>
                <w:szCs w:val="20"/>
                <w:color w:val="auto"/>
              </w:rPr>
            </w:pPr>
            <w:r>
              <w:rPr>
                <w:rFonts w:ascii="Arial" w:cs="Arial" w:eastAsia="Arial" w:hAnsi="Arial"/>
                <w:sz w:val="13"/>
                <w:szCs w:val="13"/>
                <w:color w:val="auto"/>
              </w:rPr>
              <w:t>—</w:t>
            </w:r>
          </w:p>
        </w:tc>
      </w:tr>
      <w:tr>
        <w:trPr>
          <w:trHeight w:val="27"/>
        </w:trPr>
        <w:tc>
          <w:tcPr>
            <w:tcW w:w="8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196"/>
        </w:trPr>
        <w:tc>
          <w:tcPr>
            <w:tcW w:w="86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3"/>
                <w:szCs w:val="13"/>
                <w:color w:val="auto"/>
              </w:rPr>
              <w:t>Proceeds from issuance of Series A Preferred Stock, net</w:t>
            </w:r>
          </w:p>
        </w:tc>
        <w:tc>
          <w:tcPr>
            <w:tcW w:w="88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3"/>
                <w:szCs w:val="13"/>
                <w:color w:val="auto"/>
              </w:rPr>
              <w:t>790</w:t>
            </w:r>
          </w:p>
        </w:tc>
      </w:tr>
      <w:tr>
        <w:trPr>
          <w:trHeight w:val="189"/>
        </w:trPr>
        <w:tc>
          <w:tcPr>
            <w:tcW w:w="8600" w:type="dxa"/>
            <w:vAlign w:val="bottom"/>
          </w:tcPr>
          <w:p>
            <w:pPr>
              <w:ind w:left="140"/>
              <w:spacing w:after="0"/>
              <w:rPr>
                <w:sz w:val="20"/>
                <w:szCs w:val="20"/>
                <w:color w:val="auto"/>
              </w:rPr>
            </w:pPr>
            <w:r>
              <w:rPr>
                <w:rFonts w:ascii="Arial" w:cs="Arial" w:eastAsia="Arial" w:hAnsi="Arial"/>
                <w:sz w:val="13"/>
                <w:szCs w:val="13"/>
                <w:color w:val="auto"/>
              </w:rPr>
              <w:t>Distribution to ZENS note holders</w:t>
            </w:r>
          </w:p>
        </w:tc>
        <w:tc>
          <w:tcPr>
            <w:tcW w:w="880" w:type="dxa"/>
            <w:vAlign w:val="bottom"/>
          </w:tcPr>
          <w:p>
            <w:pPr>
              <w:spacing w:after="0"/>
              <w:rPr>
                <w:sz w:val="16"/>
                <w:szCs w:val="16"/>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(398)</w:t>
            </w:r>
          </w:p>
        </w:tc>
      </w:tr>
      <w:tr>
        <w:trPr>
          <w:trHeight w:val="27"/>
        </w:trPr>
        <w:tc>
          <w:tcPr>
            <w:tcW w:w="8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16"/>
        </w:trPr>
        <w:tc>
          <w:tcPr>
            <w:tcW w:w="86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3"/>
                <w:szCs w:val="13"/>
                <w:color w:val="auto"/>
              </w:rPr>
              <w:t>Other financing activities, net</w:t>
            </w:r>
          </w:p>
        </w:tc>
        <w:tc>
          <w:tcPr>
            <w:tcW w:w="88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3"/>
                <w:szCs w:val="13"/>
                <w:color w:val="auto"/>
              </w:rPr>
              <w:t>(14)</w:t>
            </w:r>
          </w:p>
        </w:tc>
        <w:tc>
          <w:tcPr>
            <w:tcW w:w="10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w:t>
            </w:r>
          </w:p>
        </w:tc>
      </w:tr>
      <w:tr>
        <w:trPr>
          <w:trHeight w:val="169"/>
        </w:trPr>
        <w:tc>
          <w:tcPr>
            <w:tcW w:w="8600" w:type="dxa"/>
            <w:vAlign w:val="bottom"/>
          </w:tcPr>
          <w:p>
            <w:pPr>
              <w:ind w:left="560"/>
              <w:spacing w:after="0"/>
              <w:rPr>
                <w:sz w:val="20"/>
                <w:szCs w:val="20"/>
                <w:color w:val="auto"/>
              </w:rPr>
            </w:pPr>
            <w:r>
              <w:rPr>
                <w:rFonts w:ascii="Arial" w:cs="Arial" w:eastAsia="Arial" w:hAnsi="Arial"/>
                <w:sz w:val="13"/>
                <w:szCs w:val="13"/>
                <w:color w:val="auto"/>
              </w:rPr>
              <w:t>Net cash provided by (used in) financing activities</w:t>
            </w:r>
          </w:p>
        </w:tc>
        <w:tc>
          <w:tcPr>
            <w:tcW w:w="88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jc w:val="right"/>
              <w:ind w:right="55"/>
              <w:spacing w:after="0"/>
              <w:rPr>
                <w:sz w:val="20"/>
                <w:szCs w:val="20"/>
                <w:color w:val="auto"/>
              </w:rPr>
            </w:pPr>
            <w:r>
              <w:rPr>
                <w:rFonts w:ascii="Arial" w:cs="Arial" w:eastAsia="Arial" w:hAnsi="Arial"/>
                <w:sz w:val="13"/>
                <w:szCs w:val="13"/>
                <w:color w:val="auto"/>
              </w:rPr>
              <w:t>2,708</w:t>
            </w:r>
          </w:p>
        </w:tc>
        <w:tc>
          <w:tcPr>
            <w:tcW w:w="100" w:type="dxa"/>
            <w:vAlign w:val="bottom"/>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(970)</w:t>
            </w:r>
          </w:p>
        </w:tc>
      </w:tr>
      <w:tr>
        <w:trPr>
          <w:trHeight w:val="27"/>
        </w:trPr>
        <w:tc>
          <w:tcPr>
            <w:tcW w:w="86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176"/>
        </w:trPr>
        <w:tc>
          <w:tcPr>
            <w:tcW w:w="8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Net Increase (Decrease) in Cash, Cash Equivalents and Restricted Cash</w:t>
            </w:r>
          </w:p>
        </w:tc>
        <w:tc>
          <w:tcPr>
            <w:tcW w:w="88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3"/>
                <w:szCs w:val="13"/>
                <w:color w:val="auto"/>
              </w:rPr>
              <w:t>(3,981)</w:t>
            </w:r>
          </w:p>
        </w:tc>
        <w:tc>
          <w:tcPr>
            <w:tcW w:w="10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3"/>
                <w:szCs w:val="13"/>
                <w:color w:val="auto"/>
              </w:rPr>
              <w:t>35</w:t>
            </w:r>
          </w:p>
        </w:tc>
      </w:tr>
      <w:tr>
        <w:trPr>
          <w:trHeight w:val="189"/>
        </w:trPr>
        <w:tc>
          <w:tcPr>
            <w:tcW w:w="8600" w:type="dxa"/>
            <w:vAlign w:val="bottom"/>
          </w:tcPr>
          <w:p>
            <w:pPr>
              <w:ind w:left="20"/>
              <w:spacing w:after="0"/>
              <w:rPr>
                <w:sz w:val="20"/>
                <w:szCs w:val="20"/>
                <w:color w:val="auto"/>
              </w:rPr>
            </w:pPr>
            <w:r>
              <w:rPr>
                <w:rFonts w:ascii="Arial" w:cs="Arial" w:eastAsia="Arial" w:hAnsi="Arial"/>
                <w:sz w:val="13"/>
                <w:szCs w:val="13"/>
                <w:b w:val="1"/>
                <w:bCs w:val="1"/>
                <w:color w:val="auto"/>
              </w:rPr>
              <w:t>Cash, Cash Equivalents and Restricted Cash at Beginning of Period</w:t>
            </w:r>
          </w:p>
        </w:tc>
        <w:tc>
          <w:tcPr>
            <w:tcW w:w="880" w:type="dxa"/>
            <w:vAlign w:val="bottom"/>
          </w:tcPr>
          <w:p>
            <w:pPr>
              <w:spacing w:after="0"/>
              <w:rPr>
                <w:sz w:val="16"/>
                <w:szCs w:val="16"/>
                <w:color w:val="auto"/>
              </w:rPr>
            </w:pPr>
          </w:p>
        </w:tc>
        <w:tc>
          <w:tcPr>
            <w:tcW w:w="520" w:type="dxa"/>
            <w:vAlign w:val="bottom"/>
          </w:tcPr>
          <w:p>
            <w:pPr>
              <w:jc w:val="right"/>
              <w:ind w:right="55"/>
              <w:spacing w:after="0"/>
              <w:rPr>
                <w:sz w:val="20"/>
                <w:szCs w:val="20"/>
                <w:color w:val="auto"/>
              </w:rPr>
            </w:pPr>
            <w:r>
              <w:rPr>
                <w:rFonts w:ascii="Arial" w:cs="Arial" w:eastAsia="Arial" w:hAnsi="Arial"/>
                <w:sz w:val="13"/>
                <w:szCs w:val="13"/>
                <w:color w:val="auto"/>
              </w:rPr>
              <w:t>4,278</w:t>
            </w: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00" w:type="dxa"/>
            <w:vAlign w:val="bottom"/>
          </w:tcPr>
          <w:p>
            <w:pPr>
              <w:jc w:val="right"/>
              <w:ind w:right="35"/>
              <w:spacing w:after="0"/>
              <w:rPr>
                <w:sz w:val="20"/>
                <w:szCs w:val="20"/>
                <w:color w:val="auto"/>
              </w:rPr>
            </w:pPr>
            <w:r>
              <w:rPr>
                <w:rFonts w:ascii="Arial" w:cs="Arial" w:eastAsia="Arial" w:hAnsi="Arial"/>
                <w:sz w:val="13"/>
                <w:szCs w:val="13"/>
                <w:color w:val="auto"/>
              </w:rPr>
              <w:t>296</w:t>
            </w:r>
          </w:p>
        </w:tc>
      </w:tr>
      <w:tr>
        <w:trPr>
          <w:trHeight w:val="27"/>
        </w:trPr>
        <w:tc>
          <w:tcPr>
            <w:tcW w:w="86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188"/>
        </w:trPr>
        <w:tc>
          <w:tcPr>
            <w:tcW w:w="8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Cash, Cash Equivalents and Restricted Cash at End of Period</w:t>
            </w:r>
          </w:p>
        </w:tc>
        <w:tc>
          <w:tcPr>
            <w:tcW w:w="880" w:type="dxa"/>
            <w:vAlign w:val="bottom"/>
            <w:tcBorders>
              <w:bottom w:val="single" w:sz="8" w:color="auto"/>
            </w:tcBorders>
            <w:shd w:val="clear" w:color="auto" w:fill="CCEEFF"/>
          </w:tcPr>
          <w:p>
            <w:pPr>
              <w:jc w:val="right"/>
              <w:ind w:right="719"/>
              <w:spacing w:after="0"/>
              <w:rPr>
                <w:sz w:val="20"/>
                <w:szCs w:val="20"/>
                <w:color w:val="auto"/>
              </w:rPr>
            </w:pPr>
            <w:r>
              <w:rPr>
                <w:rFonts w:ascii="Arial" w:cs="Arial" w:eastAsia="Arial" w:hAnsi="Arial"/>
                <w:sz w:val="13"/>
                <w:szCs w:val="13"/>
                <w:color w:val="auto"/>
              </w:rPr>
              <w:t>$</w:t>
            </w:r>
          </w:p>
        </w:tc>
        <w:tc>
          <w:tcPr>
            <w:tcW w:w="52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3"/>
                <w:szCs w:val="13"/>
                <w:color w:val="auto"/>
              </w:rPr>
              <w:t>297</w:t>
            </w:r>
          </w:p>
        </w:tc>
        <w:tc>
          <w:tcPr>
            <w:tcW w:w="10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ind w:right="698"/>
              <w:spacing w:after="0"/>
              <w:rPr>
                <w:sz w:val="20"/>
                <w:szCs w:val="20"/>
                <w:color w:val="auto"/>
              </w:rPr>
            </w:pPr>
            <w:r>
              <w:rPr>
                <w:rFonts w:ascii="Arial" w:cs="Arial" w:eastAsia="Arial" w:hAnsi="Arial"/>
                <w:sz w:val="13"/>
                <w:szCs w:val="13"/>
                <w:color w:val="auto"/>
              </w:rPr>
              <w:t>$</w:t>
            </w:r>
          </w:p>
        </w:tc>
        <w:tc>
          <w:tcPr>
            <w:tcW w:w="5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3"/>
                <w:szCs w:val="13"/>
                <w:color w:val="auto"/>
              </w:rPr>
              <w:t>331</w:t>
            </w:r>
          </w:p>
        </w:tc>
      </w:tr>
      <w:tr>
        <w:trPr>
          <w:trHeight w:val="20"/>
        </w:trPr>
        <w:tc>
          <w:tcPr>
            <w:tcW w:w="86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bl>
    <w:p>
      <w:pPr>
        <w:spacing w:after="0" w:line="16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Combined Notes to Unaudited Condensed Consolidated Financial Statements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460"/>
          </w:cols>
          <w:pgMar w:left="220" w:top="129" w:right="219" w:bottom="1440" w:gutter="0" w:footer="0" w:header="0"/>
        </w:sectPr>
      </w:pPr>
    </w:p>
    <w:bookmarkStart w:id="15" w:name="page16"/>
    <w:bookmarkEnd w:id="15"/>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201"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CENTERPOINT ENERGY, INC. AND SUBSIDIARIES</w:t>
      </w:r>
    </w:p>
    <w:p>
      <w:pPr>
        <w:spacing w:after="0" w:line="25"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CONDENSED STATEMENTS OF CONSOLIDATED CHANGES IN EQUITY</w:t>
      </w:r>
    </w:p>
    <w:p>
      <w:pPr>
        <w:spacing w:after="0" w:line="11"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(Unaudited)</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4240" w:type="dxa"/>
            <w:vAlign w:val="bottom"/>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120" w:type="dxa"/>
            <w:vAlign w:val="bottom"/>
            <w:tcBorders>
              <w:bottom w:val="single" w:sz="8" w:color="auto"/>
            </w:tcBorders>
            <w:gridSpan w:val="8"/>
          </w:tcPr>
          <w:p>
            <w:pPr>
              <w:jc w:val="right"/>
              <w:ind w:right="240"/>
              <w:spacing w:after="0"/>
              <w:rPr>
                <w:sz w:val="20"/>
                <w:szCs w:val="20"/>
                <w:color w:val="auto"/>
              </w:rPr>
            </w:pPr>
            <w:r>
              <w:rPr>
                <w:rFonts w:ascii="Arial" w:cs="Arial" w:eastAsia="Arial" w:hAnsi="Arial"/>
                <w:sz w:val="11"/>
                <w:szCs w:val="11"/>
                <w:b w:val="1"/>
                <w:bCs w:val="1"/>
                <w:color w:val="auto"/>
                <w:w w:val="99"/>
              </w:rPr>
              <w:t>Three Months Ended September 30,</w:t>
            </w:r>
          </w:p>
        </w:tc>
        <w:tc>
          <w:tcPr>
            <w:tcW w:w="6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20" w:type="dxa"/>
            <w:vAlign w:val="bottom"/>
            <w:tcBorders>
              <w:bottom w:val="single" w:sz="8" w:color="auto"/>
            </w:tcBorders>
            <w:gridSpan w:val="8"/>
          </w:tcPr>
          <w:p>
            <w:pPr>
              <w:jc w:val="right"/>
              <w:ind w:right="220"/>
              <w:spacing w:after="0"/>
              <w:rPr>
                <w:sz w:val="20"/>
                <w:szCs w:val="20"/>
                <w:color w:val="auto"/>
              </w:rPr>
            </w:pPr>
            <w:r>
              <w:rPr>
                <w:rFonts w:ascii="Arial" w:cs="Arial" w:eastAsia="Arial" w:hAnsi="Arial"/>
                <w:sz w:val="11"/>
                <w:szCs w:val="11"/>
                <w:b w:val="1"/>
                <w:bCs w:val="1"/>
                <w:color w:val="auto"/>
                <w:w w:val="98"/>
              </w:rPr>
              <w:t>Nine Months Ended September 30,</w:t>
            </w:r>
          </w:p>
        </w:tc>
        <w:tc>
          <w:tcPr>
            <w:tcW w:w="640" w:type="dxa"/>
            <w:vAlign w:val="bottom"/>
            <w:tcBorders>
              <w:bottom w:val="single" w:sz="8" w:color="auto"/>
            </w:tcBorders>
          </w:tcPr>
          <w:p>
            <w:pPr>
              <w:spacing w:after="0"/>
              <w:rPr>
                <w:sz w:val="13"/>
                <w:szCs w:val="13"/>
                <w:color w:val="auto"/>
              </w:rPr>
            </w:pPr>
          </w:p>
        </w:tc>
      </w:tr>
      <w:tr>
        <w:trPr>
          <w:trHeight w:val="206"/>
        </w:trPr>
        <w:tc>
          <w:tcPr>
            <w:tcW w:w="4240" w:type="dxa"/>
            <w:vAlign w:val="bottom"/>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1"/>
                <w:szCs w:val="11"/>
                <w:b w:val="1"/>
                <w:bCs w:val="1"/>
                <w:color w:val="auto"/>
                <w:w w:val="97"/>
              </w:rPr>
              <w:t>2019</w:t>
            </w:r>
          </w:p>
        </w:tc>
        <w:tc>
          <w:tcPr>
            <w:tcW w:w="6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1"/>
                <w:szCs w:val="11"/>
                <w:b w:val="1"/>
                <w:bCs w:val="1"/>
                <w:color w:val="auto"/>
                <w:w w:val="97"/>
              </w:rPr>
              <w:t>2018</w:t>
            </w:r>
          </w:p>
        </w:tc>
        <w:tc>
          <w:tcPr>
            <w:tcW w:w="6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1"/>
                <w:szCs w:val="11"/>
                <w:b w:val="1"/>
                <w:bCs w:val="1"/>
                <w:color w:val="auto"/>
                <w:w w:val="89"/>
              </w:rPr>
              <w:t>2019</w:t>
            </w:r>
          </w:p>
        </w:tc>
        <w:tc>
          <w:tcPr>
            <w:tcW w:w="6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1"/>
                <w:szCs w:val="11"/>
                <w:b w:val="1"/>
                <w:bCs w:val="1"/>
                <w:color w:val="auto"/>
                <w:w w:val="97"/>
              </w:rPr>
              <w:t>2018</w:t>
            </w:r>
          </w:p>
        </w:tc>
        <w:tc>
          <w:tcPr>
            <w:tcW w:w="640" w:type="dxa"/>
            <w:vAlign w:val="bottom"/>
            <w:tcBorders>
              <w:bottom w:val="single" w:sz="8" w:color="auto"/>
            </w:tcBorders>
          </w:tcPr>
          <w:p>
            <w:pPr>
              <w:spacing w:after="0"/>
              <w:rPr>
                <w:sz w:val="17"/>
                <w:szCs w:val="17"/>
                <w:color w:val="auto"/>
              </w:rPr>
            </w:pPr>
          </w:p>
        </w:tc>
      </w:tr>
      <w:tr>
        <w:trPr>
          <w:trHeight w:val="206"/>
        </w:trPr>
        <w:tc>
          <w:tcPr>
            <w:tcW w:w="4240" w:type="dxa"/>
            <w:vAlign w:val="bottom"/>
          </w:tcPr>
          <w:p>
            <w:pPr>
              <w:spacing w:after="0"/>
              <w:rPr>
                <w:sz w:val="17"/>
                <w:szCs w:val="17"/>
                <w:color w:val="auto"/>
              </w:rPr>
            </w:pPr>
          </w:p>
        </w:tc>
        <w:tc>
          <w:tcPr>
            <w:tcW w:w="72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b w:val="1"/>
                <w:bCs w:val="1"/>
                <w:color w:val="auto"/>
              </w:rPr>
              <w:t>Shares</w:t>
            </w: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43"/>
              <w:spacing w:after="0"/>
              <w:rPr>
                <w:sz w:val="20"/>
                <w:szCs w:val="20"/>
                <w:color w:val="auto"/>
              </w:rPr>
            </w:pPr>
            <w:r>
              <w:rPr>
                <w:rFonts w:ascii="Arial" w:cs="Arial" w:eastAsia="Arial" w:hAnsi="Arial"/>
                <w:sz w:val="11"/>
                <w:szCs w:val="11"/>
                <w:b w:val="1"/>
                <w:bCs w:val="1"/>
                <w:color w:val="auto"/>
              </w:rPr>
              <w:t>Amount</w:t>
            </w: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b w:val="1"/>
                <w:bCs w:val="1"/>
                <w:color w:val="auto"/>
              </w:rPr>
              <w:t>Shares</w:t>
            </w: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43"/>
              <w:spacing w:after="0"/>
              <w:rPr>
                <w:sz w:val="20"/>
                <w:szCs w:val="20"/>
                <w:color w:val="auto"/>
              </w:rPr>
            </w:pPr>
            <w:r>
              <w:rPr>
                <w:rFonts w:ascii="Arial" w:cs="Arial" w:eastAsia="Arial" w:hAnsi="Arial"/>
                <w:sz w:val="11"/>
                <w:szCs w:val="11"/>
                <w:b w:val="1"/>
                <w:bCs w:val="1"/>
                <w:color w:val="auto"/>
              </w:rPr>
              <w:t>Amount</w:t>
            </w: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b w:val="1"/>
                <w:bCs w:val="1"/>
                <w:color w:val="auto"/>
              </w:rPr>
              <w:t>Shares</w:t>
            </w: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23"/>
              <w:spacing w:after="0"/>
              <w:rPr>
                <w:sz w:val="20"/>
                <w:szCs w:val="20"/>
                <w:color w:val="auto"/>
              </w:rPr>
            </w:pPr>
            <w:r>
              <w:rPr>
                <w:rFonts w:ascii="Arial" w:cs="Arial" w:eastAsia="Arial" w:hAnsi="Arial"/>
                <w:sz w:val="11"/>
                <w:szCs w:val="11"/>
                <w:b w:val="1"/>
                <w:bCs w:val="1"/>
                <w:color w:val="auto"/>
              </w:rPr>
              <w:t>Amount</w:t>
            </w:r>
          </w:p>
        </w:tc>
        <w:tc>
          <w:tcPr>
            <w:tcW w:w="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b w:val="1"/>
                <w:bCs w:val="1"/>
                <w:color w:val="auto"/>
              </w:rPr>
              <w:t>Shares</w:t>
            </w: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23"/>
              <w:spacing w:after="0"/>
              <w:rPr>
                <w:sz w:val="20"/>
                <w:szCs w:val="20"/>
                <w:color w:val="auto"/>
              </w:rPr>
            </w:pPr>
            <w:r>
              <w:rPr>
                <w:rFonts w:ascii="Arial" w:cs="Arial" w:eastAsia="Arial" w:hAnsi="Arial"/>
                <w:sz w:val="11"/>
                <w:szCs w:val="11"/>
                <w:b w:val="1"/>
                <w:bCs w:val="1"/>
                <w:color w:val="auto"/>
              </w:rPr>
              <w:t>Amount</w:t>
            </w:r>
          </w:p>
        </w:tc>
      </w:tr>
      <w:tr>
        <w:trPr>
          <w:trHeight w:val="148"/>
        </w:trPr>
        <w:tc>
          <w:tcPr>
            <w:tcW w:w="4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540" w:type="dxa"/>
            <w:vAlign w:val="bottom"/>
            <w:gridSpan w:val="11"/>
          </w:tcPr>
          <w:p>
            <w:pPr>
              <w:jc w:val="right"/>
              <w:ind w:right="263"/>
              <w:spacing w:after="0"/>
              <w:rPr>
                <w:sz w:val="20"/>
                <w:szCs w:val="20"/>
                <w:color w:val="auto"/>
              </w:rPr>
            </w:pPr>
            <w:r>
              <w:rPr>
                <w:rFonts w:ascii="Arial" w:cs="Arial" w:eastAsia="Arial" w:hAnsi="Arial"/>
                <w:sz w:val="11"/>
                <w:szCs w:val="11"/>
                <w:b w:val="1"/>
                <w:bCs w:val="1"/>
                <w:color w:val="auto"/>
              </w:rPr>
              <w:t>(in millions of dollars and shares, except per share amounts)</w:t>
            </w: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r>
      <w:tr>
        <w:trPr>
          <w:trHeight w:val="220"/>
        </w:trPr>
        <w:tc>
          <w:tcPr>
            <w:tcW w:w="4240" w:type="dxa"/>
            <w:vAlign w:val="bottom"/>
          </w:tcPr>
          <w:p>
            <w:pPr>
              <w:ind w:left="20"/>
              <w:spacing w:after="0"/>
              <w:rPr>
                <w:sz w:val="20"/>
                <w:szCs w:val="20"/>
                <w:color w:val="auto"/>
              </w:rPr>
            </w:pPr>
            <w:r>
              <w:rPr>
                <w:rFonts w:ascii="Arial" w:cs="Arial" w:eastAsia="Arial" w:hAnsi="Arial"/>
                <w:sz w:val="11"/>
                <w:szCs w:val="11"/>
                <w:b w:val="1"/>
                <w:bCs w:val="1"/>
                <w:color w:val="auto"/>
              </w:rPr>
              <w:t>Cumulative Preferred Stock, $0.01 par value; authorized 20,000,000 shares</w:t>
            </w: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20"/>
        </w:trPr>
        <w:tc>
          <w:tcPr>
            <w:tcW w:w="4240" w:type="dxa"/>
            <w:vAlign w:val="bottom"/>
            <w:shd w:val="clear" w:color="auto" w:fill="CCEEFF"/>
          </w:tcPr>
          <w:p>
            <w:pPr>
              <w:ind w:left="300"/>
              <w:spacing w:after="0"/>
              <w:rPr>
                <w:sz w:val="20"/>
                <w:szCs w:val="20"/>
                <w:color w:val="auto"/>
              </w:rPr>
            </w:pPr>
            <w:r>
              <w:rPr>
                <w:rFonts w:ascii="Arial" w:cs="Arial" w:eastAsia="Arial" w:hAnsi="Arial"/>
                <w:sz w:val="11"/>
                <w:szCs w:val="11"/>
                <w:color w:val="auto"/>
              </w:rPr>
              <w:t>Balance, beginning of period</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w:t>
            </w:r>
          </w:p>
        </w:tc>
        <w:tc>
          <w:tcPr>
            <w:tcW w:w="340" w:type="dxa"/>
            <w:vAlign w:val="bottom"/>
            <w:gridSpan w:val="3"/>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1,740</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340" w:type="dxa"/>
            <w:vAlign w:val="bottom"/>
            <w:gridSpan w:val="3"/>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2</w:t>
            </w:r>
          </w:p>
        </w:tc>
        <w:tc>
          <w:tcPr>
            <w:tcW w:w="320" w:type="dxa"/>
            <w:vAlign w:val="bottom"/>
            <w:gridSpan w:val="3"/>
            <w:shd w:val="clear" w:color="auto" w:fill="CCEEFF"/>
          </w:tcPr>
          <w:p>
            <w:pPr>
              <w:jc w:val="right"/>
              <w:ind w:right="40"/>
              <w:spacing w:after="0"/>
              <w:rPr>
                <w:sz w:val="20"/>
                <w:szCs w:val="20"/>
                <w:color w:val="auto"/>
              </w:rPr>
            </w:pPr>
            <w:r>
              <w:rPr>
                <w:rFonts w:ascii="Arial" w:cs="Arial" w:eastAsia="Arial" w:hAnsi="Arial"/>
                <w:sz w:val="11"/>
                <w:szCs w:val="11"/>
                <w:color w:val="auto"/>
              </w:rPr>
              <w:t>$</w:t>
            </w:r>
          </w:p>
        </w:tc>
        <w:tc>
          <w:tcPr>
            <w:tcW w:w="64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1,740</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320" w:type="dxa"/>
            <w:vAlign w:val="bottom"/>
            <w:gridSpan w:val="3"/>
            <w:shd w:val="clear" w:color="auto" w:fill="CCEEFF"/>
          </w:tcPr>
          <w:p>
            <w:pPr>
              <w:jc w:val="right"/>
              <w:ind w:right="40"/>
              <w:spacing w:after="0"/>
              <w:rPr>
                <w:sz w:val="20"/>
                <w:szCs w:val="20"/>
                <w:color w:val="auto"/>
              </w:rPr>
            </w:pPr>
            <w:r>
              <w:rPr>
                <w:rFonts w:ascii="Arial" w:cs="Arial" w:eastAsia="Arial" w:hAnsi="Arial"/>
                <w:sz w:val="11"/>
                <w:szCs w:val="11"/>
                <w:color w:val="auto"/>
              </w:rPr>
              <w:t>$</w:t>
            </w:r>
          </w:p>
        </w:tc>
        <w:tc>
          <w:tcPr>
            <w:tcW w:w="64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w:t>
            </w:r>
          </w:p>
        </w:tc>
      </w:tr>
      <w:tr>
        <w:trPr>
          <w:trHeight w:val="211"/>
        </w:trPr>
        <w:tc>
          <w:tcPr>
            <w:tcW w:w="4240" w:type="dxa"/>
            <w:vAlign w:val="bottom"/>
            <w:tcBorders>
              <w:bottom w:val="single" w:sz="8" w:color="CCEEFF"/>
            </w:tcBorders>
          </w:tcPr>
          <w:p>
            <w:pPr>
              <w:ind w:left="300"/>
              <w:spacing w:after="0"/>
              <w:rPr>
                <w:sz w:val="20"/>
                <w:szCs w:val="20"/>
                <w:color w:val="auto"/>
              </w:rPr>
            </w:pPr>
            <w:r>
              <w:rPr>
                <w:rFonts w:ascii="Arial" w:cs="Arial" w:eastAsia="Arial" w:hAnsi="Arial"/>
                <w:sz w:val="11"/>
                <w:szCs w:val="11"/>
                <w:color w:val="auto"/>
              </w:rPr>
              <w:t>Issuances of Series A Preferred Stock</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w:t>
            </w: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color w:val="auto"/>
              </w:rPr>
              <w:t>790</w:t>
            </w:r>
          </w:p>
        </w:tc>
        <w:tc>
          <w:tcPr>
            <w:tcW w:w="12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w:t>
            </w: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auto"/>
              </w:rPr>
              <w:t>790</w:t>
            </w:r>
          </w:p>
        </w:tc>
      </w:tr>
      <w:tr>
        <w:trPr>
          <w:trHeight w:val="200"/>
        </w:trPr>
        <w:tc>
          <w:tcPr>
            <w:tcW w:w="4240" w:type="dxa"/>
            <w:vAlign w:val="bottom"/>
            <w:shd w:val="clear" w:color="auto" w:fill="CCEEFF"/>
          </w:tcPr>
          <w:p>
            <w:pPr>
              <w:ind w:left="300"/>
              <w:spacing w:after="0"/>
              <w:rPr>
                <w:sz w:val="20"/>
                <w:szCs w:val="20"/>
                <w:color w:val="auto"/>
              </w:rPr>
            </w:pPr>
            <w:r>
              <w:rPr>
                <w:rFonts w:ascii="Arial" w:cs="Arial" w:eastAsia="Arial" w:hAnsi="Arial"/>
                <w:sz w:val="11"/>
                <w:szCs w:val="11"/>
                <w:color w:val="auto"/>
              </w:rPr>
              <w:t>Balance, end of period</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1,740</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790</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1,740</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790</w:t>
            </w:r>
          </w:p>
        </w:tc>
      </w:tr>
      <w:tr>
        <w:trPr>
          <w:trHeight w:val="191"/>
        </w:trPr>
        <w:tc>
          <w:tcPr>
            <w:tcW w:w="4240" w:type="dxa"/>
            <w:vAlign w:val="bottom"/>
          </w:tcPr>
          <w:p>
            <w:pPr>
              <w:ind w:left="20"/>
              <w:spacing w:after="0"/>
              <w:rPr>
                <w:sz w:val="20"/>
                <w:szCs w:val="20"/>
                <w:color w:val="auto"/>
              </w:rPr>
            </w:pPr>
            <w:r>
              <w:rPr>
                <w:rFonts w:ascii="Arial" w:cs="Arial" w:eastAsia="Arial" w:hAnsi="Arial"/>
                <w:sz w:val="11"/>
                <w:szCs w:val="11"/>
                <w:b w:val="1"/>
                <w:bCs w:val="1"/>
                <w:color w:val="auto"/>
              </w:rPr>
              <w:t>Common Stock, $0.01 par value; authorized 1,000,000,000 shares</w:t>
            </w:r>
          </w:p>
        </w:tc>
        <w:tc>
          <w:tcPr>
            <w:tcW w:w="7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r>
      <w:tr>
        <w:trPr>
          <w:trHeight w:val="220"/>
        </w:trPr>
        <w:tc>
          <w:tcPr>
            <w:tcW w:w="4240" w:type="dxa"/>
            <w:vAlign w:val="bottom"/>
            <w:shd w:val="clear" w:color="auto" w:fill="CCEEFF"/>
          </w:tcPr>
          <w:p>
            <w:pPr>
              <w:ind w:left="300"/>
              <w:spacing w:after="0"/>
              <w:rPr>
                <w:sz w:val="20"/>
                <w:szCs w:val="20"/>
                <w:color w:val="auto"/>
              </w:rPr>
            </w:pPr>
            <w:r>
              <w:rPr>
                <w:rFonts w:ascii="Arial" w:cs="Arial" w:eastAsia="Arial" w:hAnsi="Arial"/>
                <w:sz w:val="11"/>
                <w:szCs w:val="11"/>
                <w:color w:val="auto"/>
              </w:rPr>
              <w:t>Balance, beginning of period</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502</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5</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431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4</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501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5</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431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4</w:t>
            </w:r>
          </w:p>
        </w:tc>
      </w:tr>
      <w:tr>
        <w:trPr>
          <w:trHeight w:val="211"/>
        </w:trPr>
        <w:tc>
          <w:tcPr>
            <w:tcW w:w="4240" w:type="dxa"/>
            <w:vAlign w:val="bottom"/>
            <w:tcBorders>
              <w:bottom w:val="single" w:sz="8" w:color="CCEEFF"/>
            </w:tcBorders>
          </w:tcPr>
          <w:p>
            <w:pPr>
              <w:ind w:left="300"/>
              <w:spacing w:after="0"/>
              <w:rPr>
                <w:sz w:val="20"/>
                <w:szCs w:val="20"/>
                <w:color w:val="auto"/>
              </w:rPr>
            </w:pPr>
            <w:r>
              <w:rPr>
                <w:rFonts w:ascii="Arial" w:cs="Arial" w:eastAsia="Arial" w:hAnsi="Arial"/>
                <w:sz w:val="11"/>
                <w:szCs w:val="11"/>
                <w:color w:val="auto"/>
              </w:rPr>
              <w:t>Issuances related to benefit and investment plans</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w:t>
            </w: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auto"/>
              </w:rPr>
              <w:t>—</w:t>
            </w:r>
          </w:p>
        </w:tc>
      </w:tr>
      <w:tr>
        <w:trPr>
          <w:trHeight w:val="200"/>
        </w:trPr>
        <w:tc>
          <w:tcPr>
            <w:tcW w:w="4240" w:type="dxa"/>
            <w:vAlign w:val="bottom"/>
            <w:shd w:val="clear" w:color="auto" w:fill="CCEEFF"/>
          </w:tcPr>
          <w:p>
            <w:pPr>
              <w:ind w:left="300"/>
              <w:spacing w:after="0"/>
              <w:rPr>
                <w:sz w:val="20"/>
                <w:szCs w:val="20"/>
                <w:color w:val="auto"/>
              </w:rPr>
            </w:pPr>
            <w:r>
              <w:rPr>
                <w:rFonts w:ascii="Arial" w:cs="Arial" w:eastAsia="Arial" w:hAnsi="Arial"/>
                <w:sz w:val="11"/>
                <w:szCs w:val="11"/>
                <w:color w:val="auto"/>
              </w:rPr>
              <w:t>Balance, end of period</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502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5</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431</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4</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502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5</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431</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4</w:t>
            </w:r>
          </w:p>
        </w:tc>
      </w:tr>
      <w:tr>
        <w:trPr>
          <w:trHeight w:val="202"/>
        </w:trPr>
        <w:tc>
          <w:tcPr>
            <w:tcW w:w="4240" w:type="dxa"/>
            <w:vAlign w:val="bottom"/>
          </w:tcPr>
          <w:p>
            <w:pPr>
              <w:ind w:left="20"/>
              <w:spacing w:after="0"/>
              <w:rPr>
                <w:sz w:val="20"/>
                <w:szCs w:val="20"/>
                <w:color w:val="auto"/>
              </w:rPr>
            </w:pPr>
            <w:r>
              <w:rPr>
                <w:rFonts w:ascii="Arial" w:cs="Arial" w:eastAsia="Arial" w:hAnsi="Arial"/>
                <w:sz w:val="11"/>
                <w:szCs w:val="11"/>
                <w:b w:val="1"/>
                <w:bCs w:val="1"/>
                <w:color w:val="auto"/>
              </w:rPr>
              <w:t>Additional Paid-in-Capital</w:t>
            </w:r>
          </w:p>
        </w:tc>
        <w:tc>
          <w:tcPr>
            <w:tcW w:w="7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r>
      <w:tr>
        <w:trPr>
          <w:trHeight w:val="220"/>
        </w:trPr>
        <w:tc>
          <w:tcPr>
            <w:tcW w:w="4240" w:type="dxa"/>
            <w:vAlign w:val="bottom"/>
            <w:shd w:val="clear" w:color="auto" w:fill="CCEEFF"/>
          </w:tcPr>
          <w:p>
            <w:pPr>
              <w:ind w:left="300"/>
              <w:spacing w:after="0"/>
              <w:rPr>
                <w:sz w:val="20"/>
                <w:szCs w:val="20"/>
                <w:color w:val="auto"/>
              </w:rPr>
            </w:pPr>
            <w:r>
              <w:rPr>
                <w:rFonts w:ascii="Arial" w:cs="Arial" w:eastAsia="Arial" w:hAnsi="Arial"/>
                <w:sz w:val="11"/>
                <w:szCs w:val="11"/>
                <w:color w:val="auto"/>
              </w:rPr>
              <w:t>Balance, beginning of period</w:t>
            </w: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6,065</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4,215</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6,072</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4,209</w:t>
            </w:r>
          </w:p>
        </w:tc>
      </w:tr>
      <w:tr>
        <w:trPr>
          <w:trHeight w:val="211"/>
        </w:trPr>
        <w:tc>
          <w:tcPr>
            <w:tcW w:w="4240" w:type="dxa"/>
            <w:vAlign w:val="bottom"/>
            <w:tcBorders>
              <w:bottom w:val="single" w:sz="8" w:color="CCEEFF"/>
            </w:tcBorders>
          </w:tcPr>
          <w:p>
            <w:pPr>
              <w:ind w:left="300"/>
              <w:spacing w:after="0"/>
              <w:rPr>
                <w:sz w:val="20"/>
                <w:szCs w:val="20"/>
                <w:color w:val="auto"/>
              </w:rPr>
            </w:pPr>
            <w:r>
              <w:rPr>
                <w:rFonts w:ascii="Arial" w:cs="Arial" w:eastAsia="Arial" w:hAnsi="Arial"/>
                <w:sz w:val="11"/>
                <w:szCs w:val="11"/>
                <w:color w:val="auto"/>
              </w:rPr>
              <w:t>Issuances related to benefit and investment plans</w:t>
            </w:r>
          </w:p>
        </w:tc>
        <w:tc>
          <w:tcPr>
            <w:tcW w:w="7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color w:val="auto"/>
              </w:rPr>
              <w:t>7</w:t>
            </w:r>
          </w:p>
        </w:tc>
        <w:tc>
          <w:tcPr>
            <w:tcW w:w="120" w:type="dxa"/>
            <w:vAlign w:val="bottom"/>
            <w:tcBorders>
              <w:bottom w:val="single" w:sz="8" w:color="CCEEFF"/>
            </w:tcBorders>
          </w:tcPr>
          <w:p>
            <w:pPr>
              <w:spacing w:after="0"/>
              <w:rPr>
                <w:sz w:val="18"/>
                <w:szCs w:val="18"/>
                <w:color w:val="auto"/>
              </w:rPr>
            </w:pPr>
          </w:p>
        </w:tc>
        <w:tc>
          <w:tcPr>
            <w:tcW w:w="7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color w:val="auto"/>
              </w:rPr>
              <w:t>6</w:t>
            </w:r>
          </w:p>
        </w:tc>
        <w:tc>
          <w:tcPr>
            <w:tcW w:w="120" w:type="dxa"/>
            <w:vAlign w:val="bottom"/>
            <w:tcBorders>
              <w:bottom w:val="single" w:sz="8" w:color="CCEEFF"/>
            </w:tcBorders>
          </w:tcPr>
          <w:p>
            <w:pPr>
              <w:spacing w:after="0"/>
              <w:rPr>
                <w:sz w:val="18"/>
                <w:szCs w:val="18"/>
                <w:color w:val="auto"/>
              </w:rPr>
            </w:pPr>
          </w:p>
        </w:tc>
        <w:tc>
          <w:tcPr>
            <w:tcW w:w="7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tcPr>
          <w:p>
            <w:pPr>
              <w:spacing w:after="0"/>
              <w:rPr>
                <w:sz w:val="18"/>
                <w:szCs w:val="18"/>
                <w:color w:val="auto"/>
              </w:rPr>
            </w:pPr>
          </w:p>
        </w:tc>
        <w:tc>
          <w:tcPr>
            <w:tcW w:w="7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auto"/>
              </w:rPr>
              <w:t>12</w:t>
            </w:r>
          </w:p>
        </w:tc>
      </w:tr>
      <w:tr>
        <w:trPr>
          <w:trHeight w:val="200"/>
        </w:trPr>
        <w:tc>
          <w:tcPr>
            <w:tcW w:w="4240" w:type="dxa"/>
            <w:vAlign w:val="bottom"/>
            <w:shd w:val="clear" w:color="auto" w:fill="CCEEFF"/>
          </w:tcPr>
          <w:p>
            <w:pPr>
              <w:ind w:left="300"/>
              <w:spacing w:after="0"/>
              <w:rPr>
                <w:sz w:val="20"/>
                <w:szCs w:val="20"/>
                <w:color w:val="auto"/>
              </w:rPr>
            </w:pPr>
            <w:r>
              <w:rPr>
                <w:rFonts w:ascii="Arial" w:cs="Arial" w:eastAsia="Arial" w:hAnsi="Arial"/>
                <w:sz w:val="11"/>
                <w:szCs w:val="11"/>
                <w:color w:val="auto"/>
              </w:rPr>
              <w:t>Balance, end of period</w:t>
            </w: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color w:val="auto"/>
              </w:rPr>
              <w:t>6,072</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color w:val="auto"/>
              </w:rPr>
              <w:t>4,221</w:t>
            </w: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1"/>
                <w:szCs w:val="11"/>
                <w:color w:val="auto"/>
              </w:rPr>
              <w:t>6,072</w:t>
            </w: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1"/>
                <w:szCs w:val="11"/>
                <w:color w:val="auto"/>
              </w:rPr>
              <w:t>4,221</w:t>
            </w:r>
          </w:p>
        </w:tc>
      </w:tr>
      <w:tr>
        <w:trPr>
          <w:trHeight w:val="191"/>
        </w:trPr>
        <w:tc>
          <w:tcPr>
            <w:tcW w:w="4240" w:type="dxa"/>
            <w:vAlign w:val="bottom"/>
          </w:tcPr>
          <w:p>
            <w:pPr>
              <w:ind w:left="20"/>
              <w:spacing w:after="0"/>
              <w:rPr>
                <w:sz w:val="20"/>
                <w:szCs w:val="20"/>
                <w:color w:val="auto"/>
              </w:rPr>
            </w:pPr>
            <w:r>
              <w:rPr>
                <w:rFonts w:ascii="Arial" w:cs="Arial" w:eastAsia="Arial" w:hAnsi="Arial"/>
                <w:sz w:val="11"/>
                <w:szCs w:val="11"/>
                <w:b w:val="1"/>
                <w:bCs w:val="1"/>
                <w:color w:val="auto"/>
              </w:rPr>
              <w:t>Retained Earnings</w:t>
            </w: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220"/>
        </w:trPr>
        <w:tc>
          <w:tcPr>
            <w:tcW w:w="4240" w:type="dxa"/>
            <w:vAlign w:val="bottom"/>
            <w:shd w:val="clear" w:color="auto" w:fill="CCEEFF"/>
          </w:tcPr>
          <w:p>
            <w:pPr>
              <w:ind w:left="300"/>
              <w:spacing w:after="0"/>
              <w:rPr>
                <w:sz w:val="20"/>
                <w:szCs w:val="20"/>
                <w:color w:val="auto"/>
              </w:rPr>
            </w:pPr>
            <w:r>
              <w:rPr>
                <w:rFonts w:ascii="Arial" w:cs="Arial" w:eastAsia="Arial" w:hAnsi="Arial"/>
                <w:sz w:val="11"/>
                <w:szCs w:val="11"/>
                <w:color w:val="auto"/>
              </w:rPr>
              <w:t>Balance, beginning of period</w:t>
            </w: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552</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513</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349</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543</w:t>
            </w:r>
          </w:p>
        </w:tc>
      </w:tr>
      <w:tr>
        <w:trPr>
          <w:trHeight w:val="211"/>
        </w:trPr>
        <w:tc>
          <w:tcPr>
            <w:tcW w:w="4240" w:type="dxa"/>
            <w:vAlign w:val="bottom"/>
          </w:tcPr>
          <w:p>
            <w:pPr>
              <w:ind w:left="300"/>
              <w:spacing w:after="0"/>
              <w:rPr>
                <w:sz w:val="20"/>
                <w:szCs w:val="20"/>
                <w:color w:val="auto"/>
              </w:rPr>
            </w:pPr>
            <w:r>
              <w:rPr>
                <w:rFonts w:ascii="Arial" w:cs="Arial" w:eastAsia="Arial" w:hAnsi="Arial"/>
                <w:sz w:val="11"/>
                <w:szCs w:val="11"/>
                <w:color w:val="auto"/>
              </w:rPr>
              <w:t>Net income</w:t>
            </w: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ind w:right="63"/>
              <w:spacing w:after="0"/>
              <w:rPr>
                <w:sz w:val="20"/>
                <w:szCs w:val="20"/>
                <w:color w:val="auto"/>
              </w:rPr>
            </w:pPr>
            <w:r>
              <w:rPr>
                <w:rFonts w:ascii="Arial" w:cs="Arial" w:eastAsia="Arial" w:hAnsi="Arial"/>
                <w:sz w:val="11"/>
                <w:szCs w:val="11"/>
                <w:color w:val="auto"/>
              </w:rPr>
              <w:t>270</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ind w:right="63"/>
              <w:spacing w:after="0"/>
              <w:rPr>
                <w:sz w:val="20"/>
                <w:szCs w:val="20"/>
                <w:color w:val="auto"/>
              </w:rPr>
            </w:pPr>
            <w:r>
              <w:rPr>
                <w:rFonts w:ascii="Arial" w:cs="Arial" w:eastAsia="Arial" w:hAnsi="Arial"/>
                <w:sz w:val="11"/>
                <w:szCs w:val="11"/>
                <w:color w:val="auto"/>
              </w:rPr>
              <w:t>158</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ind w:right="43"/>
              <w:spacing w:after="0"/>
              <w:rPr>
                <w:sz w:val="20"/>
                <w:szCs w:val="20"/>
                <w:color w:val="auto"/>
              </w:rPr>
            </w:pPr>
            <w:r>
              <w:rPr>
                <w:rFonts w:ascii="Arial" w:cs="Arial" w:eastAsia="Arial" w:hAnsi="Arial"/>
                <w:sz w:val="11"/>
                <w:szCs w:val="11"/>
                <w:color w:val="auto"/>
              </w:rPr>
              <w:t>634</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ind w:right="43"/>
              <w:spacing w:after="0"/>
              <w:rPr>
                <w:sz w:val="20"/>
                <w:szCs w:val="20"/>
                <w:color w:val="auto"/>
              </w:rPr>
            </w:pPr>
            <w:r>
              <w:rPr>
                <w:rFonts w:ascii="Arial" w:cs="Arial" w:eastAsia="Arial" w:hAnsi="Arial"/>
                <w:sz w:val="11"/>
                <w:szCs w:val="11"/>
                <w:color w:val="auto"/>
              </w:rPr>
              <w:t>248</w:t>
            </w:r>
          </w:p>
        </w:tc>
      </w:tr>
      <w:tr>
        <w:trPr>
          <w:trHeight w:val="129"/>
        </w:trPr>
        <w:tc>
          <w:tcPr>
            <w:tcW w:w="4240" w:type="dxa"/>
            <w:vAlign w:val="bottom"/>
            <w:shd w:val="clear" w:color="auto" w:fill="CCEEFF"/>
          </w:tcPr>
          <w:p>
            <w:pPr>
              <w:ind w:left="300"/>
              <w:spacing w:after="0"/>
              <w:rPr>
                <w:sz w:val="20"/>
                <w:szCs w:val="20"/>
                <w:color w:val="auto"/>
              </w:rPr>
            </w:pPr>
            <w:r>
              <w:rPr>
                <w:rFonts w:ascii="Arial" w:cs="Arial" w:eastAsia="Arial" w:hAnsi="Arial"/>
                <w:sz w:val="11"/>
                <w:szCs w:val="11"/>
                <w:color w:val="auto"/>
              </w:rPr>
              <w:t>Common Stock dividends declared ($0.2875, $0.2775, $0.5750 and $0.5550 per</w:t>
            </w: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r>
      <w:tr>
        <w:trPr>
          <w:trHeight w:val="155"/>
        </w:trPr>
        <w:tc>
          <w:tcPr>
            <w:tcW w:w="4240" w:type="dxa"/>
            <w:vAlign w:val="bottom"/>
            <w:shd w:val="clear" w:color="auto" w:fill="CCEEFF"/>
          </w:tcPr>
          <w:p>
            <w:pPr>
              <w:ind w:left="440"/>
              <w:spacing w:after="0"/>
              <w:rPr>
                <w:sz w:val="20"/>
                <w:szCs w:val="20"/>
                <w:color w:val="auto"/>
              </w:rPr>
            </w:pPr>
            <w:r>
              <w:rPr>
                <w:rFonts w:ascii="Arial" w:cs="Arial" w:eastAsia="Arial" w:hAnsi="Arial"/>
                <w:sz w:val="11"/>
                <w:szCs w:val="11"/>
                <w:color w:val="auto"/>
              </w:rPr>
              <w:t>share, respectively)</w:t>
            </w: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(145)</w:t>
            </w: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(120)</w:t>
            </w: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(289)</w:t>
            </w: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(240)</w:t>
            </w:r>
          </w:p>
        </w:tc>
      </w:tr>
      <w:tr>
        <w:trPr>
          <w:trHeight w:val="125"/>
        </w:trPr>
        <w:tc>
          <w:tcPr>
            <w:tcW w:w="4240" w:type="dxa"/>
            <w:vAlign w:val="bottom"/>
          </w:tcPr>
          <w:p>
            <w:pPr>
              <w:ind w:left="300"/>
              <w:spacing w:after="0" w:line="125" w:lineRule="exact"/>
              <w:rPr>
                <w:sz w:val="20"/>
                <w:szCs w:val="20"/>
                <w:color w:val="auto"/>
              </w:rPr>
            </w:pPr>
            <w:r>
              <w:rPr>
                <w:rFonts w:ascii="Arial" w:cs="Arial" w:eastAsia="Arial" w:hAnsi="Arial"/>
                <w:sz w:val="11"/>
                <w:szCs w:val="11"/>
                <w:color w:val="auto"/>
                <w:w w:val="98"/>
              </w:rPr>
              <w:t>Series A Preferred Stock dividends declared ($30,625, $-0-, $30.625, and $-0- per</w:t>
            </w: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r>
      <w:tr>
        <w:trPr>
          <w:trHeight w:val="151"/>
        </w:trPr>
        <w:tc>
          <w:tcPr>
            <w:tcW w:w="4240" w:type="dxa"/>
            <w:vAlign w:val="bottom"/>
          </w:tcPr>
          <w:p>
            <w:pPr>
              <w:ind w:left="440"/>
              <w:spacing w:after="0"/>
              <w:rPr>
                <w:sz w:val="20"/>
                <w:szCs w:val="20"/>
                <w:color w:val="auto"/>
              </w:rPr>
            </w:pPr>
            <w:r>
              <w:rPr>
                <w:rFonts w:ascii="Arial" w:cs="Arial" w:eastAsia="Arial" w:hAnsi="Arial"/>
                <w:sz w:val="11"/>
                <w:szCs w:val="11"/>
                <w:color w:val="auto"/>
              </w:rPr>
              <w:t>share, respectively)</w:t>
            </w: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jc w:val="right"/>
              <w:ind w:right="23"/>
              <w:spacing w:after="0"/>
              <w:rPr>
                <w:sz w:val="20"/>
                <w:szCs w:val="20"/>
                <w:color w:val="auto"/>
              </w:rPr>
            </w:pPr>
            <w:r>
              <w:rPr>
                <w:rFonts w:ascii="Arial" w:cs="Arial" w:eastAsia="Arial" w:hAnsi="Arial"/>
                <w:sz w:val="11"/>
                <w:szCs w:val="11"/>
                <w:color w:val="auto"/>
              </w:rPr>
              <w:t>(24)</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jc w:val="right"/>
              <w:ind w:right="63"/>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jc w:val="right"/>
              <w:ind w:right="3"/>
              <w:spacing w:after="0"/>
              <w:rPr>
                <w:sz w:val="20"/>
                <w:szCs w:val="20"/>
                <w:color w:val="auto"/>
              </w:rPr>
            </w:pPr>
            <w:r>
              <w:rPr>
                <w:rFonts w:ascii="Arial" w:cs="Arial" w:eastAsia="Arial" w:hAnsi="Arial"/>
                <w:sz w:val="11"/>
                <w:szCs w:val="11"/>
                <w:color w:val="auto"/>
              </w:rPr>
              <w:t>(24)</w:t>
            </w: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jc w:val="right"/>
              <w:ind w:right="43"/>
              <w:spacing w:after="0"/>
              <w:rPr>
                <w:sz w:val="20"/>
                <w:szCs w:val="20"/>
                <w:color w:val="auto"/>
              </w:rPr>
            </w:pPr>
            <w:r>
              <w:rPr>
                <w:rFonts w:ascii="Arial" w:cs="Arial" w:eastAsia="Arial" w:hAnsi="Arial"/>
                <w:sz w:val="11"/>
                <w:szCs w:val="11"/>
                <w:color w:val="auto"/>
              </w:rPr>
              <w:t>—</w:t>
            </w:r>
          </w:p>
        </w:tc>
      </w:tr>
      <w:tr>
        <w:trPr>
          <w:trHeight w:val="129"/>
        </w:trPr>
        <w:tc>
          <w:tcPr>
            <w:tcW w:w="4240" w:type="dxa"/>
            <w:vAlign w:val="bottom"/>
            <w:shd w:val="clear" w:color="auto" w:fill="CCEEFF"/>
          </w:tcPr>
          <w:p>
            <w:pPr>
              <w:ind w:left="300"/>
              <w:spacing w:after="0"/>
              <w:rPr>
                <w:sz w:val="20"/>
                <w:szCs w:val="20"/>
                <w:color w:val="auto"/>
              </w:rPr>
            </w:pPr>
            <w:r>
              <w:rPr>
                <w:rFonts w:ascii="Arial" w:cs="Arial" w:eastAsia="Arial" w:hAnsi="Arial"/>
                <w:sz w:val="11"/>
                <w:szCs w:val="11"/>
                <w:color w:val="auto"/>
                <w:w w:val="95"/>
              </w:rPr>
              <w:t>Series B Preferred Stock dividends declared ($17.5000, $-0-, $35.0000, and $-0- per</w:t>
            </w: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r>
      <w:tr>
        <w:trPr>
          <w:trHeight w:val="151"/>
        </w:trPr>
        <w:tc>
          <w:tcPr>
            <w:tcW w:w="4240" w:type="dxa"/>
            <w:vAlign w:val="bottom"/>
            <w:shd w:val="clear" w:color="auto" w:fill="CCEEFF"/>
          </w:tcPr>
          <w:p>
            <w:pPr>
              <w:ind w:left="440"/>
              <w:spacing w:after="0"/>
              <w:rPr>
                <w:sz w:val="20"/>
                <w:szCs w:val="20"/>
                <w:color w:val="auto"/>
              </w:rPr>
            </w:pPr>
            <w:r>
              <w:rPr>
                <w:rFonts w:ascii="Arial" w:cs="Arial" w:eastAsia="Arial" w:hAnsi="Arial"/>
                <w:sz w:val="11"/>
                <w:szCs w:val="11"/>
                <w:color w:val="auto"/>
              </w:rPr>
              <w:t>share, respectively)</w:t>
            </w: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1"/>
                <w:szCs w:val="11"/>
                <w:color w:val="auto"/>
              </w:rPr>
              <w:t>(17)</w:t>
            </w: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(34)</w:t>
            </w: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1"/>
                <w:szCs w:val="11"/>
                <w:color w:val="auto"/>
              </w:rPr>
              <w:t>—</w:t>
            </w:r>
          </w:p>
        </w:tc>
      </w:tr>
      <w:tr>
        <w:trPr>
          <w:trHeight w:val="196"/>
        </w:trPr>
        <w:tc>
          <w:tcPr>
            <w:tcW w:w="4240" w:type="dxa"/>
            <w:vAlign w:val="bottom"/>
            <w:tcBorders>
              <w:bottom w:val="single" w:sz="8" w:color="CCEEFF"/>
            </w:tcBorders>
          </w:tcPr>
          <w:p>
            <w:pPr>
              <w:ind w:left="300"/>
              <w:spacing w:after="0"/>
              <w:rPr>
                <w:sz w:val="20"/>
                <w:szCs w:val="20"/>
                <w:color w:val="auto"/>
              </w:rPr>
            </w:pPr>
            <w:r>
              <w:rPr>
                <w:rFonts w:ascii="Arial" w:cs="Arial" w:eastAsia="Arial" w:hAnsi="Arial"/>
                <w:sz w:val="11"/>
                <w:szCs w:val="11"/>
                <w:color w:val="auto"/>
              </w:rPr>
              <w:t>Balance, end of period</w:t>
            </w:r>
          </w:p>
        </w:tc>
        <w:tc>
          <w:tcPr>
            <w:tcW w:w="7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color w:val="auto"/>
              </w:rPr>
              <w:t>636</w:t>
            </w:r>
          </w:p>
        </w:tc>
        <w:tc>
          <w:tcPr>
            <w:tcW w:w="120" w:type="dxa"/>
            <w:vAlign w:val="bottom"/>
            <w:tcBorders>
              <w:bottom w:val="single" w:sz="8" w:color="CCEEFF"/>
            </w:tcBorders>
          </w:tcPr>
          <w:p>
            <w:pPr>
              <w:spacing w:after="0"/>
              <w:rPr>
                <w:sz w:val="17"/>
                <w:szCs w:val="17"/>
                <w:color w:val="auto"/>
              </w:rPr>
            </w:pPr>
          </w:p>
        </w:tc>
        <w:tc>
          <w:tcPr>
            <w:tcW w:w="7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color w:val="auto"/>
              </w:rPr>
              <w:t>551</w:t>
            </w:r>
          </w:p>
        </w:tc>
        <w:tc>
          <w:tcPr>
            <w:tcW w:w="120" w:type="dxa"/>
            <w:vAlign w:val="bottom"/>
            <w:tcBorders>
              <w:bottom w:val="single" w:sz="8" w:color="CCEEFF"/>
            </w:tcBorders>
          </w:tcPr>
          <w:p>
            <w:pPr>
              <w:spacing w:after="0"/>
              <w:rPr>
                <w:sz w:val="17"/>
                <w:szCs w:val="17"/>
                <w:color w:val="auto"/>
              </w:rPr>
            </w:pPr>
          </w:p>
        </w:tc>
        <w:tc>
          <w:tcPr>
            <w:tcW w:w="7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auto"/>
              </w:rPr>
              <w:t>636</w:t>
            </w:r>
          </w:p>
        </w:tc>
        <w:tc>
          <w:tcPr>
            <w:tcW w:w="120" w:type="dxa"/>
            <w:vAlign w:val="bottom"/>
            <w:tcBorders>
              <w:bottom w:val="single" w:sz="8" w:color="CCEEFF"/>
            </w:tcBorders>
          </w:tcPr>
          <w:p>
            <w:pPr>
              <w:spacing w:after="0"/>
              <w:rPr>
                <w:sz w:val="17"/>
                <w:szCs w:val="17"/>
                <w:color w:val="auto"/>
              </w:rPr>
            </w:pPr>
          </w:p>
        </w:tc>
        <w:tc>
          <w:tcPr>
            <w:tcW w:w="70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auto"/>
              </w:rPr>
              <w:t>551</w:t>
            </w:r>
          </w:p>
        </w:tc>
      </w:tr>
      <w:tr>
        <w:trPr>
          <w:trHeight w:val="200"/>
        </w:trPr>
        <w:tc>
          <w:tcPr>
            <w:tcW w:w="424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Accumulated Other Comprehensive Loss</w:t>
            </w: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r>
      <w:tr>
        <w:trPr>
          <w:trHeight w:val="211"/>
        </w:trPr>
        <w:tc>
          <w:tcPr>
            <w:tcW w:w="4240" w:type="dxa"/>
            <w:vAlign w:val="bottom"/>
          </w:tcPr>
          <w:p>
            <w:pPr>
              <w:ind w:left="300"/>
              <w:spacing w:after="0"/>
              <w:rPr>
                <w:sz w:val="20"/>
                <w:szCs w:val="20"/>
                <w:color w:val="auto"/>
              </w:rPr>
            </w:pPr>
            <w:r>
              <w:rPr>
                <w:rFonts w:ascii="Arial" w:cs="Arial" w:eastAsia="Arial" w:hAnsi="Arial"/>
                <w:sz w:val="11"/>
                <w:szCs w:val="11"/>
                <w:color w:val="auto"/>
              </w:rPr>
              <w:t>Balance, beginning of period</w:t>
            </w: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ind w:right="23"/>
              <w:spacing w:after="0"/>
              <w:rPr>
                <w:sz w:val="20"/>
                <w:szCs w:val="20"/>
                <w:color w:val="auto"/>
              </w:rPr>
            </w:pPr>
            <w:r>
              <w:rPr>
                <w:rFonts w:ascii="Arial" w:cs="Arial" w:eastAsia="Arial" w:hAnsi="Arial"/>
                <w:sz w:val="11"/>
                <w:szCs w:val="11"/>
                <w:color w:val="auto"/>
              </w:rPr>
              <w:t>(105)</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ind w:right="23"/>
              <w:spacing w:after="0"/>
              <w:rPr>
                <w:sz w:val="20"/>
                <w:szCs w:val="20"/>
                <w:color w:val="auto"/>
              </w:rPr>
            </w:pPr>
            <w:r>
              <w:rPr>
                <w:rFonts w:ascii="Arial" w:cs="Arial" w:eastAsia="Arial" w:hAnsi="Arial"/>
                <w:sz w:val="11"/>
                <w:szCs w:val="11"/>
                <w:color w:val="auto"/>
              </w:rPr>
              <w:t>(62)</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ind w:right="3"/>
              <w:spacing w:after="0"/>
              <w:rPr>
                <w:sz w:val="20"/>
                <w:szCs w:val="20"/>
                <w:color w:val="auto"/>
              </w:rPr>
            </w:pPr>
            <w:r>
              <w:rPr>
                <w:rFonts w:ascii="Arial" w:cs="Arial" w:eastAsia="Arial" w:hAnsi="Arial"/>
                <w:sz w:val="11"/>
                <w:szCs w:val="11"/>
                <w:color w:val="auto"/>
              </w:rPr>
              <w:t>(108)</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ind w:right="3"/>
              <w:spacing w:after="0"/>
              <w:rPr>
                <w:sz w:val="20"/>
                <w:szCs w:val="20"/>
                <w:color w:val="auto"/>
              </w:rPr>
            </w:pPr>
            <w:r>
              <w:rPr>
                <w:rFonts w:ascii="Arial" w:cs="Arial" w:eastAsia="Arial" w:hAnsi="Arial"/>
                <w:sz w:val="11"/>
                <w:szCs w:val="11"/>
                <w:color w:val="auto"/>
              </w:rPr>
              <w:t>(68)</w:t>
            </w:r>
          </w:p>
        </w:tc>
      </w:tr>
      <w:tr>
        <w:trPr>
          <w:trHeight w:val="216"/>
        </w:trPr>
        <w:tc>
          <w:tcPr>
            <w:tcW w:w="4240" w:type="dxa"/>
            <w:vAlign w:val="bottom"/>
            <w:shd w:val="clear" w:color="auto" w:fill="CCEEFF"/>
          </w:tcPr>
          <w:p>
            <w:pPr>
              <w:ind w:left="300"/>
              <w:spacing w:after="0"/>
              <w:rPr>
                <w:sz w:val="20"/>
                <w:szCs w:val="20"/>
                <w:color w:val="auto"/>
              </w:rPr>
            </w:pPr>
            <w:r>
              <w:rPr>
                <w:rFonts w:ascii="Arial" w:cs="Arial" w:eastAsia="Arial" w:hAnsi="Arial"/>
                <w:sz w:val="11"/>
                <w:szCs w:val="11"/>
                <w:color w:val="auto"/>
              </w:rPr>
              <w:t>Other comprehensive income</w:t>
            </w: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1"/>
                <w:szCs w:val="11"/>
                <w:color w:val="auto"/>
              </w:rPr>
              <w:t>(2)</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color w:val="auto"/>
              </w:rPr>
              <w:t>4</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1"/>
                <w:szCs w:val="11"/>
                <w:color w:val="auto"/>
              </w:rPr>
              <w:t>1</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1"/>
                <w:szCs w:val="11"/>
                <w:color w:val="auto"/>
              </w:rPr>
              <w:t>10</w:t>
            </w:r>
          </w:p>
        </w:tc>
      </w:tr>
      <w:tr>
        <w:trPr>
          <w:trHeight w:val="196"/>
        </w:trPr>
        <w:tc>
          <w:tcPr>
            <w:tcW w:w="4240" w:type="dxa"/>
            <w:vAlign w:val="bottom"/>
            <w:tcBorders>
              <w:bottom w:val="single" w:sz="8" w:color="CCEEFF"/>
            </w:tcBorders>
          </w:tcPr>
          <w:p>
            <w:pPr>
              <w:ind w:left="300"/>
              <w:spacing w:after="0"/>
              <w:rPr>
                <w:sz w:val="20"/>
                <w:szCs w:val="20"/>
                <w:color w:val="auto"/>
              </w:rPr>
            </w:pPr>
            <w:r>
              <w:rPr>
                <w:rFonts w:ascii="Arial" w:cs="Arial" w:eastAsia="Arial" w:hAnsi="Arial"/>
                <w:sz w:val="11"/>
                <w:szCs w:val="11"/>
                <w:color w:val="auto"/>
              </w:rPr>
              <w:t>Balance, end of period</w:t>
            </w:r>
          </w:p>
        </w:tc>
        <w:tc>
          <w:tcPr>
            <w:tcW w:w="7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23"/>
              <w:spacing w:after="0"/>
              <w:rPr>
                <w:sz w:val="20"/>
                <w:szCs w:val="20"/>
                <w:color w:val="auto"/>
              </w:rPr>
            </w:pPr>
            <w:r>
              <w:rPr>
                <w:rFonts w:ascii="Arial" w:cs="Arial" w:eastAsia="Arial" w:hAnsi="Arial"/>
                <w:sz w:val="11"/>
                <w:szCs w:val="11"/>
                <w:color w:val="auto"/>
              </w:rPr>
              <w:t>(107)</w:t>
            </w:r>
          </w:p>
        </w:tc>
        <w:tc>
          <w:tcPr>
            <w:tcW w:w="120" w:type="dxa"/>
            <w:vAlign w:val="bottom"/>
            <w:tcBorders>
              <w:bottom w:val="single" w:sz="8" w:color="CCEEFF"/>
            </w:tcBorders>
          </w:tcPr>
          <w:p>
            <w:pPr>
              <w:spacing w:after="0"/>
              <w:rPr>
                <w:sz w:val="17"/>
                <w:szCs w:val="17"/>
                <w:color w:val="auto"/>
              </w:rPr>
            </w:pPr>
          </w:p>
        </w:tc>
        <w:tc>
          <w:tcPr>
            <w:tcW w:w="7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23"/>
              <w:spacing w:after="0"/>
              <w:rPr>
                <w:sz w:val="20"/>
                <w:szCs w:val="20"/>
                <w:color w:val="auto"/>
              </w:rPr>
            </w:pPr>
            <w:r>
              <w:rPr>
                <w:rFonts w:ascii="Arial" w:cs="Arial" w:eastAsia="Arial" w:hAnsi="Arial"/>
                <w:sz w:val="11"/>
                <w:szCs w:val="11"/>
                <w:color w:val="auto"/>
              </w:rPr>
              <w:t>(58)</w:t>
            </w:r>
          </w:p>
        </w:tc>
        <w:tc>
          <w:tcPr>
            <w:tcW w:w="120" w:type="dxa"/>
            <w:vAlign w:val="bottom"/>
            <w:tcBorders>
              <w:bottom w:val="single" w:sz="8" w:color="CCEEFF"/>
            </w:tcBorders>
          </w:tcPr>
          <w:p>
            <w:pPr>
              <w:spacing w:after="0"/>
              <w:rPr>
                <w:sz w:val="17"/>
                <w:szCs w:val="17"/>
                <w:color w:val="auto"/>
              </w:rPr>
            </w:pPr>
          </w:p>
        </w:tc>
        <w:tc>
          <w:tcPr>
            <w:tcW w:w="7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(107)</w:t>
            </w:r>
          </w:p>
        </w:tc>
        <w:tc>
          <w:tcPr>
            <w:tcW w:w="120" w:type="dxa"/>
            <w:vAlign w:val="bottom"/>
            <w:tcBorders>
              <w:bottom w:val="single" w:sz="8" w:color="CCEEFF"/>
            </w:tcBorders>
          </w:tcPr>
          <w:p>
            <w:pPr>
              <w:spacing w:after="0"/>
              <w:rPr>
                <w:sz w:val="17"/>
                <w:szCs w:val="17"/>
                <w:color w:val="auto"/>
              </w:rPr>
            </w:pPr>
          </w:p>
        </w:tc>
        <w:tc>
          <w:tcPr>
            <w:tcW w:w="70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(58)</w:t>
            </w:r>
          </w:p>
        </w:tc>
      </w:tr>
      <w:tr>
        <w:trPr>
          <w:trHeight w:val="189"/>
        </w:trPr>
        <w:tc>
          <w:tcPr>
            <w:tcW w:w="424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Total Shareholders’ Equity</w:t>
            </w:r>
          </w:p>
        </w:tc>
        <w:tc>
          <w:tcPr>
            <w:tcW w:w="720" w:type="dxa"/>
            <w:vAlign w:val="bottom"/>
            <w:shd w:val="clear" w:color="auto" w:fill="CCEEFF"/>
          </w:tcPr>
          <w:p>
            <w:pPr>
              <w:spacing w:after="0"/>
              <w:rPr>
                <w:sz w:val="16"/>
                <w:szCs w:val="16"/>
                <w:color w:val="auto"/>
              </w:rPr>
            </w:pPr>
          </w:p>
        </w:tc>
        <w:tc>
          <w:tcPr>
            <w:tcW w:w="340" w:type="dxa"/>
            <w:vAlign w:val="bottom"/>
            <w:gridSpan w:val="3"/>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8,346</w:t>
            </w: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340" w:type="dxa"/>
            <w:vAlign w:val="bottom"/>
            <w:gridSpan w:val="3"/>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5,508</w:t>
            </w: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320" w:type="dxa"/>
            <w:vAlign w:val="bottom"/>
            <w:gridSpan w:val="3"/>
            <w:shd w:val="clear" w:color="auto" w:fill="CCEEFF"/>
          </w:tcPr>
          <w:p>
            <w:pPr>
              <w:jc w:val="right"/>
              <w:ind w:right="40"/>
              <w:spacing w:after="0"/>
              <w:rPr>
                <w:sz w:val="20"/>
                <w:szCs w:val="20"/>
                <w:color w:val="auto"/>
              </w:rPr>
            </w:pPr>
            <w:r>
              <w:rPr>
                <w:rFonts w:ascii="Arial" w:cs="Arial" w:eastAsia="Arial" w:hAnsi="Arial"/>
                <w:sz w:val="11"/>
                <w:szCs w:val="11"/>
                <w:color w:val="auto"/>
              </w:rPr>
              <w:t>$</w:t>
            </w:r>
          </w:p>
        </w:tc>
        <w:tc>
          <w:tcPr>
            <w:tcW w:w="64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8,346</w:t>
            </w: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320" w:type="dxa"/>
            <w:vAlign w:val="bottom"/>
            <w:gridSpan w:val="3"/>
            <w:shd w:val="clear" w:color="auto" w:fill="CCEEFF"/>
          </w:tcPr>
          <w:p>
            <w:pPr>
              <w:jc w:val="right"/>
              <w:ind w:right="40"/>
              <w:spacing w:after="0"/>
              <w:rPr>
                <w:sz w:val="20"/>
                <w:szCs w:val="20"/>
                <w:color w:val="auto"/>
              </w:rPr>
            </w:pPr>
            <w:r>
              <w:rPr>
                <w:rFonts w:ascii="Arial" w:cs="Arial" w:eastAsia="Arial" w:hAnsi="Arial"/>
                <w:sz w:val="11"/>
                <w:szCs w:val="11"/>
                <w:color w:val="auto"/>
              </w:rPr>
              <w:t>$</w:t>
            </w:r>
          </w:p>
        </w:tc>
        <w:tc>
          <w:tcPr>
            <w:tcW w:w="64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5,508</w:t>
            </w: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r>
    </w:tbl>
    <w:p>
      <w:pPr>
        <w:spacing w:after="0" w:line="162"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See Combined Notes to Unaudited Condensed Consolidated Financial Statements</w:t>
      </w:r>
    </w:p>
    <w:p>
      <w:pPr>
        <w:spacing w:after="0" w:line="378"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400"/>
          </w:cols>
          <w:pgMar w:left="220" w:top="129" w:right="279" w:bottom="1440" w:gutter="0" w:footer="0" w:header="0"/>
        </w:sectPr>
      </w:pPr>
    </w:p>
    <w:bookmarkStart w:id="16" w:name="page17"/>
    <w:bookmarkEnd w:id="16"/>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2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CENTERPOINT ENERGY HOUSTON ELECTRIC, LLC AND SUBSIDIARIES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(AN INDIRECT, WHOLLY-OWNED SUBSIDIARY OF CENTERPOINT ENERGY,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CONDENSED STATEMENTS OF CONSOLIDATED INCOME</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5400" w:type="dxa"/>
            <w:vAlign w:val="bottom"/>
          </w:tcPr>
          <w:p>
            <w:pPr>
              <w:spacing w:after="0"/>
              <w:rPr>
                <w:sz w:val="13"/>
                <w:szCs w:val="13"/>
                <w:color w:val="auto"/>
              </w:rPr>
            </w:pPr>
          </w:p>
        </w:tc>
        <w:tc>
          <w:tcPr>
            <w:tcW w:w="2540" w:type="dxa"/>
            <w:vAlign w:val="bottom"/>
            <w:tcBorders>
              <w:bottom w:val="single" w:sz="8" w:color="auto"/>
            </w:tcBorders>
            <w:gridSpan w:val="4"/>
          </w:tcPr>
          <w:p>
            <w:pPr>
              <w:jc w:val="right"/>
              <w:ind w:right="73"/>
              <w:spacing w:after="0"/>
              <w:rPr>
                <w:sz w:val="20"/>
                <w:szCs w:val="20"/>
                <w:color w:val="auto"/>
              </w:rPr>
            </w:pPr>
            <w:r>
              <w:rPr>
                <w:rFonts w:ascii="Arial" w:cs="Arial" w:eastAsia="Arial" w:hAnsi="Arial"/>
                <w:sz w:val="11"/>
                <w:szCs w:val="11"/>
                <w:b w:val="1"/>
                <w:bCs w:val="1"/>
                <w:color w:val="auto"/>
              </w:rPr>
              <w:t>Three Months Ended September 30,</w:t>
            </w:r>
          </w:p>
        </w:tc>
        <w:tc>
          <w:tcPr>
            <w:tcW w:w="4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2540" w:type="dxa"/>
            <w:vAlign w:val="bottom"/>
            <w:tcBorders>
              <w:bottom w:val="single" w:sz="8" w:color="auto"/>
            </w:tcBorders>
            <w:gridSpan w:val="4"/>
          </w:tcPr>
          <w:p>
            <w:pPr>
              <w:jc w:val="right"/>
              <w:ind w:right="529"/>
              <w:spacing w:after="0"/>
              <w:rPr>
                <w:sz w:val="20"/>
                <w:szCs w:val="20"/>
                <w:color w:val="auto"/>
              </w:rPr>
            </w:pPr>
            <w:r>
              <w:rPr>
                <w:rFonts w:ascii="Arial" w:cs="Arial" w:eastAsia="Arial" w:hAnsi="Arial"/>
                <w:sz w:val="11"/>
                <w:szCs w:val="11"/>
                <w:b w:val="1"/>
                <w:bCs w:val="1"/>
                <w:color w:val="auto"/>
              </w:rPr>
              <w:t>Nine Months Ended September 30,</w:t>
            </w:r>
          </w:p>
        </w:tc>
      </w:tr>
      <w:tr>
        <w:trPr>
          <w:trHeight w:val="206"/>
        </w:trPr>
        <w:tc>
          <w:tcPr>
            <w:tcW w:w="5400" w:type="dxa"/>
            <w:vAlign w:val="bottom"/>
          </w:tcPr>
          <w:p>
            <w:pPr>
              <w:spacing w:after="0"/>
              <w:rPr>
                <w:sz w:val="17"/>
                <w:szCs w:val="17"/>
                <w:color w:val="auto"/>
              </w:rPr>
            </w:pPr>
          </w:p>
        </w:tc>
        <w:tc>
          <w:tcPr>
            <w:tcW w:w="920" w:type="dxa"/>
            <w:vAlign w:val="bottom"/>
            <w:tcBorders>
              <w:bottom w:val="single" w:sz="8" w:color="auto"/>
            </w:tcBorders>
          </w:tcPr>
          <w:p>
            <w:pPr>
              <w:jc w:val="right"/>
              <w:ind w:right="55"/>
              <w:spacing w:after="0"/>
              <w:rPr>
                <w:sz w:val="20"/>
                <w:szCs w:val="20"/>
                <w:color w:val="auto"/>
              </w:rPr>
            </w:pPr>
            <w:r>
              <w:rPr>
                <w:rFonts w:ascii="Arial" w:cs="Arial" w:eastAsia="Arial" w:hAnsi="Arial"/>
                <w:sz w:val="11"/>
                <w:szCs w:val="11"/>
                <w:b w:val="1"/>
                <w:bCs w:val="1"/>
                <w:color w:val="auto"/>
              </w:rPr>
              <w:t>2019</w:t>
            </w:r>
          </w:p>
        </w:tc>
        <w:tc>
          <w:tcPr>
            <w:tcW w:w="4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13"/>
              <w:spacing w:after="0"/>
              <w:rPr>
                <w:sz w:val="20"/>
                <w:szCs w:val="20"/>
                <w:color w:val="auto"/>
              </w:rPr>
            </w:pPr>
            <w:r>
              <w:rPr>
                <w:rFonts w:ascii="Arial" w:cs="Arial" w:eastAsia="Arial" w:hAnsi="Arial"/>
                <w:sz w:val="11"/>
                <w:szCs w:val="11"/>
                <w:b w:val="1"/>
                <w:bCs w:val="1"/>
                <w:color w:val="auto"/>
              </w:rPr>
              <w:t>2018</w:t>
            </w:r>
          </w:p>
        </w:tc>
        <w:tc>
          <w:tcPr>
            <w:tcW w:w="4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90"/>
              <w:spacing w:after="0"/>
              <w:rPr>
                <w:sz w:val="20"/>
                <w:szCs w:val="20"/>
                <w:color w:val="auto"/>
              </w:rPr>
            </w:pPr>
            <w:r>
              <w:rPr>
                <w:rFonts w:ascii="Arial" w:cs="Arial" w:eastAsia="Arial" w:hAnsi="Arial"/>
                <w:sz w:val="11"/>
                <w:szCs w:val="11"/>
                <w:b w:val="1"/>
                <w:bCs w:val="1"/>
                <w:color w:val="auto"/>
              </w:rPr>
              <w:t>2019</w:t>
            </w:r>
          </w:p>
        </w:tc>
        <w:tc>
          <w:tcPr>
            <w:tcW w:w="1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549"/>
              <w:spacing w:after="0"/>
              <w:rPr>
                <w:sz w:val="20"/>
                <w:szCs w:val="20"/>
                <w:color w:val="auto"/>
              </w:rPr>
            </w:pPr>
            <w:r>
              <w:rPr>
                <w:rFonts w:ascii="Arial" w:cs="Arial" w:eastAsia="Arial" w:hAnsi="Arial"/>
                <w:sz w:val="11"/>
                <w:szCs w:val="11"/>
                <w:b w:val="1"/>
                <w:bCs w:val="1"/>
                <w:color w:val="auto"/>
              </w:rPr>
              <w:t>2018</w:t>
            </w:r>
          </w:p>
        </w:tc>
      </w:tr>
      <w:tr>
        <w:trPr>
          <w:trHeight w:val="196"/>
        </w:trPr>
        <w:tc>
          <w:tcPr>
            <w:tcW w:w="54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80" w:type="dxa"/>
            <w:vAlign w:val="bottom"/>
            <w:gridSpan w:val="3"/>
          </w:tcPr>
          <w:p>
            <w:pPr>
              <w:jc w:val="right"/>
              <w:ind w:right="108"/>
              <w:spacing w:after="0"/>
              <w:rPr>
                <w:sz w:val="20"/>
                <w:szCs w:val="20"/>
                <w:color w:val="auto"/>
              </w:rPr>
            </w:pPr>
            <w:r>
              <w:rPr>
                <w:rFonts w:ascii="Arial" w:cs="Arial" w:eastAsia="Arial" w:hAnsi="Arial"/>
                <w:sz w:val="11"/>
                <w:szCs w:val="11"/>
                <w:b w:val="1"/>
                <w:bCs w:val="1"/>
                <w:color w:val="auto"/>
              </w:rPr>
              <w:t>(in millions)</w:t>
            </w: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20"/>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Revenues</w:t>
            </w:r>
          </w:p>
        </w:tc>
        <w:tc>
          <w:tcPr>
            <w:tcW w:w="920" w:type="dxa"/>
            <w:vAlign w:val="bottom"/>
            <w:tcBorders>
              <w:bottom w:val="single" w:sz="8" w:color="CCEEFF"/>
            </w:tcBorders>
            <w:shd w:val="clear" w:color="auto" w:fill="CCEEFF"/>
          </w:tcPr>
          <w:p>
            <w:pPr>
              <w:jc w:val="right"/>
              <w:ind w:right="775"/>
              <w:spacing w:after="0"/>
              <w:rPr>
                <w:sz w:val="20"/>
                <w:szCs w:val="20"/>
                <w:color w:val="auto"/>
              </w:rPr>
            </w:pPr>
            <w:r>
              <w:rPr>
                <w:rFonts w:ascii="Arial" w:cs="Arial" w:eastAsia="Arial" w:hAnsi="Arial"/>
                <w:sz w:val="14"/>
                <w:szCs w:val="14"/>
                <w:color w:val="auto"/>
                <w:w w:val="76"/>
              </w:rPr>
              <w:t>$</w:t>
            </w:r>
          </w:p>
        </w:tc>
        <w:tc>
          <w:tcPr>
            <w:tcW w:w="46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859</w:t>
            </w:r>
          </w:p>
        </w:tc>
        <w:tc>
          <w:tcPr>
            <w:tcW w:w="1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873"/>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897</w:t>
            </w:r>
          </w:p>
        </w:tc>
        <w:tc>
          <w:tcPr>
            <w:tcW w:w="1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2,310</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jc w:val="right"/>
              <w:ind w:right="208"/>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2,506</w:t>
            </w:r>
          </w:p>
        </w:tc>
      </w:tr>
      <w:tr>
        <w:trPr>
          <w:trHeight w:val="173"/>
        </w:trPr>
        <w:tc>
          <w:tcPr>
            <w:tcW w:w="5400" w:type="dxa"/>
            <w:vAlign w:val="bottom"/>
          </w:tcPr>
          <w:p>
            <w:pPr>
              <w:ind w:left="20"/>
              <w:spacing w:after="0"/>
              <w:rPr>
                <w:sz w:val="20"/>
                <w:szCs w:val="20"/>
                <w:color w:val="auto"/>
              </w:rPr>
            </w:pPr>
            <w:r>
              <w:rPr>
                <w:rFonts w:ascii="Arial" w:cs="Arial" w:eastAsia="Arial" w:hAnsi="Arial"/>
                <w:sz w:val="14"/>
                <w:szCs w:val="14"/>
                <w:b w:val="1"/>
                <w:bCs w:val="1"/>
                <w:color w:val="auto"/>
              </w:rPr>
              <w:t>Expenses:</w:t>
            </w:r>
          </w:p>
        </w:tc>
        <w:tc>
          <w:tcPr>
            <w:tcW w:w="92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r>
      <w:tr>
        <w:trPr>
          <w:trHeight w:val="23"/>
        </w:trPr>
        <w:tc>
          <w:tcPr>
            <w:tcW w:w="54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96"/>
        </w:trPr>
        <w:tc>
          <w:tcPr>
            <w:tcW w:w="54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Operation and maintenance</w:t>
            </w:r>
          </w:p>
        </w:tc>
        <w:tc>
          <w:tcPr>
            <w:tcW w:w="92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359</w:t>
            </w:r>
          </w:p>
        </w:tc>
        <w:tc>
          <w:tcPr>
            <w:tcW w:w="1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369</w:t>
            </w:r>
          </w:p>
        </w:tc>
        <w:tc>
          <w:tcPr>
            <w:tcW w:w="12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1,086</w:t>
            </w:r>
          </w:p>
        </w:tc>
        <w:tc>
          <w:tcPr>
            <w:tcW w:w="1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1,062</w:t>
            </w:r>
          </w:p>
        </w:tc>
      </w:tr>
      <w:tr>
        <w:trPr>
          <w:trHeight w:val="193"/>
        </w:trPr>
        <w:tc>
          <w:tcPr>
            <w:tcW w:w="5400" w:type="dxa"/>
            <w:vAlign w:val="bottom"/>
          </w:tcPr>
          <w:p>
            <w:pPr>
              <w:ind w:left="140"/>
              <w:spacing w:after="0"/>
              <w:rPr>
                <w:sz w:val="20"/>
                <w:szCs w:val="20"/>
                <w:color w:val="auto"/>
              </w:rPr>
            </w:pPr>
            <w:r>
              <w:rPr>
                <w:rFonts w:ascii="Arial" w:cs="Arial" w:eastAsia="Arial" w:hAnsi="Arial"/>
                <w:sz w:val="14"/>
                <w:szCs w:val="14"/>
                <w:color w:val="auto"/>
              </w:rPr>
              <w:t>Depreciation and amortization</w:t>
            </w:r>
          </w:p>
        </w:tc>
        <w:tc>
          <w:tcPr>
            <w:tcW w:w="920" w:type="dxa"/>
            <w:vAlign w:val="bottom"/>
          </w:tcPr>
          <w:p>
            <w:pPr>
              <w:spacing w:after="0"/>
              <w:rPr>
                <w:sz w:val="16"/>
                <w:szCs w:val="16"/>
                <w:color w:val="auto"/>
              </w:rPr>
            </w:pPr>
          </w:p>
        </w:tc>
        <w:tc>
          <w:tcPr>
            <w:tcW w:w="460" w:type="dxa"/>
            <w:vAlign w:val="bottom"/>
          </w:tcPr>
          <w:p>
            <w:pPr>
              <w:jc w:val="right"/>
              <w:ind w:right="48"/>
              <w:spacing w:after="0"/>
              <w:rPr>
                <w:sz w:val="20"/>
                <w:szCs w:val="20"/>
                <w:color w:val="auto"/>
              </w:rPr>
            </w:pPr>
            <w:r>
              <w:rPr>
                <w:rFonts w:ascii="Arial" w:cs="Arial" w:eastAsia="Arial" w:hAnsi="Arial"/>
                <w:sz w:val="14"/>
                <w:szCs w:val="14"/>
                <w:color w:val="auto"/>
              </w:rPr>
              <w:t>168</w:t>
            </w: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60" w:type="dxa"/>
            <w:vAlign w:val="bottom"/>
          </w:tcPr>
          <w:p>
            <w:pPr>
              <w:jc w:val="right"/>
              <w:ind w:right="49"/>
              <w:spacing w:after="0"/>
              <w:rPr>
                <w:sz w:val="20"/>
                <w:szCs w:val="20"/>
                <w:color w:val="auto"/>
              </w:rPr>
            </w:pPr>
            <w:r>
              <w:rPr>
                <w:rFonts w:ascii="Arial" w:cs="Arial" w:eastAsia="Arial" w:hAnsi="Arial"/>
                <w:sz w:val="14"/>
                <w:szCs w:val="14"/>
                <w:color w:val="auto"/>
              </w:rPr>
              <w:t>242</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60" w:type="dxa"/>
            <w:vAlign w:val="bottom"/>
          </w:tcPr>
          <w:p>
            <w:pPr>
              <w:jc w:val="right"/>
              <w:ind w:right="30"/>
              <w:spacing w:after="0"/>
              <w:rPr>
                <w:sz w:val="20"/>
                <w:szCs w:val="20"/>
                <w:color w:val="auto"/>
              </w:rPr>
            </w:pPr>
            <w:r>
              <w:rPr>
                <w:rFonts w:ascii="Arial" w:cs="Arial" w:eastAsia="Arial" w:hAnsi="Arial"/>
                <w:sz w:val="14"/>
                <w:szCs w:val="14"/>
                <w:color w:val="auto"/>
              </w:rPr>
              <w:t>519</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jc w:val="right"/>
              <w:ind w:right="29"/>
              <w:spacing w:after="0"/>
              <w:rPr>
                <w:sz w:val="20"/>
                <w:szCs w:val="20"/>
                <w:color w:val="auto"/>
              </w:rPr>
            </w:pPr>
            <w:r>
              <w:rPr>
                <w:rFonts w:ascii="Arial" w:cs="Arial" w:eastAsia="Arial" w:hAnsi="Arial"/>
                <w:sz w:val="14"/>
                <w:szCs w:val="14"/>
                <w:color w:val="auto"/>
              </w:rPr>
              <w:t>737</w:t>
            </w:r>
          </w:p>
        </w:tc>
      </w:tr>
      <w:tr>
        <w:trPr>
          <w:trHeight w:val="23"/>
        </w:trPr>
        <w:tc>
          <w:tcPr>
            <w:tcW w:w="54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16"/>
        </w:trPr>
        <w:tc>
          <w:tcPr>
            <w:tcW w:w="54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Taxes other than income taxes</w:t>
            </w:r>
          </w:p>
        </w:tc>
        <w:tc>
          <w:tcPr>
            <w:tcW w:w="92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63</w:t>
            </w:r>
          </w:p>
        </w:tc>
        <w:tc>
          <w:tcPr>
            <w:tcW w:w="1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59</w:t>
            </w:r>
          </w:p>
        </w:tc>
        <w:tc>
          <w:tcPr>
            <w:tcW w:w="12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186</w:t>
            </w: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180</w:t>
            </w:r>
          </w:p>
        </w:tc>
      </w:tr>
      <w:tr>
        <w:trPr>
          <w:trHeight w:val="184"/>
        </w:trPr>
        <w:tc>
          <w:tcPr>
            <w:tcW w:w="5400" w:type="dxa"/>
            <w:vAlign w:val="bottom"/>
          </w:tcPr>
          <w:p>
            <w:pPr>
              <w:ind w:left="300"/>
              <w:spacing w:after="0"/>
              <w:rPr>
                <w:sz w:val="20"/>
                <w:szCs w:val="20"/>
                <w:color w:val="auto"/>
              </w:rPr>
            </w:pPr>
            <w:r>
              <w:rPr>
                <w:rFonts w:ascii="Arial" w:cs="Arial" w:eastAsia="Arial" w:hAnsi="Arial"/>
                <w:sz w:val="14"/>
                <w:szCs w:val="14"/>
                <w:color w:val="auto"/>
              </w:rPr>
              <w:t>Total</w:t>
            </w:r>
          </w:p>
        </w:tc>
        <w:tc>
          <w:tcPr>
            <w:tcW w:w="92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590</w:t>
            </w:r>
          </w:p>
        </w:tc>
        <w:tc>
          <w:tcPr>
            <w:tcW w:w="120" w:type="dxa"/>
            <w:vAlign w:val="bottom"/>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670</w:t>
            </w:r>
          </w:p>
        </w:tc>
        <w:tc>
          <w:tcPr>
            <w:tcW w:w="120" w:type="dxa"/>
            <w:vAlign w:val="bottom"/>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right"/>
              <w:ind w:right="30"/>
              <w:spacing w:after="0"/>
              <w:rPr>
                <w:sz w:val="20"/>
                <w:szCs w:val="20"/>
                <w:color w:val="auto"/>
              </w:rPr>
            </w:pPr>
            <w:r>
              <w:rPr>
                <w:rFonts w:ascii="Arial" w:cs="Arial" w:eastAsia="Arial" w:hAnsi="Arial"/>
                <w:sz w:val="14"/>
                <w:szCs w:val="14"/>
                <w:color w:val="auto"/>
              </w:rPr>
              <w:t>1,791</w:t>
            </w:r>
          </w:p>
        </w:tc>
        <w:tc>
          <w:tcPr>
            <w:tcW w:w="12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rPr>
              <w:t>1,979</w:t>
            </w:r>
          </w:p>
        </w:tc>
      </w:tr>
      <w:tr>
        <w:trPr>
          <w:trHeight w:val="23"/>
        </w:trPr>
        <w:tc>
          <w:tcPr>
            <w:tcW w:w="54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06"/>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Operating Income</w:t>
            </w:r>
          </w:p>
        </w:tc>
        <w:tc>
          <w:tcPr>
            <w:tcW w:w="92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269</w:t>
            </w:r>
          </w:p>
        </w:tc>
        <w:tc>
          <w:tcPr>
            <w:tcW w:w="1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227</w:t>
            </w:r>
          </w:p>
        </w:tc>
        <w:tc>
          <w:tcPr>
            <w:tcW w:w="12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519</w:t>
            </w:r>
          </w:p>
        </w:tc>
        <w:tc>
          <w:tcPr>
            <w:tcW w:w="1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527</w:t>
            </w:r>
          </w:p>
        </w:tc>
      </w:tr>
      <w:tr>
        <w:trPr>
          <w:trHeight w:val="173"/>
        </w:trPr>
        <w:tc>
          <w:tcPr>
            <w:tcW w:w="5400" w:type="dxa"/>
            <w:vAlign w:val="bottom"/>
          </w:tcPr>
          <w:p>
            <w:pPr>
              <w:ind w:left="20"/>
              <w:spacing w:after="0"/>
              <w:rPr>
                <w:sz w:val="20"/>
                <w:szCs w:val="20"/>
                <w:color w:val="auto"/>
              </w:rPr>
            </w:pPr>
            <w:r>
              <w:rPr>
                <w:rFonts w:ascii="Arial" w:cs="Arial" w:eastAsia="Arial" w:hAnsi="Arial"/>
                <w:sz w:val="14"/>
                <w:szCs w:val="14"/>
                <w:b w:val="1"/>
                <w:bCs w:val="1"/>
                <w:color w:val="auto"/>
              </w:rPr>
              <w:t>Other Income (Expense):</w:t>
            </w:r>
          </w:p>
        </w:tc>
        <w:tc>
          <w:tcPr>
            <w:tcW w:w="92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r>
      <w:tr>
        <w:trPr>
          <w:trHeight w:val="23"/>
        </w:trPr>
        <w:tc>
          <w:tcPr>
            <w:tcW w:w="54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96"/>
        </w:trPr>
        <w:tc>
          <w:tcPr>
            <w:tcW w:w="54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Interest and other finance charges</w:t>
            </w:r>
          </w:p>
        </w:tc>
        <w:tc>
          <w:tcPr>
            <w:tcW w:w="92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(41)</w:t>
            </w:r>
          </w:p>
        </w:tc>
        <w:tc>
          <w:tcPr>
            <w:tcW w:w="1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12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(123)</w:t>
            </w:r>
          </w:p>
        </w:tc>
        <w:tc>
          <w:tcPr>
            <w:tcW w:w="1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(101)</w:t>
            </w:r>
          </w:p>
        </w:tc>
      </w:tr>
      <w:tr>
        <w:trPr>
          <w:trHeight w:val="193"/>
        </w:trPr>
        <w:tc>
          <w:tcPr>
            <w:tcW w:w="5400" w:type="dxa"/>
            <w:vAlign w:val="bottom"/>
          </w:tcPr>
          <w:p>
            <w:pPr>
              <w:ind w:left="140"/>
              <w:spacing w:after="0"/>
              <w:rPr>
                <w:sz w:val="20"/>
                <w:szCs w:val="20"/>
                <w:color w:val="auto"/>
              </w:rPr>
            </w:pPr>
            <w:r>
              <w:rPr>
                <w:rFonts w:ascii="Arial" w:cs="Arial" w:eastAsia="Arial" w:hAnsi="Arial"/>
                <w:sz w:val="14"/>
                <w:szCs w:val="14"/>
                <w:color w:val="auto"/>
              </w:rPr>
              <w:t>Interest on Securitization Bonds</w:t>
            </w:r>
          </w:p>
        </w:tc>
        <w:tc>
          <w:tcPr>
            <w:tcW w:w="92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(16)</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(31)</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(46)</w:t>
            </w:r>
          </w:p>
        </w:tc>
      </w:tr>
      <w:tr>
        <w:trPr>
          <w:trHeight w:val="23"/>
        </w:trPr>
        <w:tc>
          <w:tcPr>
            <w:tcW w:w="54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16"/>
        </w:trPr>
        <w:tc>
          <w:tcPr>
            <w:tcW w:w="54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Other income (expense), net</w:t>
            </w:r>
          </w:p>
        </w:tc>
        <w:tc>
          <w:tcPr>
            <w:tcW w:w="92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7</w:t>
            </w:r>
          </w:p>
        </w:tc>
        <w:tc>
          <w:tcPr>
            <w:tcW w:w="1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17</w:t>
            </w: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w:t>
            </w:r>
          </w:p>
        </w:tc>
      </w:tr>
      <w:tr>
        <w:trPr>
          <w:trHeight w:val="184"/>
        </w:trPr>
        <w:tc>
          <w:tcPr>
            <w:tcW w:w="5400" w:type="dxa"/>
            <w:vAlign w:val="bottom"/>
          </w:tcPr>
          <w:p>
            <w:pPr>
              <w:ind w:left="300"/>
              <w:spacing w:after="0"/>
              <w:rPr>
                <w:sz w:val="20"/>
                <w:szCs w:val="20"/>
                <w:color w:val="auto"/>
              </w:rPr>
            </w:pPr>
            <w:r>
              <w:rPr>
                <w:rFonts w:ascii="Arial" w:cs="Arial" w:eastAsia="Arial" w:hAnsi="Arial"/>
                <w:sz w:val="14"/>
                <w:szCs w:val="14"/>
                <w:color w:val="auto"/>
              </w:rPr>
              <w:t>Total</w:t>
            </w:r>
          </w:p>
        </w:tc>
        <w:tc>
          <w:tcPr>
            <w:tcW w:w="92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(43)</w:t>
            </w:r>
          </w:p>
        </w:tc>
        <w:tc>
          <w:tcPr>
            <w:tcW w:w="120" w:type="dxa"/>
            <w:vAlign w:val="bottom"/>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(48)</w:t>
            </w:r>
          </w:p>
        </w:tc>
        <w:tc>
          <w:tcPr>
            <w:tcW w:w="120" w:type="dxa"/>
            <w:vAlign w:val="bottom"/>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(137)</w:t>
            </w:r>
          </w:p>
        </w:tc>
        <w:tc>
          <w:tcPr>
            <w:tcW w:w="12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(153)</w:t>
            </w:r>
          </w:p>
        </w:tc>
      </w:tr>
      <w:tr>
        <w:trPr>
          <w:trHeight w:val="23"/>
        </w:trPr>
        <w:tc>
          <w:tcPr>
            <w:tcW w:w="54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86"/>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Income Before Income Taxes</w:t>
            </w:r>
          </w:p>
        </w:tc>
        <w:tc>
          <w:tcPr>
            <w:tcW w:w="92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226</w:t>
            </w:r>
          </w:p>
        </w:tc>
        <w:tc>
          <w:tcPr>
            <w:tcW w:w="1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179</w:t>
            </w:r>
          </w:p>
        </w:tc>
        <w:tc>
          <w:tcPr>
            <w:tcW w:w="12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382</w:t>
            </w:r>
          </w:p>
        </w:tc>
        <w:tc>
          <w:tcPr>
            <w:tcW w:w="12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374</w:t>
            </w:r>
          </w:p>
        </w:tc>
      </w:tr>
      <w:tr>
        <w:trPr>
          <w:trHeight w:val="193"/>
        </w:trPr>
        <w:tc>
          <w:tcPr>
            <w:tcW w:w="5400" w:type="dxa"/>
            <w:vAlign w:val="bottom"/>
          </w:tcPr>
          <w:p>
            <w:pPr>
              <w:ind w:left="140"/>
              <w:spacing w:after="0"/>
              <w:rPr>
                <w:sz w:val="20"/>
                <w:szCs w:val="20"/>
                <w:color w:val="auto"/>
              </w:rPr>
            </w:pPr>
            <w:r>
              <w:rPr>
                <w:rFonts w:ascii="Arial" w:cs="Arial" w:eastAsia="Arial" w:hAnsi="Arial"/>
                <w:sz w:val="14"/>
                <w:szCs w:val="14"/>
                <w:color w:val="auto"/>
              </w:rPr>
              <w:t>Income tax expense</w:t>
            </w:r>
          </w:p>
        </w:tc>
        <w:tc>
          <w:tcPr>
            <w:tcW w:w="920" w:type="dxa"/>
            <w:vAlign w:val="bottom"/>
          </w:tcPr>
          <w:p>
            <w:pPr>
              <w:spacing w:after="0"/>
              <w:rPr>
                <w:sz w:val="16"/>
                <w:szCs w:val="16"/>
                <w:color w:val="auto"/>
              </w:rPr>
            </w:pPr>
          </w:p>
        </w:tc>
        <w:tc>
          <w:tcPr>
            <w:tcW w:w="460" w:type="dxa"/>
            <w:vAlign w:val="bottom"/>
          </w:tcPr>
          <w:p>
            <w:pPr>
              <w:jc w:val="right"/>
              <w:ind w:right="48"/>
              <w:spacing w:after="0"/>
              <w:rPr>
                <w:sz w:val="20"/>
                <w:szCs w:val="20"/>
                <w:color w:val="auto"/>
              </w:rPr>
            </w:pPr>
            <w:r>
              <w:rPr>
                <w:rFonts w:ascii="Arial" w:cs="Arial" w:eastAsia="Arial" w:hAnsi="Arial"/>
                <w:sz w:val="14"/>
                <w:szCs w:val="14"/>
                <w:color w:val="auto"/>
              </w:rPr>
              <w:t>41</w:t>
            </w: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60" w:type="dxa"/>
            <w:vAlign w:val="bottom"/>
          </w:tcPr>
          <w:p>
            <w:pPr>
              <w:jc w:val="right"/>
              <w:ind w:right="49"/>
              <w:spacing w:after="0"/>
              <w:rPr>
                <w:sz w:val="20"/>
                <w:szCs w:val="20"/>
                <w:color w:val="auto"/>
              </w:rPr>
            </w:pPr>
            <w:r>
              <w:rPr>
                <w:rFonts w:ascii="Arial" w:cs="Arial" w:eastAsia="Arial" w:hAnsi="Arial"/>
                <w:sz w:val="14"/>
                <w:szCs w:val="14"/>
                <w:color w:val="auto"/>
              </w:rPr>
              <w:t>36</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60" w:type="dxa"/>
            <w:vAlign w:val="bottom"/>
          </w:tcPr>
          <w:p>
            <w:pPr>
              <w:jc w:val="right"/>
              <w:ind w:right="30"/>
              <w:spacing w:after="0"/>
              <w:rPr>
                <w:sz w:val="20"/>
                <w:szCs w:val="20"/>
                <w:color w:val="auto"/>
              </w:rPr>
            </w:pPr>
            <w:r>
              <w:rPr>
                <w:rFonts w:ascii="Arial" w:cs="Arial" w:eastAsia="Arial" w:hAnsi="Arial"/>
                <w:sz w:val="14"/>
                <w:szCs w:val="14"/>
                <w:color w:val="auto"/>
              </w:rPr>
              <w:t>70</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jc w:val="right"/>
              <w:ind w:right="29"/>
              <w:spacing w:after="0"/>
              <w:rPr>
                <w:sz w:val="20"/>
                <w:szCs w:val="20"/>
                <w:color w:val="auto"/>
              </w:rPr>
            </w:pPr>
            <w:r>
              <w:rPr>
                <w:rFonts w:ascii="Arial" w:cs="Arial" w:eastAsia="Arial" w:hAnsi="Arial"/>
                <w:sz w:val="14"/>
                <w:szCs w:val="14"/>
                <w:color w:val="auto"/>
              </w:rPr>
              <w:t>78</w:t>
            </w:r>
          </w:p>
        </w:tc>
      </w:tr>
      <w:tr>
        <w:trPr>
          <w:trHeight w:val="23"/>
        </w:trPr>
        <w:tc>
          <w:tcPr>
            <w:tcW w:w="54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00"/>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Net Income</w:t>
            </w:r>
          </w:p>
        </w:tc>
        <w:tc>
          <w:tcPr>
            <w:tcW w:w="920" w:type="dxa"/>
            <w:vAlign w:val="bottom"/>
            <w:tcBorders>
              <w:bottom w:val="single" w:sz="8" w:color="auto"/>
            </w:tcBorders>
            <w:shd w:val="clear" w:color="auto" w:fill="CCEEFF"/>
          </w:tcPr>
          <w:p>
            <w:pPr>
              <w:jc w:val="right"/>
              <w:ind w:right="775"/>
              <w:spacing w:after="0"/>
              <w:rPr>
                <w:sz w:val="20"/>
                <w:szCs w:val="20"/>
                <w:color w:val="auto"/>
              </w:rPr>
            </w:pPr>
            <w:r>
              <w:rPr>
                <w:rFonts w:ascii="Arial" w:cs="Arial" w:eastAsia="Arial" w:hAnsi="Arial"/>
                <w:sz w:val="14"/>
                <w:szCs w:val="14"/>
                <w:color w:val="auto"/>
                <w:w w:val="76"/>
              </w:rPr>
              <w:t>$</w:t>
            </w:r>
          </w:p>
        </w:tc>
        <w:tc>
          <w:tcPr>
            <w:tcW w:w="4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185</w:t>
            </w:r>
          </w:p>
        </w:tc>
        <w:tc>
          <w:tcPr>
            <w:tcW w:w="1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873"/>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143</w:t>
            </w:r>
          </w:p>
        </w:tc>
        <w:tc>
          <w:tcPr>
            <w:tcW w:w="12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312</w:t>
            </w:r>
          </w:p>
        </w:tc>
        <w:tc>
          <w:tcPr>
            <w:tcW w:w="1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296</w:t>
            </w:r>
          </w:p>
        </w:tc>
      </w:tr>
      <w:tr>
        <w:trPr>
          <w:trHeight w:val="20"/>
        </w:trPr>
        <w:tc>
          <w:tcPr>
            <w:tcW w:w="54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6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Combined Notes to Unaudited Condensed Consolidated Financial Statements</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1460"/>
          </w:cols>
          <w:pgMar w:left="220" w:top="129" w:right="219" w:bottom="1440" w:gutter="0" w:footer="0" w:header="0"/>
        </w:sectPr>
      </w:pPr>
    </w:p>
    <w:bookmarkStart w:id="17" w:name="page18"/>
    <w:bookmarkEnd w:id="17"/>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2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CENTERPOINT ENERGY HOUSTON ELECTRIC, LLC AND SUBSIDIARIES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(AN INDIRECT, WHOLLY-OWNED SUBSIDIARY OF CENTERPOINT ENERGY,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CONDENSED STATEMENTS OF CONSOLIDATED COMPREHENSIVE INCOME</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5620" w:type="dxa"/>
            <w:vAlign w:val="bottom"/>
          </w:tcPr>
          <w:p>
            <w:pPr>
              <w:spacing w:after="0"/>
              <w:rPr>
                <w:sz w:val="13"/>
                <w:szCs w:val="13"/>
                <w:color w:val="auto"/>
              </w:rPr>
            </w:pPr>
          </w:p>
        </w:tc>
        <w:tc>
          <w:tcPr>
            <w:tcW w:w="2460" w:type="dxa"/>
            <w:vAlign w:val="bottom"/>
            <w:tcBorders>
              <w:bottom w:val="single" w:sz="8" w:color="auto"/>
            </w:tcBorders>
            <w:gridSpan w:val="4"/>
          </w:tcPr>
          <w:p>
            <w:pPr>
              <w:jc w:val="right"/>
              <w:ind w:right="53"/>
              <w:spacing w:after="0"/>
              <w:rPr>
                <w:sz w:val="20"/>
                <w:szCs w:val="20"/>
                <w:color w:val="auto"/>
              </w:rPr>
            </w:pPr>
            <w:r>
              <w:rPr>
                <w:rFonts w:ascii="Arial" w:cs="Arial" w:eastAsia="Arial" w:hAnsi="Arial"/>
                <w:sz w:val="11"/>
                <w:szCs w:val="11"/>
                <w:b w:val="1"/>
                <w:bCs w:val="1"/>
                <w:color w:val="auto"/>
              </w:rPr>
              <w:t>Three Months Ended September 30,</w:t>
            </w:r>
          </w:p>
        </w:tc>
        <w:tc>
          <w:tcPr>
            <w:tcW w:w="4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2440" w:type="dxa"/>
            <w:vAlign w:val="bottom"/>
            <w:tcBorders>
              <w:bottom w:val="single" w:sz="8" w:color="auto"/>
            </w:tcBorders>
            <w:gridSpan w:val="4"/>
          </w:tcPr>
          <w:p>
            <w:pPr>
              <w:jc w:val="right"/>
              <w:ind w:right="471"/>
              <w:spacing w:after="0"/>
              <w:rPr>
                <w:sz w:val="20"/>
                <w:szCs w:val="20"/>
                <w:color w:val="auto"/>
              </w:rPr>
            </w:pPr>
            <w:r>
              <w:rPr>
                <w:rFonts w:ascii="Arial" w:cs="Arial" w:eastAsia="Arial" w:hAnsi="Arial"/>
                <w:sz w:val="11"/>
                <w:szCs w:val="11"/>
                <w:b w:val="1"/>
                <w:bCs w:val="1"/>
                <w:color w:val="auto"/>
              </w:rPr>
              <w:t>Nine Months Ended September 30,</w:t>
            </w:r>
          </w:p>
        </w:tc>
      </w:tr>
      <w:tr>
        <w:trPr>
          <w:trHeight w:val="206"/>
        </w:trPr>
        <w:tc>
          <w:tcPr>
            <w:tcW w:w="5620" w:type="dxa"/>
            <w:vAlign w:val="bottom"/>
          </w:tcPr>
          <w:p>
            <w:pPr>
              <w:spacing w:after="0"/>
              <w:rPr>
                <w:sz w:val="17"/>
                <w:szCs w:val="17"/>
                <w:color w:val="auto"/>
              </w:rPr>
            </w:pPr>
          </w:p>
        </w:tc>
        <w:tc>
          <w:tcPr>
            <w:tcW w:w="940" w:type="dxa"/>
            <w:vAlign w:val="bottom"/>
            <w:tcBorders>
              <w:bottom w:val="single" w:sz="8" w:color="auto"/>
            </w:tcBorders>
          </w:tcPr>
          <w:p>
            <w:pPr>
              <w:jc w:val="right"/>
              <w:ind w:right="55"/>
              <w:spacing w:after="0"/>
              <w:rPr>
                <w:sz w:val="20"/>
                <w:szCs w:val="20"/>
                <w:color w:val="auto"/>
              </w:rPr>
            </w:pPr>
            <w:r>
              <w:rPr>
                <w:rFonts w:ascii="Arial" w:cs="Arial" w:eastAsia="Arial" w:hAnsi="Arial"/>
                <w:sz w:val="11"/>
                <w:szCs w:val="11"/>
                <w:b w:val="1"/>
                <w:bCs w:val="1"/>
                <w:color w:val="auto"/>
              </w:rPr>
              <w:t>2019</w:t>
            </w:r>
          </w:p>
        </w:tc>
        <w:tc>
          <w:tcPr>
            <w:tcW w:w="4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73"/>
              <w:spacing w:after="0"/>
              <w:rPr>
                <w:sz w:val="20"/>
                <w:szCs w:val="20"/>
                <w:color w:val="auto"/>
              </w:rPr>
            </w:pPr>
            <w:r>
              <w:rPr>
                <w:rFonts w:ascii="Arial" w:cs="Arial" w:eastAsia="Arial" w:hAnsi="Arial"/>
                <w:sz w:val="11"/>
                <w:szCs w:val="11"/>
                <w:b w:val="1"/>
                <w:bCs w:val="1"/>
                <w:color w:val="auto"/>
              </w:rPr>
              <w:t>2018</w:t>
            </w:r>
          </w:p>
        </w:tc>
        <w:tc>
          <w:tcPr>
            <w:tcW w:w="4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93"/>
              <w:spacing w:after="0"/>
              <w:rPr>
                <w:sz w:val="20"/>
                <w:szCs w:val="20"/>
                <w:color w:val="auto"/>
              </w:rPr>
            </w:pPr>
            <w:r>
              <w:rPr>
                <w:rFonts w:ascii="Arial" w:cs="Arial" w:eastAsia="Arial" w:hAnsi="Arial"/>
                <w:sz w:val="11"/>
                <w:szCs w:val="11"/>
                <w:b w:val="1"/>
                <w:bCs w:val="1"/>
                <w:color w:val="auto"/>
              </w:rPr>
              <w:t>2019</w:t>
            </w:r>
          </w:p>
        </w:tc>
        <w:tc>
          <w:tcPr>
            <w:tcW w:w="1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91"/>
              <w:spacing w:after="0"/>
              <w:rPr>
                <w:sz w:val="20"/>
                <w:szCs w:val="20"/>
                <w:color w:val="auto"/>
              </w:rPr>
            </w:pPr>
            <w:r>
              <w:rPr>
                <w:rFonts w:ascii="Arial" w:cs="Arial" w:eastAsia="Arial" w:hAnsi="Arial"/>
                <w:sz w:val="11"/>
                <w:szCs w:val="11"/>
                <w:b w:val="1"/>
                <w:bCs w:val="1"/>
                <w:color w:val="auto"/>
              </w:rPr>
              <w:t>2018</w:t>
            </w:r>
          </w:p>
        </w:tc>
      </w:tr>
      <w:tr>
        <w:trPr>
          <w:trHeight w:val="196"/>
        </w:trPr>
        <w:tc>
          <w:tcPr>
            <w:tcW w:w="56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40" w:type="dxa"/>
            <w:vAlign w:val="bottom"/>
            <w:gridSpan w:val="3"/>
          </w:tcPr>
          <w:p>
            <w:pPr>
              <w:jc w:val="right"/>
              <w:ind w:right="108"/>
              <w:spacing w:after="0"/>
              <w:rPr>
                <w:sz w:val="20"/>
                <w:szCs w:val="20"/>
                <w:color w:val="auto"/>
              </w:rPr>
            </w:pPr>
            <w:r>
              <w:rPr>
                <w:rFonts w:ascii="Arial" w:cs="Arial" w:eastAsia="Arial" w:hAnsi="Arial"/>
                <w:sz w:val="11"/>
                <w:szCs w:val="11"/>
                <w:b w:val="1"/>
                <w:bCs w:val="1"/>
                <w:color w:val="auto"/>
              </w:rPr>
              <w:t>(in millions)</w:t>
            </w: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20"/>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940" w:type="dxa"/>
            <w:vAlign w:val="bottom"/>
            <w:tcBorders>
              <w:bottom w:val="single" w:sz="8" w:color="CCEEFF"/>
            </w:tcBorders>
            <w:shd w:val="clear" w:color="auto" w:fill="CCEEFF"/>
          </w:tcPr>
          <w:p>
            <w:pPr>
              <w:jc w:val="right"/>
              <w:ind w:right="775"/>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185</w:t>
            </w:r>
          </w:p>
        </w:tc>
        <w:tc>
          <w:tcPr>
            <w:tcW w:w="1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ind w:right="793"/>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143</w:t>
            </w: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4"/>
                <w:szCs w:val="14"/>
                <w:color w:val="auto"/>
              </w:rPr>
              <w:t>312</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296</w:t>
            </w:r>
          </w:p>
        </w:tc>
      </w:tr>
      <w:tr>
        <w:trPr>
          <w:trHeight w:val="184"/>
        </w:trPr>
        <w:tc>
          <w:tcPr>
            <w:tcW w:w="5620" w:type="dxa"/>
            <w:vAlign w:val="bottom"/>
          </w:tcPr>
          <w:p>
            <w:pPr>
              <w:ind w:left="20"/>
              <w:spacing w:after="0"/>
              <w:rPr>
                <w:sz w:val="20"/>
                <w:szCs w:val="20"/>
                <w:color w:val="auto"/>
              </w:rPr>
            </w:pPr>
            <w:r>
              <w:rPr>
                <w:rFonts w:ascii="Arial" w:cs="Arial" w:eastAsia="Arial" w:hAnsi="Arial"/>
                <w:sz w:val="14"/>
                <w:szCs w:val="14"/>
                <w:color w:val="auto"/>
              </w:rPr>
              <w:t>Other comprehensive income:</w:t>
            </w:r>
          </w:p>
        </w:tc>
        <w:tc>
          <w:tcPr>
            <w:tcW w:w="94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r>
      <w:tr>
        <w:trPr>
          <w:trHeight w:val="23"/>
        </w:trPr>
        <w:tc>
          <w:tcPr>
            <w:tcW w:w="56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16"/>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deferred gain (loss) from cash flow hedges (net of tax of $-0-, $1, $-0- and $2)</w:t>
            </w:r>
          </w:p>
        </w:tc>
        <w:tc>
          <w:tcPr>
            <w:tcW w:w="94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3</w:t>
            </w:r>
          </w:p>
        </w:tc>
        <w:tc>
          <w:tcPr>
            <w:tcW w:w="12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7</w:t>
            </w:r>
          </w:p>
        </w:tc>
      </w:tr>
      <w:tr>
        <w:trPr>
          <w:trHeight w:val="184"/>
        </w:trPr>
        <w:tc>
          <w:tcPr>
            <w:tcW w:w="5620" w:type="dxa"/>
            <w:vAlign w:val="bottom"/>
          </w:tcPr>
          <w:p>
            <w:pPr>
              <w:ind w:left="280"/>
              <w:spacing w:after="0"/>
              <w:rPr>
                <w:sz w:val="20"/>
                <w:szCs w:val="20"/>
                <w:color w:val="auto"/>
              </w:rPr>
            </w:pPr>
            <w:r>
              <w:rPr>
                <w:rFonts w:ascii="Arial" w:cs="Arial" w:eastAsia="Arial" w:hAnsi="Arial"/>
                <w:sz w:val="14"/>
                <w:szCs w:val="14"/>
                <w:color w:val="auto"/>
              </w:rPr>
              <w:t>Total</w:t>
            </w:r>
          </w:p>
        </w:tc>
        <w:tc>
          <w:tcPr>
            <w:tcW w:w="94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440" w:type="dxa"/>
            <w:vAlign w:val="bottom"/>
            <w:tcBorders>
              <w:top w:val="single" w:sz="8" w:color="auto"/>
            </w:tcBorders>
          </w:tcPr>
          <w:p>
            <w:pPr>
              <w:jc w:val="right"/>
              <w:ind w:right="51"/>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jc w:val="right"/>
              <w:ind w:right="31"/>
              <w:spacing w:after="0"/>
              <w:rPr>
                <w:sz w:val="20"/>
                <w:szCs w:val="20"/>
                <w:color w:val="auto"/>
              </w:rPr>
            </w:pPr>
            <w:r>
              <w:rPr>
                <w:rFonts w:ascii="Arial" w:cs="Arial" w:eastAsia="Arial" w:hAnsi="Arial"/>
                <w:sz w:val="14"/>
                <w:szCs w:val="14"/>
                <w:color w:val="auto"/>
              </w:rPr>
              <w:t>7</w:t>
            </w:r>
          </w:p>
        </w:tc>
      </w:tr>
      <w:tr>
        <w:trPr>
          <w:trHeight w:val="23"/>
        </w:trPr>
        <w:tc>
          <w:tcPr>
            <w:tcW w:w="562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00"/>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Comprehensive income</w:t>
            </w:r>
          </w:p>
        </w:tc>
        <w:tc>
          <w:tcPr>
            <w:tcW w:w="940" w:type="dxa"/>
            <w:vAlign w:val="bottom"/>
            <w:tcBorders>
              <w:bottom w:val="single" w:sz="8" w:color="auto"/>
            </w:tcBorders>
            <w:shd w:val="clear" w:color="auto" w:fill="CCEEFF"/>
          </w:tcPr>
          <w:p>
            <w:pPr>
              <w:jc w:val="right"/>
              <w:ind w:right="775"/>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185</w:t>
            </w:r>
          </w:p>
        </w:tc>
        <w:tc>
          <w:tcPr>
            <w:tcW w:w="1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793"/>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146</w:t>
            </w:r>
          </w:p>
        </w:tc>
        <w:tc>
          <w:tcPr>
            <w:tcW w:w="12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4"/>
                <w:szCs w:val="14"/>
                <w:color w:val="auto"/>
              </w:rPr>
              <w:t>311</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303</w:t>
            </w:r>
          </w:p>
        </w:tc>
      </w:tr>
      <w:tr>
        <w:trPr>
          <w:trHeight w:val="20"/>
        </w:trPr>
        <w:tc>
          <w:tcPr>
            <w:tcW w:w="56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6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Combined Notes to Unaudited Condensed Consolidated Financial Statements</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1460"/>
          </w:cols>
          <w:pgMar w:left="220" w:top="129" w:right="219" w:bottom="1440" w:gutter="0" w:footer="0" w:header="0"/>
        </w:sectPr>
      </w:pPr>
    </w:p>
    <w:bookmarkStart w:id="18" w:name="page19"/>
    <w:bookmarkEnd w:id="18"/>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2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CENTERPOINT ENERGY HOUSTON ELECTRIC, LLC AND SUBSIDIARIES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(AN INDIRECT, WHOLLY-OWNED SUBSIDIARY OF CENTERPOINT ENERGY,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CONDENSED CONSOLIDATED BALANCE SHEETS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ASSETS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8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80" w:type="dxa"/>
            <w:vAlign w:val="bottom"/>
            <w:gridSpan w:val="2"/>
          </w:tcPr>
          <w:p>
            <w:pPr>
              <w:ind w:left="120"/>
              <w:spacing w:after="0"/>
              <w:rPr>
                <w:sz w:val="20"/>
                <w:szCs w:val="20"/>
                <w:color w:val="auto"/>
              </w:rPr>
            </w:pPr>
            <w:r>
              <w:rPr>
                <w:rFonts w:ascii="Arial" w:cs="Arial" w:eastAsia="Arial" w:hAnsi="Arial"/>
                <w:sz w:val="11"/>
                <w:szCs w:val="11"/>
                <w:b w:val="1"/>
                <w:bCs w:val="1"/>
                <w:color w:val="auto"/>
              </w:rPr>
              <w:t>September 30,</w:t>
            </w:r>
          </w:p>
        </w:tc>
        <w:tc>
          <w:tcPr>
            <w:tcW w:w="280" w:type="dxa"/>
            <w:vAlign w:val="bottom"/>
          </w:tcPr>
          <w:p>
            <w:pPr>
              <w:spacing w:after="0"/>
              <w:rPr>
                <w:sz w:val="10"/>
                <w:szCs w:val="10"/>
                <w:color w:val="auto"/>
              </w:rPr>
            </w:pPr>
          </w:p>
        </w:tc>
        <w:tc>
          <w:tcPr>
            <w:tcW w:w="1080" w:type="dxa"/>
            <w:vAlign w:val="bottom"/>
          </w:tcPr>
          <w:p>
            <w:pPr>
              <w:jc w:val="right"/>
              <w:ind w:right="290"/>
              <w:spacing w:after="0"/>
              <w:rPr>
                <w:sz w:val="20"/>
                <w:szCs w:val="20"/>
                <w:color w:val="auto"/>
              </w:rPr>
            </w:pPr>
            <w:r>
              <w:rPr>
                <w:rFonts w:ascii="Arial" w:cs="Arial" w:eastAsia="Arial" w:hAnsi="Arial"/>
                <w:sz w:val="11"/>
                <w:szCs w:val="11"/>
                <w:b w:val="1"/>
                <w:bCs w:val="1"/>
                <w:color w:val="auto"/>
                <w:w w:val="97"/>
              </w:rPr>
              <w:t>December 31,</w:t>
            </w:r>
          </w:p>
        </w:tc>
      </w:tr>
      <w:tr>
        <w:trPr>
          <w:trHeight w:val="153"/>
        </w:trPr>
        <w:tc>
          <w:tcPr>
            <w:tcW w:w="86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11"/>
              <w:spacing w:after="0"/>
              <w:rPr>
                <w:sz w:val="20"/>
                <w:szCs w:val="20"/>
                <w:color w:val="auto"/>
              </w:rPr>
            </w:pPr>
            <w:r>
              <w:rPr>
                <w:rFonts w:ascii="Arial" w:cs="Arial" w:eastAsia="Arial" w:hAnsi="Arial"/>
                <w:sz w:val="11"/>
                <w:szCs w:val="11"/>
                <w:b w:val="1"/>
                <w:bCs w:val="1"/>
                <w:color w:val="auto"/>
              </w:rPr>
              <w:t>2019</w:t>
            </w:r>
          </w:p>
        </w:tc>
        <w:tc>
          <w:tcPr>
            <w:tcW w:w="10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490"/>
              <w:spacing w:after="0"/>
              <w:rPr>
                <w:sz w:val="20"/>
                <w:szCs w:val="20"/>
                <w:color w:val="auto"/>
              </w:rPr>
            </w:pPr>
            <w:r>
              <w:rPr>
                <w:rFonts w:ascii="Arial" w:cs="Arial" w:eastAsia="Arial" w:hAnsi="Arial"/>
                <w:sz w:val="11"/>
                <w:szCs w:val="11"/>
                <w:b w:val="1"/>
                <w:bCs w:val="1"/>
                <w:color w:val="auto"/>
              </w:rPr>
              <w:t>2018</w:t>
            </w:r>
          </w:p>
        </w:tc>
      </w:tr>
      <w:tr>
        <w:trPr>
          <w:trHeight w:val="191"/>
        </w:trPr>
        <w:tc>
          <w:tcPr>
            <w:tcW w:w="8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60" w:type="dxa"/>
            <w:vAlign w:val="bottom"/>
            <w:gridSpan w:val="3"/>
          </w:tcPr>
          <w:p>
            <w:pPr>
              <w:jc w:val="right"/>
              <w:spacing w:after="0"/>
              <w:rPr>
                <w:sz w:val="20"/>
                <w:szCs w:val="20"/>
                <w:color w:val="auto"/>
              </w:rPr>
            </w:pPr>
            <w:r>
              <w:rPr>
                <w:rFonts w:ascii="Arial" w:cs="Arial" w:eastAsia="Arial" w:hAnsi="Arial"/>
                <w:sz w:val="11"/>
                <w:szCs w:val="11"/>
                <w:b w:val="1"/>
                <w:bCs w:val="1"/>
                <w:color w:val="auto"/>
              </w:rPr>
              <w:t>(in millions)</w:t>
            </w:r>
          </w:p>
        </w:tc>
        <w:tc>
          <w:tcPr>
            <w:tcW w:w="1080" w:type="dxa"/>
            <w:vAlign w:val="bottom"/>
          </w:tcPr>
          <w:p>
            <w:pPr>
              <w:spacing w:after="0"/>
              <w:rPr>
                <w:sz w:val="16"/>
                <w:szCs w:val="16"/>
                <w:color w:val="auto"/>
              </w:rPr>
            </w:pPr>
          </w:p>
        </w:tc>
      </w:tr>
      <w:tr>
        <w:trPr>
          <w:trHeight w:val="202"/>
        </w:trPr>
        <w:tc>
          <w:tcPr>
            <w:tcW w:w="8600" w:type="dxa"/>
            <w:vAlign w:val="bottom"/>
          </w:tcPr>
          <w:p>
            <w:pPr>
              <w:ind w:left="20"/>
              <w:spacing w:after="0"/>
              <w:rPr>
                <w:sz w:val="20"/>
                <w:szCs w:val="20"/>
                <w:color w:val="auto"/>
              </w:rPr>
            </w:pPr>
            <w:r>
              <w:rPr>
                <w:rFonts w:ascii="Arial" w:cs="Arial" w:eastAsia="Arial" w:hAnsi="Arial"/>
                <w:sz w:val="14"/>
                <w:szCs w:val="14"/>
                <w:b w:val="1"/>
                <w:bCs w:val="1"/>
                <w:color w:val="auto"/>
              </w:rPr>
              <w:t>Current Assets:</w:t>
            </w: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3"/>
        </w:trPr>
        <w:tc>
          <w:tcPr>
            <w:tcW w:w="8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96"/>
        </w:trPr>
        <w:tc>
          <w:tcPr>
            <w:tcW w:w="86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Cash and cash equivalents ($224 and $335 related to VIEs, respectively)</w:t>
            </w:r>
          </w:p>
        </w:tc>
        <w:tc>
          <w:tcPr>
            <w:tcW w:w="2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228</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335</w:t>
            </w:r>
          </w:p>
        </w:tc>
      </w:tr>
      <w:tr>
        <w:trPr>
          <w:trHeight w:val="193"/>
        </w:trPr>
        <w:tc>
          <w:tcPr>
            <w:tcW w:w="8600" w:type="dxa"/>
            <w:vAlign w:val="bottom"/>
          </w:tcPr>
          <w:p>
            <w:pPr>
              <w:ind w:left="140"/>
              <w:spacing w:after="0"/>
              <w:rPr>
                <w:sz w:val="20"/>
                <w:szCs w:val="20"/>
                <w:color w:val="auto"/>
              </w:rPr>
            </w:pPr>
            <w:r>
              <w:rPr>
                <w:rFonts w:ascii="Arial" w:cs="Arial" w:eastAsia="Arial" w:hAnsi="Arial"/>
                <w:sz w:val="14"/>
                <w:szCs w:val="14"/>
                <w:color w:val="auto"/>
              </w:rPr>
              <w:t>Accounts and notes receivable ($48 and $56 related to VIEs, respectively), less bad debt reserve of $1 and $1, respectively</w:t>
            </w:r>
          </w:p>
        </w:tc>
        <w:tc>
          <w:tcPr>
            <w:tcW w:w="220" w:type="dxa"/>
            <w:vAlign w:val="bottom"/>
          </w:tcPr>
          <w:p>
            <w:pPr>
              <w:spacing w:after="0"/>
              <w:rPr>
                <w:sz w:val="16"/>
                <w:szCs w:val="16"/>
                <w:color w:val="auto"/>
              </w:rPr>
            </w:pPr>
          </w:p>
        </w:tc>
        <w:tc>
          <w:tcPr>
            <w:tcW w:w="1180" w:type="dxa"/>
            <w:vAlign w:val="bottom"/>
          </w:tcPr>
          <w:p>
            <w:pPr>
              <w:jc w:val="right"/>
              <w:ind w:right="51"/>
              <w:spacing w:after="0"/>
              <w:rPr>
                <w:sz w:val="20"/>
                <w:szCs w:val="20"/>
                <w:color w:val="auto"/>
              </w:rPr>
            </w:pPr>
            <w:r>
              <w:rPr>
                <w:rFonts w:ascii="Arial" w:cs="Arial" w:eastAsia="Arial" w:hAnsi="Arial"/>
                <w:sz w:val="14"/>
                <w:szCs w:val="14"/>
                <w:color w:val="auto"/>
              </w:rPr>
              <w:t>341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jc w:val="right"/>
              <w:ind w:right="30"/>
              <w:spacing w:after="0"/>
              <w:rPr>
                <w:sz w:val="20"/>
                <w:szCs w:val="20"/>
                <w:color w:val="auto"/>
              </w:rPr>
            </w:pPr>
            <w:r>
              <w:rPr>
                <w:rFonts w:ascii="Arial" w:cs="Arial" w:eastAsia="Arial" w:hAnsi="Arial"/>
                <w:sz w:val="14"/>
                <w:szCs w:val="14"/>
                <w:color w:val="auto"/>
              </w:rPr>
              <w:t>283</w:t>
            </w:r>
          </w:p>
        </w:tc>
      </w:tr>
      <w:tr>
        <w:trPr>
          <w:trHeight w:val="23"/>
        </w:trPr>
        <w:tc>
          <w:tcPr>
            <w:tcW w:w="8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96"/>
        </w:trPr>
        <w:tc>
          <w:tcPr>
            <w:tcW w:w="86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Accounts and notes receivable–affiliated companies</w:t>
            </w:r>
          </w:p>
        </w:tc>
        <w:tc>
          <w:tcPr>
            <w:tcW w:w="22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787</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20</w:t>
            </w:r>
          </w:p>
        </w:tc>
      </w:tr>
      <w:tr>
        <w:trPr>
          <w:trHeight w:val="193"/>
        </w:trPr>
        <w:tc>
          <w:tcPr>
            <w:tcW w:w="8600" w:type="dxa"/>
            <w:vAlign w:val="bottom"/>
          </w:tcPr>
          <w:p>
            <w:pPr>
              <w:ind w:left="140"/>
              <w:spacing w:after="0"/>
              <w:rPr>
                <w:sz w:val="20"/>
                <w:szCs w:val="20"/>
                <w:color w:val="auto"/>
              </w:rPr>
            </w:pPr>
            <w:r>
              <w:rPr>
                <w:rFonts w:ascii="Arial" w:cs="Arial" w:eastAsia="Arial" w:hAnsi="Arial"/>
                <w:sz w:val="14"/>
                <w:szCs w:val="14"/>
                <w:color w:val="auto"/>
              </w:rPr>
              <w:t>Accrued unbilled revenues</w:t>
            </w:r>
          </w:p>
        </w:tc>
        <w:tc>
          <w:tcPr>
            <w:tcW w:w="220" w:type="dxa"/>
            <w:vAlign w:val="bottom"/>
          </w:tcPr>
          <w:p>
            <w:pPr>
              <w:spacing w:after="0"/>
              <w:rPr>
                <w:sz w:val="16"/>
                <w:szCs w:val="16"/>
                <w:color w:val="auto"/>
              </w:rPr>
            </w:pPr>
          </w:p>
        </w:tc>
        <w:tc>
          <w:tcPr>
            <w:tcW w:w="1180" w:type="dxa"/>
            <w:vAlign w:val="bottom"/>
          </w:tcPr>
          <w:p>
            <w:pPr>
              <w:jc w:val="right"/>
              <w:ind w:right="51"/>
              <w:spacing w:after="0"/>
              <w:rPr>
                <w:sz w:val="20"/>
                <w:szCs w:val="20"/>
                <w:color w:val="auto"/>
              </w:rPr>
            </w:pPr>
            <w:r>
              <w:rPr>
                <w:rFonts w:ascii="Arial" w:cs="Arial" w:eastAsia="Arial" w:hAnsi="Arial"/>
                <w:sz w:val="14"/>
                <w:szCs w:val="14"/>
                <w:color w:val="auto"/>
              </w:rPr>
              <w:t>136</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jc w:val="right"/>
              <w:ind w:right="30"/>
              <w:spacing w:after="0"/>
              <w:rPr>
                <w:sz w:val="20"/>
                <w:szCs w:val="20"/>
                <w:color w:val="auto"/>
              </w:rPr>
            </w:pPr>
            <w:r>
              <w:rPr>
                <w:rFonts w:ascii="Arial" w:cs="Arial" w:eastAsia="Arial" w:hAnsi="Arial"/>
                <w:sz w:val="14"/>
                <w:szCs w:val="14"/>
                <w:color w:val="auto"/>
              </w:rPr>
              <w:t>110</w:t>
            </w:r>
          </w:p>
        </w:tc>
      </w:tr>
      <w:tr>
        <w:trPr>
          <w:trHeight w:val="23"/>
        </w:trPr>
        <w:tc>
          <w:tcPr>
            <w:tcW w:w="8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96"/>
        </w:trPr>
        <w:tc>
          <w:tcPr>
            <w:tcW w:w="86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Materials and supplies</w:t>
            </w:r>
          </w:p>
        </w:tc>
        <w:tc>
          <w:tcPr>
            <w:tcW w:w="22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144</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135</w:t>
            </w:r>
          </w:p>
        </w:tc>
      </w:tr>
      <w:tr>
        <w:trPr>
          <w:trHeight w:val="193"/>
        </w:trPr>
        <w:tc>
          <w:tcPr>
            <w:tcW w:w="8600" w:type="dxa"/>
            <w:vAlign w:val="bottom"/>
          </w:tcPr>
          <w:p>
            <w:pPr>
              <w:ind w:left="140"/>
              <w:spacing w:after="0"/>
              <w:rPr>
                <w:sz w:val="20"/>
                <w:szCs w:val="20"/>
                <w:color w:val="auto"/>
              </w:rPr>
            </w:pPr>
            <w:r>
              <w:rPr>
                <w:rFonts w:ascii="Arial" w:cs="Arial" w:eastAsia="Arial" w:hAnsi="Arial"/>
                <w:sz w:val="14"/>
                <w:szCs w:val="14"/>
                <w:color w:val="auto"/>
              </w:rPr>
              <w:t>Taxes receivable</w:t>
            </w:r>
          </w:p>
        </w:tc>
        <w:tc>
          <w:tcPr>
            <w:tcW w:w="220" w:type="dxa"/>
            <w:vAlign w:val="bottom"/>
          </w:tcPr>
          <w:p>
            <w:pPr>
              <w:spacing w:after="0"/>
              <w:rPr>
                <w:sz w:val="16"/>
                <w:szCs w:val="16"/>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1080" w:type="dxa"/>
            <w:vAlign w:val="bottom"/>
          </w:tcPr>
          <w:p>
            <w:pPr>
              <w:jc w:val="right"/>
              <w:ind w:right="30"/>
              <w:spacing w:after="0"/>
              <w:rPr>
                <w:sz w:val="20"/>
                <w:szCs w:val="20"/>
                <w:color w:val="auto"/>
              </w:rPr>
            </w:pPr>
            <w:r>
              <w:rPr>
                <w:rFonts w:ascii="Arial" w:cs="Arial" w:eastAsia="Arial" w:hAnsi="Arial"/>
                <w:sz w:val="14"/>
                <w:szCs w:val="14"/>
                <w:color w:val="auto"/>
              </w:rPr>
              <w:t>5</w:t>
            </w:r>
          </w:p>
        </w:tc>
      </w:tr>
      <w:tr>
        <w:trPr>
          <w:trHeight w:val="23"/>
        </w:trPr>
        <w:tc>
          <w:tcPr>
            <w:tcW w:w="8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16"/>
        </w:trPr>
        <w:tc>
          <w:tcPr>
            <w:tcW w:w="86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Prepaid expenses and other current assets ($19 and $34 related to VIEs, respectively)</w:t>
            </w:r>
          </w:p>
        </w:tc>
        <w:tc>
          <w:tcPr>
            <w:tcW w:w="22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30</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61</w:t>
            </w:r>
          </w:p>
        </w:tc>
      </w:tr>
      <w:tr>
        <w:trPr>
          <w:trHeight w:val="184"/>
        </w:trPr>
        <w:tc>
          <w:tcPr>
            <w:tcW w:w="8600" w:type="dxa"/>
            <w:vAlign w:val="bottom"/>
          </w:tcPr>
          <w:p>
            <w:pPr>
              <w:ind w:left="300"/>
              <w:spacing w:after="0"/>
              <w:rPr>
                <w:sz w:val="20"/>
                <w:szCs w:val="20"/>
                <w:color w:val="auto"/>
              </w:rPr>
            </w:pPr>
            <w:r>
              <w:rPr>
                <w:rFonts w:ascii="Arial" w:cs="Arial" w:eastAsia="Arial" w:hAnsi="Arial"/>
                <w:sz w:val="14"/>
                <w:szCs w:val="14"/>
                <w:color w:val="auto"/>
              </w:rPr>
              <w:t>Total current assets</w:t>
            </w:r>
          </w:p>
        </w:tc>
        <w:tc>
          <w:tcPr>
            <w:tcW w:w="22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jc w:val="right"/>
              <w:ind w:right="51"/>
              <w:spacing w:after="0"/>
              <w:rPr>
                <w:sz w:val="20"/>
                <w:szCs w:val="20"/>
                <w:color w:val="auto"/>
              </w:rPr>
            </w:pPr>
            <w:r>
              <w:rPr>
                <w:rFonts w:ascii="Arial" w:cs="Arial" w:eastAsia="Arial" w:hAnsi="Arial"/>
                <w:sz w:val="14"/>
                <w:szCs w:val="14"/>
                <w:color w:val="auto"/>
              </w:rPr>
              <w:t>1,666</w:t>
            </w:r>
          </w:p>
        </w:tc>
        <w:tc>
          <w:tcPr>
            <w:tcW w:w="10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jc w:val="right"/>
              <w:ind w:right="30"/>
              <w:spacing w:after="0"/>
              <w:rPr>
                <w:sz w:val="20"/>
                <w:szCs w:val="20"/>
                <w:color w:val="auto"/>
              </w:rPr>
            </w:pPr>
            <w:r>
              <w:rPr>
                <w:rFonts w:ascii="Arial" w:cs="Arial" w:eastAsia="Arial" w:hAnsi="Arial"/>
                <w:sz w:val="14"/>
                <w:szCs w:val="14"/>
                <w:color w:val="auto"/>
              </w:rPr>
              <w:t>949</w:t>
            </w:r>
          </w:p>
        </w:tc>
      </w:tr>
      <w:tr>
        <w:trPr>
          <w:trHeight w:val="23"/>
        </w:trPr>
        <w:tc>
          <w:tcPr>
            <w:tcW w:w="86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86"/>
        </w:trPr>
        <w:tc>
          <w:tcPr>
            <w:tcW w:w="8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Property, Plant and Equipment:</w:t>
            </w:r>
          </w:p>
        </w:tc>
        <w:tc>
          <w:tcPr>
            <w:tcW w:w="22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spacing w:after="0"/>
              <w:rPr>
                <w:sz w:val="16"/>
                <w:szCs w:val="16"/>
                <w:color w:val="auto"/>
              </w:rPr>
            </w:pPr>
          </w:p>
        </w:tc>
      </w:tr>
      <w:tr>
        <w:trPr>
          <w:trHeight w:val="193"/>
        </w:trPr>
        <w:tc>
          <w:tcPr>
            <w:tcW w:w="8600" w:type="dxa"/>
            <w:vAlign w:val="bottom"/>
          </w:tcPr>
          <w:p>
            <w:pPr>
              <w:ind w:left="140"/>
              <w:spacing w:after="0"/>
              <w:rPr>
                <w:sz w:val="20"/>
                <w:szCs w:val="20"/>
                <w:color w:val="auto"/>
              </w:rPr>
            </w:pPr>
            <w:r>
              <w:rPr>
                <w:rFonts w:ascii="Arial" w:cs="Arial" w:eastAsia="Arial" w:hAnsi="Arial"/>
                <w:sz w:val="14"/>
                <w:szCs w:val="14"/>
                <w:color w:val="auto"/>
              </w:rPr>
              <w:t>Property, plant and equipment</w:t>
            </w:r>
          </w:p>
        </w:tc>
        <w:tc>
          <w:tcPr>
            <w:tcW w:w="220" w:type="dxa"/>
            <w:vAlign w:val="bottom"/>
          </w:tcPr>
          <w:p>
            <w:pPr>
              <w:spacing w:after="0"/>
              <w:rPr>
                <w:sz w:val="16"/>
                <w:szCs w:val="16"/>
                <w:color w:val="auto"/>
              </w:rPr>
            </w:pPr>
          </w:p>
        </w:tc>
        <w:tc>
          <w:tcPr>
            <w:tcW w:w="1180" w:type="dxa"/>
            <w:vAlign w:val="bottom"/>
          </w:tcPr>
          <w:p>
            <w:pPr>
              <w:jc w:val="right"/>
              <w:ind w:right="51"/>
              <w:spacing w:after="0"/>
              <w:rPr>
                <w:sz w:val="20"/>
                <w:szCs w:val="20"/>
                <w:color w:val="auto"/>
              </w:rPr>
            </w:pPr>
            <w:r>
              <w:rPr>
                <w:rFonts w:ascii="Arial" w:cs="Arial" w:eastAsia="Arial" w:hAnsi="Arial"/>
                <w:sz w:val="14"/>
                <w:szCs w:val="14"/>
                <w:color w:val="auto"/>
              </w:rPr>
              <w:t>12,621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jc w:val="right"/>
              <w:ind w:right="30"/>
              <w:spacing w:after="0"/>
              <w:rPr>
                <w:sz w:val="20"/>
                <w:szCs w:val="20"/>
                <w:color w:val="auto"/>
              </w:rPr>
            </w:pPr>
            <w:r>
              <w:rPr>
                <w:rFonts w:ascii="Arial" w:cs="Arial" w:eastAsia="Arial" w:hAnsi="Arial"/>
                <w:sz w:val="14"/>
                <w:szCs w:val="14"/>
                <w:color w:val="auto"/>
              </w:rPr>
              <w:t>12,148</w:t>
            </w:r>
          </w:p>
        </w:tc>
      </w:tr>
      <w:tr>
        <w:trPr>
          <w:trHeight w:val="23"/>
        </w:trPr>
        <w:tc>
          <w:tcPr>
            <w:tcW w:w="8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16"/>
        </w:trPr>
        <w:tc>
          <w:tcPr>
            <w:tcW w:w="86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Less: accumulated depreciation and amortization</w:t>
            </w:r>
          </w:p>
        </w:tc>
        <w:tc>
          <w:tcPr>
            <w:tcW w:w="22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3,795</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3,746</w:t>
            </w:r>
          </w:p>
        </w:tc>
      </w:tr>
      <w:tr>
        <w:trPr>
          <w:trHeight w:val="184"/>
        </w:trPr>
        <w:tc>
          <w:tcPr>
            <w:tcW w:w="8600" w:type="dxa"/>
            <w:vAlign w:val="bottom"/>
          </w:tcPr>
          <w:p>
            <w:pPr>
              <w:ind w:left="300"/>
              <w:spacing w:after="0"/>
              <w:rPr>
                <w:sz w:val="20"/>
                <w:szCs w:val="20"/>
                <w:color w:val="auto"/>
              </w:rPr>
            </w:pPr>
            <w:r>
              <w:rPr>
                <w:rFonts w:ascii="Arial" w:cs="Arial" w:eastAsia="Arial" w:hAnsi="Arial"/>
                <w:sz w:val="14"/>
                <w:szCs w:val="14"/>
                <w:color w:val="auto"/>
              </w:rPr>
              <w:t>Property, plant and equipment, net</w:t>
            </w:r>
          </w:p>
        </w:tc>
        <w:tc>
          <w:tcPr>
            <w:tcW w:w="22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jc w:val="right"/>
              <w:ind w:right="51"/>
              <w:spacing w:after="0"/>
              <w:rPr>
                <w:sz w:val="20"/>
                <w:szCs w:val="20"/>
                <w:color w:val="auto"/>
              </w:rPr>
            </w:pPr>
            <w:r>
              <w:rPr>
                <w:rFonts w:ascii="Arial" w:cs="Arial" w:eastAsia="Arial" w:hAnsi="Arial"/>
                <w:sz w:val="14"/>
                <w:szCs w:val="14"/>
                <w:color w:val="auto"/>
              </w:rPr>
              <w:t>8,826</w:t>
            </w:r>
          </w:p>
        </w:tc>
        <w:tc>
          <w:tcPr>
            <w:tcW w:w="10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jc w:val="right"/>
              <w:ind w:right="30"/>
              <w:spacing w:after="0"/>
              <w:rPr>
                <w:sz w:val="20"/>
                <w:szCs w:val="20"/>
                <w:color w:val="auto"/>
              </w:rPr>
            </w:pPr>
            <w:r>
              <w:rPr>
                <w:rFonts w:ascii="Arial" w:cs="Arial" w:eastAsia="Arial" w:hAnsi="Arial"/>
                <w:sz w:val="14"/>
                <w:szCs w:val="14"/>
                <w:color w:val="auto"/>
              </w:rPr>
              <w:t>8,402</w:t>
            </w:r>
          </w:p>
        </w:tc>
      </w:tr>
      <w:tr>
        <w:trPr>
          <w:trHeight w:val="23"/>
        </w:trPr>
        <w:tc>
          <w:tcPr>
            <w:tcW w:w="86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86"/>
        </w:trPr>
        <w:tc>
          <w:tcPr>
            <w:tcW w:w="8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Other Assets:</w:t>
            </w:r>
          </w:p>
        </w:tc>
        <w:tc>
          <w:tcPr>
            <w:tcW w:w="22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spacing w:after="0"/>
              <w:rPr>
                <w:sz w:val="16"/>
                <w:szCs w:val="16"/>
                <w:color w:val="auto"/>
              </w:rPr>
            </w:pPr>
          </w:p>
        </w:tc>
      </w:tr>
      <w:tr>
        <w:trPr>
          <w:trHeight w:val="193"/>
        </w:trPr>
        <w:tc>
          <w:tcPr>
            <w:tcW w:w="8600" w:type="dxa"/>
            <w:vAlign w:val="bottom"/>
          </w:tcPr>
          <w:p>
            <w:pPr>
              <w:ind w:left="140"/>
              <w:spacing w:after="0"/>
              <w:rPr>
                <w:sz w:val="20"/>
                <w:szCs w:val="20"/>
                <w:color w:val="auto"/>
              </w:rPr>
            </w:pPr>
            <w:r>
              <w:rPr>
                <w:rFonts w:ascii="Arial" w:cs="Arial" w:eastAsia="Arial" w:hAnsi="Arial"/>
                <w:sz w:val="14"/>
                <w:szCs w:val="14"/>
                <w:color w:val="auto"/>
              </w:rPr>
              <w:t>Regulatory assets ($821 and $1,059 related to VIEs, respectively)</w:t>
            </w:r>
          </w:p>
        </w:tc>
        <w:tc>
          <w:tcPr>
            <w:tcW w:w="220" w:type="dxa"/>
            <w:vAlign w:val="bottom"/>
          </w:tcPr>
          <w:p>
            <w:pPr>
              <w:spacing w:after="0"/>
              <w:rPr>
                <w:sz w:val="16"/>
                <w:szCs w:val="16"/>
                <w:color w:val="auto"/>
              </w:rPr>
            </w:pPr>
          </w:p>
        </w:tc>
        <w:tc>
          <w:tcPr>
            <w:tcW w:w="1180" w:type="dxa"/>
            <w:vAlign w:val="bottom"/>
          </w:tcPr>
          <w:p>
            <w:pPr>
              <w:jc w:val="right"/>
              <w:ind w:right="51"/>
              <w:spacing w:after="0"/>
              <w:rPr>
                <w:sz w:val="20"/>
                <w:szCs w:val="20"/>
                <w:color w:val="auto"/>
              </w:rPr>
            </w:pPr>
            <w:r>
              <w:rPr>
                <w:rFonts w:ascii="Arial" w:cs="Arial" w:eastAsia="Arial" w:hAnsi="Arial"/>
                <w:sz w:val="14"/>
                <w:szCs w:val="14"/>
                <w:color w:val="auto"/>
              </w:rPr>
              <w:t>951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jc w:val="right"/>
              <w:ind w:right="30"/>
              <w:spacing w:after="0"/>
              <w:rPr>
                <w:sz w:val="20"/>
                <w:szCs w:val="20"/>
                <w:color w:val="auto"/>
              </w:rPr>
            </w:pPr>
            <w:r>
              <w:rPr>
                <w:rFonts w:ascii="Arial" w:cs="Arial" w:eastAsia="Arial" w:hAnsi="Arial"/>
                <w:sz w:val="14"/>
                <w:szCs w:val="14"/>
                <w:color w:val="auto"/>
              </w:rPr>
              <w:t>1,124</w:t>
            </w:r>
          </w:p>
        </w:tc>
      </w:tr>
      <w:tr>
        <w:trPr>
          <w:trHeight w:val="23"/>
        </w:trPr>
        <w:tc>
          <w:tcPr>
            <w:tcW w:w="8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16"/>
        </w:trPr>
        <w:tc>
          <w:tcPr>
            <w:tcW w:w="86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Other</w:t>
            </w:r>
          </w:p>
        </w:tc>
        <w:tc>
          <w:tcPr>
            <w:tcW w:w="22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20</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32</w:t>
            </w:r>
          </w:p>
        </w:tc>
      </w:tr>
      <w:tr>
        <w:trPr>
          <w:trHeight w:val="184"/>
        </w:trPr>
        <w:tc>
          <w:tcPr>
            <w:tcW w:w="8600" w:type="dxa"/>
            <w:vAlign w:val="bottom"/>
          </w:tcPr>
          <w:p>
            <w:pPr>
              <w:ind w:left="300"/>
              <w:spacing w:after="0"/>
              <w:rPr>
                <w:sz w:val="20"/>
                <w:szCs w:val="20"/>
                <w:color w:val="auto"/>
              </w:rPr>
            </w:pPr>
            <w:r>
              <w:rPr>
                <w:rFonts w:ascii="Arial" w:cs="Arial" w:eastAsia="Arial" w:hAnsi="Arial"/>
                <w:sz w:val="14"/>
                <w:szCs w:val="14"/>
                <w:color w:val="auto"/>
              </w:rPr>
              <w:t>Total other assets</w:t>
            </w:r>
          </w:p>
        </w:tc>
        <w:tc>
          <w:tcPr>
            <w:tcW w:w="22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jc w:val="right"/>
              <w:ind w:right="51"/>
              <w:spacing w:after="0"/>
              <w:rPr>
                <w:sz w:val="20"/>
                <w:szCs w:val="20"/>
                <w:color w:val="auto"/>
              </w:rPr>
            </w:pPr>
            <w:r>
              <w:rPr>
                <w:rFonts w:ascii="Arial" w:cs="Arial" w:eastAsia="Arial" w:hAnsi="Arial"/>
                <w:sz w:val="14"/>
                <w:szCs w:val="14"/>
                <w:color w:val="auto"/>
              </w:rPr>
              <w:t>971</w:t>
            </w:r>
          </w:p>
        </w:tc>
        <w:tc>
          <w:tcPr>
            <w:tcW w:w="10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jc w:val="right"/>
              <w:ind w:right="30"/>
              <w:spacing w:after="0"/>
              <w:rPr>
                <w:sz w:val="20"/>
                <w:szCs w:val="20"/>
                <w:color w:val="auto"/>
              </w:rPr>
            </w:pPr>
            <w:r>
              <w:rPr>
                <w:rFonts w:ascii="Arial" w:cs="Arial" w:eastAsia="Arial" w:hAnsi="Arial"/>
                <w:sz w:val="14"/>
                <w:szCs w:val="14"/>
                <w:color w:val="auto"/>
              </w:rPr>
              <w:t>1,156</w:t>
            </w:r>
          </w:p>
        </w:tc>
      </w:tr>
      <w:tr>
        <w:trPr>
          <w:trHeight w:val="23"/>
        </w:trPr>
        <w:tc>
          <w:tcPr>
            <w:tcW w:w="86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00"/>
        </w:trPr>
        <w:tc>
          <w:tcPr>
            <w:tcW w:w="860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4"/>
                <w:szCs w:val="14"/>
                <w:b w:val="1"/>
                <w:bCs w:val="1"/>
                <w:color w:val="auto"/>
              </w:rPr>
              <w:t>Total Assets</w:t>
            </w: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11,463</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10,507</w:t>
            </w:r>
          </w:p>
        </w:tc>
      </w:tr>
      <w:tr>
        <w:trPr>
          <w:trHeight w:val="20"/>
        </w:trPr>
        <w:tc>
          <w:tcPr>
            <w:tcW w:w="86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6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Combined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11460"/>
          </w:cols>
          <w:pgMar w:left="220" w:top="129" w:right="219" w:bottom="1440" w:gutter="0" w:footer="0" w:header="0"/>
        </w:sectPr>
      </w:pPr>
    </w:p>
    <w:bookmarkStart w:id="19" w:name="page20"/>
    <w:bookmarkEnd w:id="19"/>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2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CENTERPOINT ENERGY HOUSTON ELECTRIC, LLC AND SUBSIDIARIES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(AN INDIRECT, WHOLLY-OWNED SUBSIDIARY OF CENTERPOINT ENERGY,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CONDENSED CONSOLIDATED BALANCE SHEETS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LIABILITIES AND MEMBER</w:t>
      </w:r>
      <w:r>
        <w:rPr>
          <w:rFonts w:ascii="Arial" w:cs="Arial" w:eastAsia="Arial" w:hAnsi="Arial"/>
          <w:sz w:val="14"/>
          <w:szCs w:val="14"/>
          <w:color w:val="auto"/>
        </w:rPr>
        <w:t>’</w:t>
      </w:r>
      <w:r>
        <w:rPr>
          <w:rFonts w:ascii="Arial" w:cs="Arial" w:eastAsia="Arial" w:hAnsi="Arial"/>
          <w:sz w:val="14"/>
          <w:szCs w:val="14"/>
          <w:b w:val="1"/>
          <w:bCs w:val="1"/>
          <w:color w:val="auto"/>
        </w:rPr>
        <w:t>S EQUITY</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8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80" w:type="dxa"/>
            <w:vAlign w:val="bottom"/>
            <w:gridSpan w:val="2"/>
          </w:tcPr>
          <w:p>
            <w:pPr>
              <w:ind w:left="120"/>
              <w:spacing w:after="0"/>
              <w:rPr>
                <w:sz w:val="20"/>
                <w:szCs w:val="20"/>
                <w:color w:val="auto"/>
              </w:rPr>
            </w:pPr>
            <w:r>
              <w:rPr>
                <w:rFonts w:ascii="Arial" w:cs="Arial" w:eastAsia="Arial" w:hAnsi="Arial"/>
                <w:sz w:val="11"/>
                <w:szCs w:val="11"/>
                <w:b w:val="1"/>
                <w:bCs w:val="1"/>
                <w:color w:val="auto"/>
              </w:rPr>
              <w:t>September 30,</w:t>
            </w:r>
          </w:p>
        </w:tc>
        <w:tc>
          <w:tcPr>
            <w:tcW w:w="280" w:type="dxa"/>
            <w:vAlign w:val="bottom"/>
          </w:tcPr>
          <w:p>
            <w:pPr>
              <w:spacing w:after="0"/>
              <w:rPr>
                <w:sz w:val="10"/>
                <w:szCs w:val="10"/>
                <w:color w:val="auto"/>
              </w:rPr>
            </w:pPr>
          </w:p>
        </w:tc>
        <w:tc>
          <w:tcPr>
            <w:tcW w:w="1080" w:type="dxa"/>
            <w:vAlign w:val="bottom"/>
          </w:tcPr>
          <w:p>
            <w:pPr>
              <w:jc w:val="right"/>
              <w:ind w:right="290"/>
              <w:spacing w:after="0"/>
              <w:rPr>
                <w:sz w:val="20"/>
                <w:szCs w:val="20"/>
                <w:color w:val="auto"/>
              </w:rPr>
            </w:pPr>
            <w:r>
              <w:rPr>
                <w:rFonts w:ascii="Arial" w:cs="Arial" w:eastAsia="Arial" w:hAnsi="Arial"/>
                <w:sz w:val="11"/>
                <w:szCs w:val="11"/>
                <w:b w:val="1"/>
                <w:bCs w:val="1"/>
                <w:color w:val="auto"/>
                <w:w w:val="97"/>
              </w:rPr>
              <w:t>December 31,</w:t>
            </w:r>
          </w:p>
        </w:tc>
      </w:tr>
      <w:tr>
        <w:trPr>
          <w:trHeight w:val="153"/>
        </w:trPr>
        <w:tc>
          <w:tcPr>
            <w:tcW w:w="86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11"/>
              <w:spacing w:after="0"/>
              <w:rPr>
                <w:sz w:val="20"/>
                <w:szCs w:val="20"/>
                <w:color w:val="auto"/>
              </w:rPr>
            </w:pPr>
            <w:r>
              <w:rPr>
                <w:rFonts w:ascii="Arial" w:cs="Arial" w:eastAsia="Arial" w:hAnsi="Arial"/>
                <w:sz w:val="11"/>
                <w:szCs w:val="11"/>
                <w:b w:val="1"/>
                <w:bCs w:val="1"/>
                <w:color w:val="auto"/>
              </w:rPr>
              <w:t>2019</w:t>
            </w:r>
          </w:p>
        </w:tc>
        <w:tc>
          <w:tcPr>
            <w:tcW w:w="10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490"/>
              <w:spacing w:after="0"/>
              <w:rPr>
                <w:sz w:val="20"/>
                <w:szCs w:val="20"/>
                <w:color w:val="auto"/>
              </w:rPr>
            </w:pPr>
            <w:r>
              <w:rPr>
                <w:rFonts w:ascii="Arial" w:cs="Arial" w:eastAsia="Arial" w:hAnsi="Arial"/>
                <w:sz w:val="11"/>
                <w:szCs w:val="11"/>
                <w:b w:val="1"/>
                <w:bCs w:val="1"/>
                <w:color w:val="auto"/>
              </w:rPr>
              <w:t>2018</w:t>
            </w:r>
          </w:p>
        </w:tc>
      </w:tr>
      <w:tr>
        <w:trPr>
          <w:trHeight w:val="191"/>
        </w:trPr>
        <w:tc>
          <w:tcPr>
            <w:tcW w:w="8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60" w:type="dxa"/>
            <w:vAlign w:val="bottom"/>
            <w:gridSpan w:val="3"/>
          </w:tcPr>
          <w:p>
            <w:pPr>
              <w:jc w:val="right"/>
              <w:spacing w:after="0"/>
              <w:rPr>
                <w:sz w:val="20"/>
                <w:szCs w:val="20"/>
                <w:color w:val="auto"/>
              </w:rPr>
            </w:pPr>
            <w:r>
              <w:rPr>
                <w:rFonts w:ascii="Arial" w:cs="Arial" w:eastAsia="Arial" w:hAnsi="Arial"/>
                <w:sz w:val="11"/>
                <w:szCs w:val="11"/>
                <w:b w:val="1"/>
                <w:bCs w:val="1"/>
                <w:color w:val="auto"/>
              </w:rPr>
              <w:t>(in millions)</w:t>
            </w:r>
          </w:p>
        </w:tc>
        <w:tc>
          <w:tcPr>
            <w:tcW w:w="1080" w:type="dxa"/>
            <w:vAlign w:val="bottom"/>
          </w:tcPr>
          <w:p>
            <w:pPr>
              <w:spacing w:after="0"/>
              <w:rPr>
                <w:sz w:val="16"/>
                <w:szCs w:val="16"/>
                <w:color w:val="auto"/>
              </w:rPr>
            </w:pPr>
          </w:p>
        </w:tc>
      </w:tr>
      <w:tr>
        <w:trPr>
          <w:trHeight w:val="202"/>
        </w:trPr>
        <w:tc>
          <w:tcPr>
            <w:tcW w:w="8600" w:type="dxa"/>
            <w:vAlign w:val="bottom"/>
          </w:tcPr>
          <w:p>
            <w:pPr>
              <w:ind w:left="20"/>
              <w:spacing w:after="0"/>
              <w:rPr>
                <w:sz w:val="20"/>
                <w:szCs w:val="20"/>
                <w:color w:val="auto"/>
              </w:rPr>
            </w:pPr>
            <w:r>
              <w:rPr>
                <w:rFonts w:ascii="Arial" w:cs="Arial" w:eastAsia="Arial" w:hAnsi="Arial"/>
                <w:sz w:val="14"/>
                <w:szCs w:val="14"/>
                <w:b w:val="1"/>
                <w:bCs w:val="1"/>
                <w:color w:val="auto"/>
              </w:rPr>
              <w:t>Current Liabilities:</w:t>
            </w: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3"/>
        </w:trPr>
        <w:tc>
          <w:tcPr>
            <w:tcW w:w="8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96"/>
        </w:trPr>
        <w:tc>
          <w:tcPr>
            <w:tcW w:w="86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Current portion of VIE Securitization Bonds long-term debt</w:t>
            </w:r>
          </w:p>
        </w:tc>
        <w:tc>
          <w:tcPr>
            <w:tcW w:w="2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229</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458</w:t>
            </w:r>
          </w:p>
        </w:tc>
      </w:tr>
      <w:tr>
        <w:trPr>
          <w:trHeight w:val="193"/>
        </w:trPr>
        <w:tc>
          <w:tcPr>
            <w:tcW w:w="8600" w:type="dxa"/>
            <w:vAlign w:val="bottom"/>
          </w:tcPr>
          <w:p>
            <w:pPr>
              <w:ind w:left="140"/>
              <w:spacing w:after="0"/>
              <w:rPr>
                <w:sz w:val="20"/>
                <w:szCs w:val="20"/>
                <w:color w:val="auto"/>
              </w:rPr>
            </w:pPr>
            <w:r>
              <w:rPr>
                <w:rFonts w:ascii="Arial" w:cs="Arial" w:eastAsia="Arial" w:hAnsi="Arial"/>
                <w:sz w:val="14"/>
                <w:szCs w:val="14"/>
                <w:color w:val="auto"/>
              </w:rPr>
              <w:t>Accounts payable</w:t>
            </w:r>
          </w:p>
        </w:tc>
        <w:tc>
          <w:tcPr>
            <w:tcW w:w="220" w:type="dxa"/>
            <w:vAlign w:val="bottom"/>
          </w:tcPr>
          <w:p>
            <w:pPr>
              <w:spacing w:after="0"/>
              <w:rPr>
                <w:sz w:val="16"/>
                <w:szCs w:val="16"/>
                <w:color w:val="auto"/>
              </w:rPr>
            </w:pPr>
          </w:p>
        </w:tc>
        <w:tc>
          <w:tcPr>
            <w:tcW w:w="1180" w:type="dxa"/>
            <w:vAlign w:val="bottom"/>
          </w:tcPr>
          <w:p>
            <w:pPr>
              <w:jc w:val="right"/>
              <w:ind w:right="51"/>
              <w:spacing w:after="0"/>
              <w:rPr>
                <w:sz w:val="20"/>
                <w:szCs w:val="20"/>
                <w:color w:val="auto"/>
              </w:rPr>
            </w:pPr>
            <w:r>
              <w:rPr>
                <w:rFonts w:ascii="Arial" w:cs="Arial" w:eastAsia="Arial" w:hAnsi="Arial"/>
                <w:sz w:val="14"/>
                <w:szCs w:val="14"/>
                <w:color w:val="auto"/>
              </w:rPr>
              <w:t>232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jc w:val="right"/>
              <w:ind w:right="30"/>
              <w:spacing w:after="0"/>
              <w:rPr>
                <w:sz w:val="20"/>
                <w:szCs w:val="20"/>
                <w:color w:val="auto"/>
              </w:rPr>
            </w:pPr>
            <w:r>
              <w:rPr>
                <w:rFonts w:ascii="Arial" w:cs="Arial" w:eastAsia="Arial" w:hAnsi="Arial"/>
                <w:sz w:val="14"/>
                <w:szCs w:val="14"/>
                <w:color w:val="auto"/>
              </w:rPr>
              <w:t>262</w:t>
            </w:r>
          </w:p>
        </w:tc>
      </w:tr>
      <w:tr>
        <w:trPr>
          <w:trHeight w:val="23"/>
        </w:trPr>
        <w:tc>
          <w:tcPr>
            <w:tcW w:w="8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96"/>
        </w:trPr>
        <w:tc>
          <w:tcPr>
            <w:tcW w:w="86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Accounts and notes payable–affiliated companies</w:t>
            </w:r>
          </w:p>
        </w:tc>
        <w:tc>
          <w:tcPr>
            <w:tcW w:w="22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65</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78</w:t>
            </w:r>
          </w:p>
        </w:tc>
      </w:tr>
      <w:tr>
        <w:trPr>
          <w:trHeight w:val="193"/>
        </w:trPr>
        <w:tc>
          <w:tcPr>
            <w:tcW w:w="8600" w:type="dxa"/>
            <w:vAlign w:val="bottom"/>
          </w:tcPr>
          <w:p>
            <w:pPr>
              <w:ind w:left="140"/>
              <w:spacing w:after="0"/>
              <w:rPr>
                <w:sz w:val="20"/>
                <w:szCs w:val="20"/>
                <w:color w:val="auto"/>
              </w:rPr>
            </w:pPr>
            <w:r>
              <w:rPr>
                <w:rFonts w:ascii="Arial" w:cs="Arial" w:eastAsia="Arial" w:hAnsi="Arial"/>
                <w:sz w:val="14"/>
                <w:szCs w:val="14"/>
                <w:color w:val="auto"/>
              </w:rPr>
              <w:t>Taxes accrued</w:t>
            </w:r>
          </w:p>
        </w:tc>
        <w:tc>
          <w:tcPr>
            <w:tcW w:w="220" w:type="dxa"/>
            <w:vAlign w:val="bottom"/>
          </w:tcPr>
          <w:p>
            <w:pPr>
              <w:spacing w:after="0"/>
              <w:rPr>
                <w:sz w:val="16"/>
                <w:szCs w:val="16"/>
                <w:color w:val="auto"/>
              </w:rPr>
            </w:pPr>
          </w:p>
        </w:tc>
        <w:tc>
          <w:tcPr>
            <w:tcW w:w="1180" w:type="dxa"/>
            <w:vAlign w:val="bottom"/>
          </w:tcPr>
          <w:p>
            <w:pPr>
              <w:jc w:val="right"/>
              <w:ind w:right="51"/>
              <w:spacing w:after="0"/>
              <w:rPr>
                <w:sz w:val="20"/>
                <w:szCs w:val="20"/>
                <w:color w:val="auto"/>
              </w:rPr>
            </w:pPr>
            <w:r>
              <w:rPr>
                <w:rFonts w:ascii="Arial" w:cs="Arial" w:eastAsia="Arial" w:hAnsi="Arial"/>
                <w:sz w:val="14"/>
                <w:szCs w:val="14"/>
                <w:color w:val="auto"/>
              </w:rPr>
              <w:t>107</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jc w:val="right"/>
              <w:ind w:right="30"/>
              <w:spacing w:after="0"/>
              <w:rPr>
                <w:sz w:val="20"/>
                <w:szCs w:val="20"/>
                <w:color w:val="auto"/>
              </w:rPr>
            </w:pPr>
            <w:r>
              <w:rPr>
                <w:rFonts w:ascii="Arial" w:cs="Arial" w:eastAsia="Arial" w:hAnsi="Arial"/>
                <w:sz w:val="14"/>
                <w:szCs w:val="14"/>
                <w:color w:val="auto"/>
              </w:rPr>
              <w:t>115</w:t>
            </w:r>
          </w:p>
        </w:tc>
      </w:tr>
      <w:tr>
        <w:trPr>
          <w:trHeight w:val="23"/>
        </w:trPr>
        <w:tc>
          <w:tcPr>
            <w:tcW w:w="8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96"/>
        </w:trPr>
        <w:tc>
          <w:tcPr>
            <w:tcW w:w="86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Interest accrued</w:t>
            </w:r>
          </w:p>
        </w:tc>
        <w:tc>
          <w:tcPr>
            <w:tcW w:w="22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44</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64</w:t>
            </w:r>
          </w:p>
        </w:tc>
      </w:tr>
      <w:tr>
        <w:trPr>
          <w:trHeight w:val="193"/>
        </w:trPr>
        <w:tc>
          <w:tcPr>
            <w:tcW w:w="8600" w:type="dxa"/>
            <w:vAlign w:val="bottom"/>
          </w:tcPr>
          <w:p>
            <w:pPr>
              <w:ind w:left="140"/>
              <w:spacing w:after="0"/>
              <w:rPr>
                <w:sz w:val="20"/>
                <w:szCs w:val="20"/>
                <w:color w:val="auto"/>
              </w:rPr>
            </w:pPr>
            <w:r>
              <w:rPr>
                <w:rFonts w:ascii="Arial" w:cs="Arial" w:eastAsia="Arial" w:hAnsi="Arial"/>
                <w:sz w:val="14"/>
                <w:szCs w:val="14"/>
                <w:color w:val="auto"/>
              </w:rPr>
              <w:t>Non-trading derivative liabilities</w:t>
            </w:r>
          </w:p>
        </w:tc>
        <w:tc>
          <w:tcPr>
            <w:tcW w:w="220" w:type="dxa"/>
            <w:vAlign w:val="bottom"/>
          </w:tcPr>
          <w:p>
            <w:pPr>
              <w:spacing w:after="0"/>
              <w:rPr>
                <w:sz w:val="16"/>
                <w:szCs w:val="16"/>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1080" w:type="dxa"/>
            <w:vAlign w:val="bottom"/>
          </w:tcPr>
          <w:p>
            <w:pPr>
              <w:jc w:val="right"/>
              <w:ind w:right="30"/>
              <w:spacing w:after="0"/>
              <w:rPr>
                <w:sz w:val="20"/>
                <w:szCs w:val="20"/>
                <w:color w:val="auto"/>
              </w:rPr>
            </w:pPr>
            <w:r>
              <w:rPr>
                <w:rFonts w:ascii="Arial" w:cs="Arial" w:eastAsia="Arial" w:hAnsi="Arial"/>
                <w:sz w:val="14"/>
                <w:szCs w:val="14"/>
                <w:color w:val="auto"/>
              </w:rPr>
              <w:t>24</w:t>
            </w:r>
          </w:p>
        </w:tc>
      </w:tr>
      <w:tr>
        <w:trPr>
          <w:trHeight w:val="23"/>
        </w:trPr>
        <w:tc>
          <w:tcPr>
            <w:tcW w:w="8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16"/>
        </w:trPr>
        <w:tc>
          <w:tcPr>
            <w:tcW w:w="86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Other</w:t>
            </w:r>
          </w:p>
        </w:tc>
        <w:tc>
          <w:tcPr>
            <w:tcW w:w="22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69</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89</w:t>
            </w:r>
          </w:p>
        </w:tc>
      </w:tr>
      <w:tr>
        <w:trPr>
          <w:trHeight w:val="184"/>
        </w:trPr>
        <w:tc>
          <w:tcPr>
            <w:tcW w:w="8600" w:type="dxa"/>
            <w:vAlign w:val="bottom"/>
          </w:tcPr>
          <w:p>
            <w:pPr>
              <w:ind w:left="300"/>
              <w:spacing w:after="0"/>
              <w:rPr>
                <w:sz w:val="20"/>
                <w:szCs w:val="20"/>
                <w:color w:val="auto"/>
              </w:rPr>
            </w:pPr>
            <w:r>
              <w:rPr>
                <w:rFonts w:ascii="Arial" w:cs="Arial" w:eastAsia="Arial" w:hAnsi="Arial"/>
                <w:sz w:val="14"/>
                <w:szCs w:val="14"/>
                <w:color w:val="auto"/>
              </w:rPr>
              <w:t>Total current liabilities</w:t>
            </w:r>
          </w:p>
        </w:tc>
        <w:tc>
          <w:tcPr>
            <w:tcW w:w="22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jc w:val="right"/>
              <w:ind w:right="51"/>
              <w:spacing w:after="0"/>
              <w:rPr>
                <w:sz w:val="20"/>
                <w:szCs w:val="20"/>
                <w:color w:val="auto"/>
              </w:rPr>
            </w:pPr>
            <w:r>
              <w:rPr>
                <w:rFonts w:ascii="Arial" w:cs="Arial" w:eastAsia="Arial" w:hAnsi="Arial"/>
                <w:sz w:val="14"/>
                <w:szCs w:val="14"/>
                <w:color w:val="auto"/>
              </w:rPr>
              <w:t>746</w:t>
            </w:r>
          </w:p>
        </w:tc>
        <w:tc>
          <w:tcPr>
            <w:tcW w:w="10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jc w:val="right"/>
              <w:ind w:right="30"/>
              <w:spacing w:after="0"/>
              <w:rPr>
                <w:sz w:val="20"/>
                <w:szCs w:val="20"/>
                <w:color w:val="auto"/>
              </w:rPr>
            </w:pPr>
            <w:r>
              <w:rPr>
                <w:rFonts w:ascii="Arial" w:cs="Arial" w:eastAsia="Arial" w:hAnsi="Arial"/>
                <w:sz w:val="14"/>
                <w:szCs w:val="14"/>
                <w:color w:val="auto"/>
              </w:rPr>
              <w:t>1,090</w:t>
            </w:r>
          </w:p>
        </w:tc>
      </w:tr>
      <w:tr>
        <w:trPr>
          <w:trHeight w:val="23"/>
        </w:trPr>
        <w:tc>
          <w:tcPr>
            <w:tcW w:w="86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86"/>
        </w:trPr>
        <w:tc>
          <w:tcPr>
            <w:tcW w:w="8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Other Liabilities:</w:t>
            </w:r>
          </w:p>
        </w:tc>
        <w:tc>
          <w:tcPr>
            <w:tcW w:w="22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spacing w:after="0"/>
              <w:rPr>
                <w:sz w:val="16"/>
                <w:szCs w:val="16"/>
                <w:color w:val="auto"/>
              </w:rPr>
            </w:pPr>
          </w:p>
        </w:tc>
      </w:tr>
      <w:tr>
        <w:trPr>
          <w:trHeight w:val="193"/>
        </w:trPr>
        <w:tc>
          <w:tcPr>
            <w:tcW w:w="8600" w:type="dxa"/>
            <w:vAlign w:val="bottom"/>
          </w:tcPr>
          <w:p>
            <w:pPr>
              <w:ind w:left="140"/>
              <w:spacing w:after="0"/>
              <w:rPr>
                <w:sz w:val="20"/>
                <w:szCs w:val="20"/>
                <w:color w:val="auto"/>
              </w:rPr>
            </w:pPr>
            <w:r>
              <w:rPr>
                <w:rFonts w:ascii="Arial" w:cs="Arial" w:eastAsia="Arial" w:hAnsi="Arial"/>
                <w:sz w:val="14"/>
                <w:szCs w:val="14"/>
                <w:color w:val="auto"/>
              </w:rPr>
              <w:t>Deferred income taxes, net</w:t>
            </w:r>
          </w:p>
        </w:tc>
        <w:tc>
          <w:tcPr>
            <w:tcW w:w="220" w:type="dxa"/>
            <w:vAlign w:val="bottom"/>
          </w:tcPr>
          <w:p>
            <w:pPr>
              <w:spacing w:after="0"/>
              <w:rPr>
                <w:sz w:val="16"/>
                <w:szCs w:val="16"/>
                <w:color w:val="auto"/>
              </w:rPr>
            </w:pPr>
          </w:p>
        </w:tc>
        <w:tc>
          <w:tcPr>
            <w:tcW w:w="1180" w:type="dxa"/>
            <w:vAlign w:val="bottom"/>
          </w:tcPr>
          <w:p>
            <w:pPr>
              <w:jc w:val="right"/>
              <w:ind w:right="51"/>
              <w:spacing w:after="0"/>
              <w:rPr>
                <w:sz w:val="20"/>
                <w:szCs w:val="20"/>
                <w:color w:val="auto"/>
              </w:rPr>
            </w:pPr>
            <w:r>
              <w:rPr>
                <w:rFonts w:ascii="Arial" w:cs="Arial" w:eastAsia="Arial" w:hAnsi="Arial"/>
                <w:sz w:val="14"/>
                <w:szCs w:val="14"/>
                <w:color w:val="auto"/>
              </w:rPr>
              <w:t>1,005</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jc w:val="right"/>
              <w:ind w:right="30"/>
              <w:spacing w:after="0"/>
              <w:rPr>
                <w:sz w:val="20"/>
                <w:szCs w:val="20"/>
                <w:color w:val="auto"/>
              </w:rPr>
            </w:pPr>
            <w:r>
              <w:rPr>
                <w:rFonts w:ascii="Arial" w:cs="Arial" w:eastAsia="Arial" w:hAnsi="Arial"/>
                <w:sz w:val="14"/>
                <w:szCs w:val="14"/>
                <w:color w:val="auto"/>
              </w:rPr>
              <w:t>1,023</w:t>
            </w:r>
          </w:p>
        </w:tc>
      </w:tr>
      <w:tr>
        <w:trPr>
          <w:trHeight w:val="23"/>
        </w:trPr>
        <w:tc>
          <w:tcPr>
            <w:tcW w:w="8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96"/>
        </w:trPr>
        <w:tc>
          <w:tcPr>
            <w:tcW w:w="86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Benefit obligations</w:t>
            </w:r>
          </w:p>
        </w:tc>
        <w:tc>
          <w:tcPr>
            <w:tcW w:w="22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84</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91</w:t>
            </w:r>
          </w:p>
        </w:tc>
      </w:tr>
      <w:tr>
        <w:trPr>
          <w:trHeight w:val="193"/>
        </w:trPr>
        <w:tc>
          <w:tcPr>
            <w:tcW w:w="8600" w:type="dxa"/>
            <w:vAlign w:val="bottom"/>
          </w:tcPr>
          <w:p>
            <w:pPr>
              <w:ind w:left="140"/>
              <w:spacing w:after="0"/>
              <w:rPr>
                <w:sz w:val="20"/>
                <w:szCs w:val="20"/>
                <w:color w:val="auto"/>
              </w:rPr>
            </w:pPr>
            <w:r>
              <w:rPr>
                <w:rFonts w:ascii="Arial" w:cs="Arial" w:eastAsia="Arial" w:hAnsi="Arial"/>
                <w:sz w:val="14"/>
                <w:szCs w:val="14"/>
                <w:color w:val="auto"/>
              </w:rPr>
              <w:t>Regulatory liabilities</w:t>
            </w:r>
          </w:p>
        </w:tc>
        <w:tc>
          <w:tcPr>
            <w:tcW w:w="220" w:type="dxa"/>
            <w:vAlign w:val="bottom"/>
          </w:tcPr>
          <w:p>
            <w:pPr>
              <w:spacing w:after="0"/>
              <w:rPr>
                <w:sz w:val="16"/>
                <w:szCs w:val="16"/>
                <w:color w:val="auto"/>
              </w:rPr>
            </w:pPr>
          </w:p>
        </w:tc>
        <w:tc>
          <w:tcPr>
            <w:tcW w:w="1180" w:type="dxa"/>
            <w:vAlign w:val="bottom"/>
          </w:tcPr>
          <w:p>
            <w:pPr>
              <w:jc w:val="right"/>
              <w:ind w:right="51"/>
              <w:spacing w:after="0"/>
              <w:rPr>
                <w:sz w:val="20"/>
                <w:szCs w:val="20"/>
                <w:color w:val="auto"/>
              </w:rPr>
            </w:pPr>
            <w:r>
              <w:rPr>
                <w:rFonts w:ascii="Arial" w:cs="Arial" w:eastAsia="Arial" w:hAnsi="Arial"/>
                <w:sz w:val="14"/>
                <w:szCs w:val="14"/>
                <w:color w:val="auto"/>
              </w:rPr>
              <w:t>1,295</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jc w:val="right"/>
              <w:ind w:right="30"/>
              <w:spacing w:after="0"/>
              <w:rPr>
                <w:sz w:val="20"/>
                <w:szCs w:val="20"/>
                <w:color w:val="auto"/>
              </w:rPr>
            </w:pPr>
            <w:r>
              <w:rPr>
                <w:rFonts w:ascii="Arial" w:cs="Arial" w:eastAsia="Arial" w:hAnsi="Arial"/>
                <w:sz w:val="14"/>
                <w:szCs w:val="14"/>
                <w:color w:val="auto"/>
              </w:rPr>
              <w:t>1,298</w:t>
            </w:r>
          </w:p>
        </w:tc>
      </w:tr>
      <w:tr>
        <w:trPr>
          <w:trHeight w:val="23"/>
        </w:trPr>
        <w:tc>
          <w:tcPr>
            <w:tcW w:w="8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16"/>
        </w:trPr>
        <w:tc>
          <w:tcPr>
            <w:tcW w:w="86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Other</w:t>
            </w:r>
          </w:p>
        </w:tc>
        <w:tc>
          <w:tcPr>
            <w:tcW w:w="22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61</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65</w:t>
            </w:r>
          </w:p>
        </w:tc>
      </w:tr>
      <w:tr>
        <w:trPr>
          <w:trHeight w:val="184"/>
        </w:trPr>
        <w:tc>
          <w:tcPr>
            <w:tcW w:w="8600" w:type="dxa"/>
            <w:vAlign w:val="bottom"/>
          </w:tcPr>
          <w:p>
            <w:pPr>
              <w:ind w:left="300"/>
              <w:spacing w:after="0"/>
              <w:rPr>
                <w:sz w:val="20"/>
                <w:szCs w:val="20"/>
                <w:color w:val="auto"/>
              </w:rPr>
            </w:pPr>
            <w:r>
              <w:rPr>
                <w:rFonts w:ascii="Arial" w:cs="Arial" w:eastAsia="Arial" w:hAnsi="Arial"/>
                <w:sz w:val="14"/>
                <w:szCs w:val="14"/>
                <w:color w:val="auto"/>
              </w:rPr>
              <w:t>Total other liabilities</w:t>
            </w:r>
          </w:p>
        </w:tc>
        <w:tc>
          <w:tcPr>
            <w:tcW w:w="22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jc w:val="right"/>
              <w:ind w:right="51"/>
              <w:spacing w:after="0"/>
              <w:rPr>
                <w:sz w:val="20"/>
                <w:szCs w:val="20"/>
                <w:color w:val="auto"/>
              </w:rPr>
            </w:pPr>
            <w:r>
              <w:rPr>
                <w:rFonts w:ascii="Arial" w:cs="Arial" w:eastAsia="Arial" w:hAnsi="Arial"/>
                <w:sz w:val="14"/>
                <w:szCs w:val="14"/>
                <w:color w:val="auto"/>
              </w:rPr>
              <w:t>2,445</w:t>
            </w:r>
          </w:p>
        </w:tc>
        <w:tc>
          <w:tcPr>
            <w:tcW w:w="10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jc w:val="right"/>
              <w:ind w:right="30"/>
              <w:spacing w:after="0"/>
              <w:rPr>
                <w:sz w:val="20"/>
                <w:szCs w:val="20"/>
                <w:color w:val="auto"/>
              </w:rPr>
            </w:pPr>
            <w:r>
              <w:rPr>
                <w:rFonts w:ascii="Arial" w:cs="Arial" w:eastAsia="Arial" w:hAnsi="Arial"/>
                <w:sz w:val="14"/>
                <w:szCs w:val="14"/>
                <w:color w:val="auto"/>
              </w:rPr>
              <w:t>2,477</w:t>
            </w:r>
          </w:p>
        </w:tc>
      </w:tr>
      <w:tr>
        <w:trPr>
          <w:trHeight w:val="23"/>
        </w:trPr>
        <w:tc>
          <w:tcPr>
            <w:tcW w:w="86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84"/>
        </w:trPr>
        <w:tc>
          <w:tcPr>
            <w:tcW w:w="86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Long-term Debt:</w:t>
            </w:r>
          </w:p>
        </w:tc>
        <w:tc>
          <w:tcPr>
            <w:tcW w:w="2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r>
      <w:tr>
        <w:trPr>
          <w:trHeight w:val="23"/>
        </w:trPr>
        <w:tc>
          <w:tcPr>
            <w:tcW w:w="86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080" w:type="dxa"/>
            <w:vAlign w:val="bottom"/>
            <w:shd w:val="clear" w:color="auto" w:fill="CCEEFF"/>
          </w:tcPr>
          <w:p>
            <w:pPr>
              <w:spacing w:after="0" w:line="20" w:lineRule="exact"/>
              <w:rPr>
                <w:sz w:val="1"/>
                <w:szCs w:val="1"/>
                <w:color w:val="auto"/>
              </w:rPr>
            </w:pPr>
          </w:p>
        </w:tc>
      </w:tr>
    </w:tbl>
    <w:p>
      <w:pPr>
        <w:spacing w:after="0" w:line="11" w:lineRule="exact"/>
        <w:rPr>
          <w:sz w:val="20"/>
          <w:szCs w:val="20"/>
          <w:color w:val="auto"/>
        </w:rPr>
      </w:pPr>
    </w:p>
    <w:p>
      <w:pPr>
        <w:sectPr>
          <w:pgSz w:w="11900" w:h="16838" w:orient="portrait"/>
          <w:cols w:equalWidth="0" w:num="1">
            <w:col w:w="11460"/>
          </w:cols>
          <w:pgMar w:left="220" w:top="129" w:right="219" w:bottom="1440" w:gutter="0" w:footer="0" w:header="0"/>
        </w:sectPr>
      </w:pPr>
    </w:p>
    <w:p>
      <w:pPr>
        <w:ind w:left="140"/>
        <w:spacing w:after="0"/>
        <w:rPr>
          <w:sz w:val="20"/>
          <w:szCs w:val="20"/>
          <w:color w:val="auto"/>
        </w:rPr>
      </w:pPr>
      <w:r>
        <w:rPr>
          <w:rFonts w:ascii="Arial" w:cs="Arial" w:eastAsia="Arial" w:hAnsi="Arial"/>
          <w:sz w:val="14"/>
          <w:szCs w:val="14"/>
          <w:color w:val="auto"/>
        </w:rPr>
        <w:t>VIE Securitization Bonds, net</w:t>
      </w:r>
    </w:p>
    <w:p>
      <w:pPr>
        <w:spacing w:after="0" w:line="55" w:lineRule="exact"/>
        <w:rPr>
          <w:sz w:val="20"/>
          <w:szCs w:val="20"/>
          <w:color w:val="auto"/>
        </w:rPr>
      </w:pPr>
    </w:p>
    <w:p>
      <w:pPr>
        <w:ind w:left="140"/>
        <w:spacing w:after="0"/>
        <w:rPr>
          <w:sz w:val="20"/>
          <w:szCs w:val="20"/>
          <w:color w:val="auto"/>
        </w:rPr>
      </w:pPr>
      <w:r>
        <w:rPr>
          <w:rFonts w:ascii="Arial" w:cs="Arial" w:eastAsia="Arial" w:hAnsi="Arial"/>
          <w:sz w:val="14"/>
          <w:szCs w:val="14"/>
          <w:color w:val="auto"/>
        </w:rPr>
        <w:t>Other, net</w:t>
      </w:r>
    </w:p>
    <w:p>
      <w:pPr>
        <w:spacing w:after="0" w:line="65" w:lineRule="exact"/>
        <w:rPr>
          <w:sz w:val="20"/>
          <w:szCs w:val="20"/>
          <w:color w:val="auto"/>
        </w:rPr>
      </w:pPr>
    </w:p>
    <w:p>
      <w:pPr>
        <w:ind w:left="300"/>
        <w:spacing w:after="0"/>
        <w:rPr>
          <w:sz w:val="20"/>
          <w:szCs w:val="20"/>
          <w:color w:val="auto"/>
        </w:rPr>
      </w:pPr>
      <w:r>
        <w:rPr>
          <w:rFonts w:ascii="Arial" w:cs="Arial" w:eastAsia="Arial" w:hAnsi="Arial"/>
          <w:sz w:val="14"/>
          <w:szCs w:val="14"/>
          <w:color w:val="auto"/>
        </w:rPr>
        <w:t>Total long-term debt, net</w:t>
      </w:r>
    </w:p>
    <w:p>
      <w:pPr>
        <w:spacing w:after="0" w:line="6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Commitments and Contingencies (Note 14)</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Member’s Equity:</w:t>
      </w:r>
    </w:p>
    <w:p>
      <w:pPr>
        <w:spacing w:after="0" w:line="59" w:lineRule="exact"/>
        <w:rPr>
          <w:sz w:val="20"/>
          <w:szCs w:val="20"/>
          <w:color w:val="auto"/>
        </w:rPr>
      </w:pPr>
    </w:p>
    <w:p>
      <w:pPr>
        <w:ind w:left="140"/>
        <w:spacing w:after="0"/>
        <w:rPr>
          <w:sz w:val="20"/>
          <w:szCs w:val="20"/>
          <w:color w:val="auto"/>
        </w:rPr>
      </w:pPr>
      <w:r>
        <w:rPr>
          <w:rFonts w:ascii="Arial" w:cs="Arial" w:eastAsia="Arial" w:hAnsi="Arial"/>
          <w:sz w:val="14"/>
          <w:szCs w:val="14"/>
          <w:color w:val="auto"/>
        </w:rPr>
        <w:t>Common stock</w:t>
      </w:r>
    </w:p>
    <w:p>
      <w:pPr>
        <w:spacing w:after="0" w:line="55" w:lineRule="exact"/>
        <w:rPr>
          <w:sz w:val="20"/>
          <w:szCs w:val="20"/>
          <w:color w:val="auto"/>
        </w:rPr>
      </w:pPr>
    </w:p>
    <w:p>
      <w:pPr>
        <w:ind w:left="140"/>
        <w:spacing w:after="0"/>
        <w:rPr>
          <w:sz w:val="20"/>
          <w:szCs w:val="20"/>
          <w:color w:val="auto"/>
        </w:rPr>
      </w:pPr>
      <w:r>
        <w:rPr>
          <w:rFonts w:ascii="Arial" w:cs="Arial" w:eastAsia="Arial" w:hAnsi="Arial"/>
          <w:sz w:val="14"/>
          <w:szCs w:val="14"/>
          <w:color w:val="auto"/>
        </w:rPr>
        <w:t>Additional paid-in capital</w:t>
      </w:r>
    </w:p>
    <w:p>
      <w:pPr>
        <w:spacing w:after="0" w:line="55" w:lineRule="exact"/>
        <w:rPr>
          <w:sz w:val="20"/>
          <w:szCs w:val="20"/>
          <w:color w:val="auto"/>
        </w:rPr>
      </w:pPr>
    </w:p>
    <w:p>
      <w:pPr>
        <w:ind w:left="140"/>
        <w:spacing w:after="0"/>
        <w:rPr>
          <w:sz w:val="20"/>
          <w:szCs w:val="20"/>
          <w:color w:val="auto"/>
        </w:rPr>
      </w:pPr>
      <w:r>
        <w:rPr>
          <w:rFonts w:ascii="Arial" w:cs="Arial" w:eastAsia="Arial" w:hAnsi="Arial"/>
          <w:sz w:val="14"/>
          <w:szCs w:val="14"/>
          <w:color w:val="auto"/>
        </w:rPr>
        <w:t>Retained earnings</w:t>
      </w:r>
    </w:p>
    <w:p>
      <w:pPr>
        <w:spacing w:after="0" w:line="55" w:lineRule="exact"/>
        <w:rPr>
          <w:sz w:val="20"/>
          <w:szCs w:val="20"/>
          <w:color w:val="auto"/>
        </w:rPr>
      </w:pPr>
    </w:p>
    <w:p>
      <w:pPr>
        <w:ind w:left="320" w:right="520" w:hanging="193"/>
        <w:spacing w:after="0" w:line="342" w:lineRule="auto"/>
        <w:rPr>
          <w:sz w:val="20"/>
          <w:szCs w:val="20"/>
          <w:color w:val="auto"/>
        </w:rPr>
      </w:pPr>
      <w:r>
        <w:rPr>
          <w:rFonts w:ascii="Arial" w:cs="Arial" w:eastAsia="Arial" w:hAnsi="Arial"/>
          <w:sz w:val="14"/>
          <w:szCs w:val="14"/>
          <w:color w:val="auto"/>
        </w:rPr>
        <w:t>Accumulated other comprehensive loss Total member’s equity</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Total Liabilities and Member’s Equity</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5220" w:type="dxa"/>
        <w:tblCellMar>
          <w:top w:w="0" w:type="dxa"/>
          <w:left w:w="0" w:type="dxa"/>
          <w:bottom w:w="0" w:type="dxa"/>
          <w:right w:w="0" w:type="dxa"/>
        </w:tblCellMar>
      </w:tblPr>
      <w:tr>
        <w:trPr>
          <w:trHeight w:val="182"/>
        </w:trPr>
        <w:tc>
          <w:tcPr>
            <w:tcW w:w="500" w:type="dxa"/>
            <w:vAlign w:val="bottom"/>
          </w:tcPr>
          <w:p>
            <w:pPr>
              <w:spacing w:after="0"/>
              <w:rPr>
                <w:sz w:val="15"/>
                <w:szCs w:val="15"/>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817</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977</w:t>
            </w:r>
          </w:p>
        </w:tc>
      </w:tr>
      <w:tr>
        <w:trPr>
          <w:trHeight w:val="216"/>
        </w:trPr>
        <w:tc>
          <w:tcPr>
            <w:tcW w:w="500" w:type="dxa"/>
            <w:vAlign w:val="bottom"/>
          </w:tcPr>
          <w:p>
            <w:pPr>
              <w:spacing w:after="0"/>
              <w:rPr>
                <w:sz w:val="18"/>
                <w:szCs w:val="18"/>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3,972</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3,281</w:t>
            </w:r>
          </w:p>
        </w:tc>
      </w:tr>
      <w:tr>
        <w:trPr>
          <w:trHeight w:val="23"/>
        </w:trPr>
        <w:tc>
          <w:tcPr>
            <w:tcW w:w="5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84"/>
        </w:trPr>
        <w:tc>
          <w:tcPr>
            <w:tcW w:w="500" w:type="dxa"/>
            <w:vAlign w:val="bottom"/>
          </w:tcPr>
          <w:p>
            <w:pPr>
              <w:spacing w:after="0"/>
              <w:rPr>
                <w:sz w:val="15"/>
                <w:szCs w:val="15"/>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4,789</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4,258</w:t>
            </w:r>
          </w:p>
        </w:tc>
      </w:tr>
      <w:tr>
        <w:trPr>
          <w:trHeight w:val="23"/>
        </w:trPr>
        <w:tc>
          <w:tcPr>
            <w:tcW w:w="5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615"/>
        </w:trPr>
        <w:tc>
          <w:tcPr>
            <w:tcW w:w="500" w:type="dxa"/>
            <w:vAlign w:val="bottom"/>
          </w:tcPr>
          <w:p>
            <w:pPr>
              <w:spacing w:after="0"/>
              <w:rPr>
                <w:sz w:val="24"/>
                <w:szCs w:val="2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24"/>
                <w:szCs w:val="24"/>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16"/>
        </w:trPr>
        <w:tc>
          <w:tcPr>
            <w:tcW w:w="500" w:type="dxa"/>
            <w:vAlign w:val="bottom"/>
          </w:tcPr>
          <w:p>
            <w:pPr>
              <w:spacing w:after="0"/>
              <w:rPr>
                <w:sz w:val="18"/>
                <w:szCs w:val="18"/>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2,486</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1,896</w:t>
            </w:r>
          </w:p>
        </w:tc>
      </w:tr>
      <w:tr>
        <w:trPr>
          <w:trHeight w:val="216"/>
        </w:trPr>
        <w:tc>
          <w:tcPr>
            <w:tcW w:w="500" w:type="dxa"/>
            <w:vAlign w:val="bottom"/>
          </w:tcPr>
          <w:p>
            <w:pPr>
              <w:spacing w:after="0"/>
              <w:rPr>
                <w:sz w:val="18"/>
                <w:szCs w:val="18"/>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1,012</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800</w:t>
            </w:r>
          </w:p>
        </w:tc>
      </w:tr>
      <w:tr>
        <w:trPr>
          <w:trHeight w:val="216"/>
        </w:trPr>
        <w:tc>
          <w:tcPr>
            <w:tcW w:w="500" w:type="dxa"/>
            <w:vAlign w:val="bottom"/>
          </w:tcPr>
          <w:p>
            <w:pPr>
              <w:spacing w:after="0"/>
              <w:rPr>
                <w:sz w:val="18"/>
                <w:szCs w:val="18"/>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(14)</w:t>
            </w:r>
          </w:p>
        </w:tc>
      </w:tr>
      <w:tr>
        <w:trPr>
          <w:trHeight w:val="23"/>
        </w:trPr>
        <w:tc>
          <w:tcPr>
            <w:tcW w:w="5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84"/>
        </w:trPr>
        <w:tc>
          <w:tcPr>
            <w:tcW w:w="500" w:type="dxa"/>
            <w:vAlign w:val="bottom"/>
          </w:tcPr>
          <w:p>
            <w:pPr>
              <w:spacing w:after="0"/>
              <w:rPr>
                <w:sz w:val="15"/>
                <w:szCs w:val="15"/>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3,483</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2,682</w:t>
            </w:r>
          </w:p>
        </w:tc>
      </w:tr>
      <w:tr>
        <w:trPr>
          <w:trHeight w:val="23"/>
        </w:trPr>
        <w:tc>
          <w:tcPr>
            <w:tcW w:w="5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84"/>
        </w:trPr>
        <w:tc>
          <w:tcPr>
            <w:tcW w:w="50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11,463</w:t>
            </w:r>
          </w:p>
        </w:tc>
        <w:tc>
          <w:tcPr>
            <w:tcW w:w="100" w:type="dxa"/>
            <w:vAlign w:val="bottom"/>
          </w:tcPr>
          <w:p>
            <w:pPr>
              <w:spacing w:after="0"/>
              <w:rPr>
                <w:sz w:val="15"/>
                <w:szCs w:val="15"/>
                <w:color w:val="auto"/>
              </w:rPr>
            </w:pPr>
          </w:p>
        </w:tc>
        <w:tc>
          <w:tcPr>
            <w:tcW w:w="4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10,507</w:t>
            </w:r>
          </w:p>
        </w:tc>
      </w:tr>
      <w:tr>
        <w:trPr>
          <w:trHeight w:val="23"/>
        </w:trPr>
        <w:tc>
          <w:tcPr>
            <w:tcW w:w="5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0"/>
        </w:trPr>
        <w:tc>
          <w:tcPr>
            <w:tcW w:w="5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-2141855</wp:posOffset>
            </wp:positionH>
            <wp:positionV relativeFrom="paragraph">
              <wp:posOffset>-1416050</wp:posOffset>
            </wp:positionV>
            <wp:extent cx="7274560" cy="137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extLst>
                    </a:blip>
                    <a:srcRect/>
                    <a:stretch>
                      <a:fillRect/>
                    </a:stretch>
                  </pic:blipFill>
                  <pic:spPr bwMode="auto">
                    <a:xfrm>
                      <a:off x="0" y="0"/>
                      <a:ext cx="7274560" cy="137160"/>
                    </a:xfrm>
                    <a:prstGeom prst="rect">
                      <a:avLst/>
                    </a:prstGeom>
                    <a:noFill/>
                  </pic:spPr>
                </pic:pic>
              </a:graphicData>
            </a:graphic>
          </wp:anchor>
        </w:drawing>
        <w:drawing>
          <wp:anchor simplePos="0" relativeHeight="251657728" behindDoc="1" locked="0" layoutInCell="0" allowOverlap="1">
            <wp:simplePos x="0" y="0"/>
            <wp:positionH relativeFrom="column">
              <wp:posOffset>-2141855</wp:posOffset>
            </wp:positionH>
            <wp:positionV relativeFrom="paragraph">
              <wp:posOffset>-1135380</wp:posOffset>
            </wp:positionV>
            <wp:extent cx="7274560" cy="1435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extLst>
                    </a:blip>
                    <a:srcRect/>
                    <a:stretch>
                      <a:fillRect/>
                    </a:stretch>
                  </pic:blipFill>
                  <pic:spPr bwMode="auto">
                    <a:xfrm>
                      <a:off x="0" y="0"/>
                      <a:ext cx="7274560" cy="143510"/>
                    </a:xfrm>
                    <a:prstGeom prst="rect">
                      <a:avLst/>
                    </a:prstGeom>
                    <a:noFill/>
                  </pic:spPr>
                </pic:pic>
              </a:graphicData>
            </a:graphic>
          </wp:anchor>
        </w:drawing>
        <w:drawing>
          <wp:anchor simplePos="0" relativeHeight="251657728" behindDoc="1" locked="0" layoutInCell="0" allowOverlap="1">
            <wp:simplePos x="0" y="0"/>
            <wp:positionH relativeFrom="column">
              <wp:posOffset>-2141855</wp:posOffset>
            </wp:positionH>
            <wp:positionV relativeFrom="paragraph">
              <wp:posOffset>-854710</wp:posOffset>
            </wp:positionV>
            <wp:extent cx="7274560" cy="1371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7274560" cy="137160"/>
                    </a:xfrm>
                    <a:prstGeom prst="rect">
                      <a:avLst/>
                    </a:prstGeom>
                    <a:noFill/>
                  </pic:spPr>
                </pic:pic>
              </a:graphicData>
            </a:graphic>
          </wp:anchor>
        </w:drawing>
        <w:drawing>
          <wp:anchor simplePos="0" relativeHeight="251657728" behindDoc="1" locked="0" layoutInCell="0" allowOverlap="1">
            <wp:simplePos x="0" y="0"/>
            <wp:positionH relativeFrom="column">
              <wp:posOffset>-2141855</wp:posOffset>
            </wp:positionH>
            <wp:positionV relativeFrom="paragraph">
              <wp:posOffset>-581025</wp:posOffset>
            </wp:positionV>
            <wp:extent cx="7274560" cy="1371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7274560" cy="137160"/>
                    </a:xfrm>
                    <a:prstGeom prst="rect">
                      <a:avLst/>
                    </a:prstGeom>
                    <a:noFill/>
                  </pic:spPr>
                </pic:pic>
              </a:graphicData>
            </a:graphic>
          </wp:anchor>
        </w:drawing>
        <w:drawing>
          <wp:anchor simplePos="0" relativeHeight="251657728" behindDoc="1" locked="0" layoutInCell="0" allowOverlap="1">
            <wp:simplePos x="0" y="0"/>
            <wp:positionH relativeFrom="column">
              <wp:posOffset>-2141855</wp:posOffset>
            </wp:positionH>
            <wp:positionV relativeFrom="paragraph">
              <wp:posOffset>-307340</wp:posOffset>
            </wp:positionV>
            <wp:extent cx="7274560" cy="1435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274560" cy="143510"/>
                    </a:xfrm>
                    <a:prstGeom prst="rect">
                      <a:avLst/>
                    </a:prstGeom>
                    <a:noFill/>
                  </pic:spPr>
                </pic:pic>
              </a:graphicData>
            </a:graphic>
          </wp:anchor>
        </w:drawing>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color w:val="auto"/>
        </w:rPr>
        <w:t>See Combined Notes to Unaudited Condensed Consolidated Financial Statements</w:t>
      </w:r>
    </w:p>
    <w:p>
      <w:pPr>
        <w:spacing w:after="0" w:line="378" w:lineRule="exact"/>
        <w:rPr>
          <w:sz w:val="20"/>
          <w:szCs w:val="20"/>
          <w:color w:val="auto"/>
        </w:rPr>
      </w:pPr>
    </w:p>
    <w:p>
      <w:pPr>
        <w:ind w:left="2280"/>
        <w:spacing w:after="0"/>
        <w:rPr>
          <w:sz w:val="20"/>
          <w:szCs w:val="20"/>
          <w:color w:val="auto"/>
        </w:rPr>
      </w:pPr>
      <w:r>
        <w:rPr>
          <w:rFonts w:ascii="Arial" w:cs="Arial" w:eastAsia="Arial" w:hAnsi="Arial"/>
          <w:sz w:val="14"/>
          <w:szCs w:val="14"/>
          <w:color w:val="auto"/>
        </w:rPr>
        <w:t>10</w:t>
      </w:r>
    </w:p>
    <w:p>
      <w:pPr>
        <w:sectPr>
          <w:pgSz w:w="11900" w:h="16838" w:orient="portrait"/>
          <w:cols w:equalWidth="0" w:num="2">
            <w:col w:w="2920" w:space="460"/>
            <w:col w:w="8080"/>
          </w:cols>
          <w:pgMar w:left="220" w:top="129" w:right="219" w:bottom="1440" w:gutter="0" w:footer="0" w:header="0"/>
          <w:type w:val="continuous"/>
        </w:sectPr>
      </w:pPr>
    </w:p>
    <w:bookmarkStart w:id="20" w:name="page21"/>
    <w:bookmarkEnd w:id="20"/>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2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CENTERPOINT ENERGY HOUSTON ELECTRIC, LLC AND SUBSIDIARIES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(AN INDIRECT, WHOLLY-OWNED SUBSIDIARY OF CENTERPOINT ENERGY,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CONDENSED STATEMENTS OF CONSOLIDATED CASH FLOWS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8600" w:type="dxa"/>
            <w:vAlign w:val="bottom"/>
          </w:tcPr>
          <w:p>
            <w:pPr>
              <w:spacing w:after="0"/>
              <w:rPr>
                <w:sz w:val="13"/>
                <w:szCs w:val="13"/>
                <w:color w:val="auto"/>
              </w:rPr>
            </w:pPr>
          </w:p>
        </w:tc>
        <w:tc>
          <w:tcPr>
            <w:tcW w:w="2400" w:type="dxa"/>
            <w:vAlign w:val="bottom"/>
            <w:tcBorders>
              <w:bottom w:val="single" w:sz="8" w:color="auto"/>
            </w:tcBorders>
            <w:gridSpan w:val="4"/>
          </w:tcPr>
          <w:p>
            <w:pPr>
              <w:jc w:val="right"/>
              <w:ind w:right="33"/>
              <w:spacing w:after="0"/>
              <w:rPr>
                <w:sz w:val="20"/>
                <w:szCs w:val="20"/>
                <w:color w:val="auto"/>
              </w:rPr>
            </w:pPr>
            <w:r>
              <w:rPr>
                <w:rFonts w:ascii="Arial" w:cs="Arial" w:eastAsia="Arial" w:hAnsi="Arial"/>
                <w:sz w:val="11"/>
                <w:szCs w:val="11"/>
                <w:b w:val="1"/>
                <w:bCs w:val="1"/>
                <w:color w:val="auto"/>
              </w:rPr>
              <w:t>Nine Months Ended September 30,</w:t>
            </w:r>
          </w:p>
        </w:tc>
        <w:tc>
          <w:tcPr>
            <w:tcW w:w="460" w:type="dxa"/>
            <w:vAlign w:val="bottom"/>
            <w:tcBorders>
              <w:bottom w:val="single" w:sz="8" w:color="auto"/>
            </w:tcBorders>
          </w:tcPr>
          <w:p>
            <w:pPr>
              <w:spacing w:after="0"/>
              <w:rPr>
                <w:sz w:val="13"/>
                <w:szCs w:val="13"/>
                <w:color w:val="auto"/>
              </w:rPr>
            </w:pPr>
          </w:p>
        </w:tc>
      </w:tr>
      <w:tr>
        <w:trPr>
          <w:trHeight w:val="206"/>
        </w:trPr>
        <w:tc>
          <w:tcPr>
            <w:tcW w:w="8600" w:type="dxa"/>
            <w:vAlign w:val="bottom"/>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2019</w:t>
            </w:r>
          </w:p>
        </w:tc>
        <w:tc>
          <w:tcPr>
            <w:tcW w:w="5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3"/>
              <w:spacing w:after="0"/>
              <w:rPr>
                <w:sz w:val="20"/>
                <w:szCs w:val="20"/>
                <w:color w:val="auto"/>
              </w:rPr>
            </w:pPr>
            <w:r>
              <w:rPr>
                <w:rFonts w:ascii="Arial" w:cs="Arial" w:eastAsia="Arial" w:hAnsi="Arial"/>
                <w:sz w:val="11"/>
                <w:szCs w:val="11"/>
                <w:b w:val="1"/>
                <w:bCs w:val="1"/>
                <w:color w:val="auto"/>
              </w:rPr>
              <w:t>2018</w:t>
            </w:r>
          </w:p>
        </w:tc>
        <w:tc>
          <w:tcPr>
            <w:tcW w:w="460" w:type="dxa"/>
            <w:vAlign w:val="bottom"/>
            <w:tcBorders>
              <w:bottom w:val="single" w:sz="8" w:color="auto"/>
            </w:tcBorders>
          </w:tcPr>
          <w:p>
            <w:pPr>
              <w:spacing w:after="0"/>
              <w:rPr>
                <w:sz w:val="17"/>
                <w:szCs w:val="17"/>
                <w:color w:val="auto"/>
              </w:rPr>
            </w:pPr>
          </w:p>
        </w:tc>
      </w:tr>
      <w:tr>
        <w:trPr>
          <w:trHeight w:val="191"/>
        </w:trPr>
        <w:tc>
          <w:tcPr>
            <w:tcW w:w="86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540" w:type="dxa"/>
            <w:vAlign w:val="bottom"/>
            <w:gridSpan w:val="3"/>
          </w:tcPr>
          <w:p>
            <w:pPr>
              <w:jc w:val="right"/>
              <w:ind w:right="533"/>
              <w:spacing w:after="0"/>
              <w:rPr>
                <w:sz w:val="20"/>
                <w:szCs w:val="20"/>
                <w:color w:val="auto"/>
              </w:rPr>
            </w:pPr>
            <w:r>
              <w:rPr>
                <w:rFonts w:ascii="Arial" w:cs="Arial" w:eastAsia="Arial" w:hAnsi="Arial"/>
                <w:sz w:val="11"/>
                <w:szCs w:val="11"/>
                <w:b w:val="1"/>
                <w:bCs w:val="1"/>
                <w:color w:val="auto"/>
              </w:rPr>
              <w:t>(in millions)</w:t>
            </w:r>
          </w:p>
        </w:tc>
        <w:tc>
          <w:tcPr>
            <w:tcW w:w="460" w:type="dxa"/>
            <w:vAlign w:val="bottom"/>
          </w:tcPr>
          <w:p>
            <w:pPr>
              <w:spacing w:after="0"/>
              <w:rPr>
                <w:sz w:val="16"/>
                <w:szCs w:val="16"/>
                <w:color w:val="auto"/>
              </w:rPr>
            </w:pPr>
          </w:p>
        </w:tc>
      </w:tr>
      <w:tr>
        <w:trPr>
          <w:trHeight w:val="202"/>
        </w:trPr>
        <w:tc>
          <w:tcPr>
            <w:tcW w:w="8600" w:type="dxa"/>
            <w:vAlign w:val="bottom"/>
          </w:tcPr>
          <w:p>
            <w:pPr>
              <w:ind w:left="20"/>
              <w:spacing w:after="0"/>
              <w:rPr>
                <w:sz w:val="20"/>
                <w:szCs w:val="20"/>
                <w:color w:val="auto"/>
              </w:rPr>
            </w:pPr>
            <w:r>
              <w:rPr>
                <w:rFonts w:ascii="Arial" w:cs="Arial" w:eastAsia="Arial" w:hAnsi="Arial"/>
                <w:sz w:val="14"/>
                <w:szCs w:val="14"/>
                <w:b w:val="1"/>
                <w:bCs w:val="1"/>
                <w:color w:val="auto"/>
              </w:rPr>
              <w:t>Cash Flows from Operating Activities:</w:t>
            </w:r>
          </w:p>
        </w:tc>
        <w:tc>
          <w:tcPr>
            <w:tcW w:w="8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60" w:type="dxa"/>
            <w:vAlign w:val="bottom"/>
          </w:tcPr>
          <w:p>
            <w:pPr>
              <w:spacing w:after="0"/>
              <w:rPr>
                <w:sz w:val="17"/>
                <w:szCs w:val="17"/>
                <w:color w:val="auto"/>
              </w:rPr>
            </w:pPr>
          </w:p>
        </w:tc>
      </w:tr>
      <w:tr>
        <w:trPr>
          <w:trHeight w:val="23"/>
        </w:trPr>
        <w:tc>
          <w:tcPr>
            <w:tcW w:w="86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6"/>
        </w:trPr>
        <w:tc>
          <w:tcPr>
            <w:tcW w:w="86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Net income</w:t>
            </w:r>
          </w:p>
        </w:tc>
        <w:tc>
          <w:tcPr>
            <w:tcW w:w="860" w:type="dxa"/>
            <w:vAlign w:val="bottom"/>
            <w:tcBorders>
              <w:bottom w:val="single" w:sz="8" w:color="CCEEFF"/>
            </w:tcBorders>
            <w:shd w:val="clear" w:color="auto" w:fill="CCEEFF"/>
          </w:tcPr>
          <w:p>
            <w:pPr>
              <w:jc w:val="right"/>
              <w:ind w:right="695"/>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312</w:t>
            </w:r>
          </w:p>
        </w:tc>
        <w:tc>
          <w:tcPr>
            <w:tcW w:w="1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ind w:right="733"/>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296</w:t>
            </w:r>
          </w:p>
        </w:tc>
      </w:tr>
      <w:tr>
        <w:trPr>
          <w:trHeight w:val="193"/>
        </w:trPr>
        <w:tc>
          <w:tcPr>
            <w:tcW w:w="8600" w:type="dxa"/>
            <w:vAlign w:val="bottom"/>
          </w:tcPr>
          <w:p>
            <w:pPr>
              <w:ind w:left="140"/>
              <w:spacing w:after="0"/>
              <w:rPr>
                <w:sz w:val="20"/>
                <w:szCs w:val="20"/>
                <w:color w:val="auto"/>
              </w:rPr>
            </w:pPr>
            <w:r>
              <w:rPr>
                <w:rFonts w:ascii="Arial" w:cs="Arial" w:eastAsia="Arial" w:hAnsi="Arial"/>
                <w:sz w:val="14"/>
                <w:szCs w:val="14"/>
                <w:color w:val="auto"/>
              </w:rPr>
              <w:t>Adjustments to reconcile net income to net cash provided by operating activities:</w:t>
            </w:r>
          </w:p>
        </w:tc>
        <w:tc>
          <w:tcPr>
            <w:tcW w:w="8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60" w:type="dxa"/>
            <w:vAlign w:val="bottom"/>
          </w:tcPr>
          <w:p>
            <w:pPr>
              <w:spacing w:after="0"/>
              <w:rPr>
                <w:sz w:val="16"/>
                <w:szCs w:val="16"/>
                <w:color w:val="auto"/>
              </w:rPr>
            </w:pPr>
          </w:p>
        </w:tc>
      </w:tr>
      <w:tr>
        <w:trPr>
          <w:trHeight w:val="23"/>
        </w:trPr>
        <w:tc>
          <w:tcPr>
            <w:tcW w:w="86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6"/>
        </w:trPr>
        <w:tc>
          <w:tcPr>
            <w:tcW w:w="86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Depreciation and amortization</w:t>
            </w:r>
          </w:p>
        </w:tc>
        <w:tc>
          <w:tcPr>
            <w:tcW w:w="86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519</w:t>
            </w:r>
          </w:p>
        </w:tc>
        <w:tc>
          <w:tcPr>
            <w:tcW w:w="1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737</w:t>
            </w:r>
          </w:p>
        </w:tc>
      </w:tr>
      <w:tr>
        <w:trPr>
          <w:trHeight w:val="193"/>
        </w:trPr>
        <w:tc>
          <w:tcPr>
            <w:tcW w:w="8600" w:type="dxa"/>
            <w:vAlign w:val="bottom"/>
          </w:tcPr>
          <w:p>
            <w:pPr>
              <w:ind w:left="220"/>
              <w:spacing w:after="0"/>
              <w:rPr>
                <w:sz w:val="20"/>
                <w:szCs w:val="20"/>
                <w:color w:val="auto"/>
              </w:rPr>
            </w:pPr>
            <w:r>
              <w:rPr>
                <w:rFonts w:ascii="Arial" w:cs="Arial" w:eastAsia="Arial" w:hAnsi="Arial"/>
                <w:sz w:val="14"/>
                <w:szCs w:val="14"/>
                <w:color w:val="auto"/>
              </w:rPr>
              <w:t>Amortization of deferred financing costs</w:t>
            </w:r>
          </w:p>
        </w:tc>
        <w:tc>
          <w:tcPr>
            <w:tcW w:w="860" w:type="dxa"/>
            <w:vAlign w:val="bottom"/>
          </w:tcPr>
          <w:p>
            <w:pPr>
              <w:spacing w:after="0"/>
              <w:rPr>
                <w:sz w:val="16"/>
                <w:szCs w:val="16"/>
                <w:color w:val="auto"/>
              </w:rPr>
            </w:pPr>
          </w:p>
        </w:tc>
        <w:tc>
          <w:tcPr>
            <w:tcW w:w="540" w:type="dxa"/>
            <w:vAlign w:val="bottom"/>
          </w:tcPr>
          <w:p>
            <w:pPr>
              <w:jc w:val="right"/>
              <w:ind w:right="49"/>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60" w:type="dxa"/>
            <w:vAlign w:val="bottom"/>
          </w:tcPr>
          <w:p>
            <w:pPr>
              <w:jc w:val="right"/>
              <w:ind w:right="28"/>
              <w:spacing w:after="0"/>
              <w:rPr>
                <w:sz w:val="20"/>
                <w:szCs w:val="20"/>
                <w:color w:val="auto"/>
              </w:rPr>
            </w:pPr>
            <w:r>
              <w:rPr>
                <w:rFonts w:ascii="Arial" w:cs="Arial" w:eastAsia="Arial" w:hAnsi="Arial"/>
                <w:sz w:val="14"/>
                <w:szCs w:val="14"/>
                <w:color w:val="auto"/>
              </w:rPr>
              <w:t>8</w:t>
            </w:r>
          </w:p>
        </w:tc>
      </w:tr>
      <w:tr>
        <w:trPr>
          <w:trHeight w:val="23"/>
        </w:trPr>
        <w:tc>
          <w:tcPr>
            <w:tcW w:w="86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6"/>
        </w:trPr>
        <w:tc>
          <w:tcPr>
            <w:tcW w:w="86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Deferred income taxes</w:t>
            </w:r>
          </w:p>
        </w:tc>
        <w:tc>
          <w:tcPr>
            <w:tcW w:w="86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(39)</w:t>
            </w:r>
          </w:p>
        </w:tc>
        <w:tc>
          <w:tcPr>
            <w:tcW w:w="1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w:t>
            </w:r>
          </w:p>
        </w:tc>
      </w:tr>
      <w:tr>
        <w:trPr>
          <w:trHeight w:val="193"/>
        </w:trPr>
        <w:tc>
          <w:tcPr>
            <w:tcW w:w="8600" w:type="dxa"/>
            <w:vAlign w:val="bottom"/>
          </w:tcPr>
          <w:p>
            <w:pPr>
              <w:ind w:left="220"/>
              <w:spacing w:after="0"/>
              <w:rPr>
                <w:sz w:val="20"/>
                <w:szCs w:val="20"/>
                <w:color w:val="auto"/>
              </w:rPr>
            </w:pPr>
            <w:r>
              <w:rPr>
                <w:rFonts w:ascii="Arial" w:cs="Arial" w:eastAsia="Arial" w:hAnsi="Arial"/>
                <w:sz w:val="14"/>
                <w:szCs w:val="14"/>
                <w:color w:val="auto"/>
              </w:rPr>
              <w:t>Changes in other assets and liabilities:</w:t>
            </w:r>
          </w:p>
        </w:tc>
        <w:tc>
          <w:tcPr>
            <w:tcW w:w="8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60" w:type="dxa"/>
            <w:vAlign w:val="bottom"/>
          </w:tcPr>
          <w:p>
            <w:pPr>
              <w:spacing w:after="0"/>
              <w:rPr>
                <w:sz w:val="16"/>
                <w:szCs w:val="16"/>
                <w:color w:val="auto"/>
              </w:rPr>
            </w:pPr>
          </w:p>
        </w:tc>
      </w:tr>
      <w:tr>
        <w:trPr>
          <w:trHeight w:val="23"/>
        </w:trPr>
        <w:tc>
          <w:tcPr>
            <w:tcW w:w="86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6"/>
        </w:trPr>
        <w:tc>
          <w:tcPr>
            <w:tcW w:w="86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4"/>
                <w:szCs w:val="14"/>
                <w:color w:val="auto"/>
              </w:rPr>
              <w:t>Accounts and notes receivable, net</w:t>
            </w:r>
          </w:p>
        </w:tc>
        <w:tc>
          <w:tcPr>
            <w:tcW w:w="86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(84)</w:t>
            </w:r>
          </w:p>
        </w:tc>
        <w:tc>
          <w:tcPr>
            <w:tcW w:w="1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(95)</w:t>
            </w:r>
          </w:p>
        </w:tc>
      </w:tr>
      <w:tr>
        <w:trPr>
          <w:trHeight w:val="193"/>
        </w:trPr>
        <w:tc>
          <w:tcPr>
            <w:tcW w:w="8600" w:type="dxa"/>
            <w:vAlign w:val="bottom"/>
          </w:tcPr>
          <w:p>
            <w:pPr>
              <w:ind w:left="300"/>
              <w:spacing w:after="0"/>
              <w:rPr>
                <w:sz w:val="20"/>
                <w:szCs w:val="20"/>
                <w:color w:val="auto"/>
              </w:rPr>
            </w:pPr>
            <w:r>
              <w:rPr>
                <w:rFonts w:ascii="Arial" w:cs="Arial" w:eastAsia="Arial" w:hAnsi="Arial"/>
                <w:sz w:val="14"/>
                <w:szCs w:val="14"/>
                <w:color w:val="auto"/>
              </w:rPr>
              <w:t>Accounts receivable/payable–affiliated companies</w:t>
            </w:r>
          </w:p>
        </w:tc>
        <w:tc>
          <w:tcPr>
            <w:tcW w:w="860" w:type="dxa"/>
            <w:vAlign w:val="bottom"/>
          </w:tcPr>
          <w:p>
            <w:pPr>
              <w:spacing w:after="0"/>
              <w:rPr>
                <w:sz w:val="16"/>
                <w:szCs w:val="16"/>
                <w:color w:val="auto"/>
              </w:rPr>
            </w:pPr>
          </w:p>
        </w:tc>
        <w:tc>
          <w:tcPr>
            <w:tcW w:w="540" w:type="dxa"/>
            <w:vAlign w:val="bottom"/>
          </w:tcPr>
          <w:p>
            <w:pPr>
              <w:jc w:val="right"/>
              <w:ind w:right="9"/>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(12)</w:t>
            </w:r>
          </w:p>
        </w:tc>
      </w:tr>
      <w:tr>
        <w:trPr>
          <w:trHeight w:val="23"/>
        </w:trPr>
        <w:tc>
          <w:tcPr>
            <w:tcW w:w="86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6"/>
        </w:trPr>
        <w:tc>
          <w:tcPr>
            <w:tcW w:w="86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4"/>
                <w:szCs w:val="14"/>
                <w:color w:val="auto"/>
              </w:rPr>
              <w:t>Inventory</w:t>
            </w:r>
          </w:p>
        </w:tc>
        <w:tc>
          <w:tcPr>
            <w:tcW w:w="86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(9)</w:t>
            </w:r>
          </w:p>
        </w:tc>
        <w:tc>
          <w:tcPr>
            <w:tcW w:w="1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w:t>
            </w:r>
          </w:p>
        </w:tc>
      </w:tr>
      <w:tr>
        <w:trPr>
          <w:trHeight w:val="193"/>
        </w:trPr>
        <w:tc>
          <w:tcPr>
            <w:tcW w:w="8600" w:type="dxa"/>
            <w:vAlign w:val="bottom"/>
          </w:tcPr>
          <w:p>
            <w:pPr>
              <w:ind w:left="300"/>
              <w:spacing w:after="0"/>
              <w:rPr>
                <w:sz w:val="20"/>
                <w:szCs w:val="20"/>
                <w:color w:val="auto"/>
              </w:rPr>
            </w:pPr>
            <w:r>
              <w:rPr>
                <w:rFonts w:ascii="Arial" w:cs="Arial" w:eastAsia="Arial" w:hAnsi="Arial"/>
                <w:sz w:val="14"/>
                <w:szCs w:val="14"/>
                <w:color w:val="auto"/>
              </w:rPr>
              <w:t>Accounts payable</w:t>
            </w:r>
          </w:p>
        </w:tc>
        <w:tc>
          <w:tcPr>
            <w:tcW w:w="860" w:type="dxa"/>
            <w:vAlign w:val="bottom"/>
          </w:tcPr>
          <w:p>
            <w:pPr>
              <w:spacing w:after="0"/>
              <w:rPr>
                <w:sz w:val="16"/>
                <w:szCs w:val="16"/>
                <w:color w:val="auto"/>
              </w:rPr>
            </w:pPr>
          </w:p>
        </w:tc>
        <w:tc>
          <w:tcPr>
            <w:tcW w:w="540" w:type="dxa"/>
            <w:vAlign w:val="bottom"/>
          </w:tcPr>
          <w:p>
            <w:pPr>
              <w:jc w:val="right"/>
              <w:ind w:right="49"/>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(6)</w:t>
            </w:r>
          </w:p>
        </w:tc>
      </w:tr>
      <w:tr>
        <w:trPr>
          <w:trHeight w:val="23"/>
        </w:trPr>
        <w:tc>
          <w:tcPr>
            <w:tcW w:w="86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6"/>
        </w:trPr>
        <w:tc>
          <w:tcPr>
            <w:tcW w:w="86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4"/>
                <w:szCs w:val="14"/>
                <w:color w:val="auto"/>
              </w:rPr>
              <w:t>Taxes receivable</w:t>
            </w:r>
          </w:p>
        </w:tc>
        <w:tc>
          <w:tcPr>
            <w:tcW w:w="86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5</w:t>
            </w:r>
          </w:p>
        </w:tc>
        <w:tc>
          <w:tcPr>
            <w:tcW w:w="1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w:t>
            </w:r>
          </w:p>
        </w:tc>
      </w:tr>
      <w:tr>
        <w:trPr>
          <w:trHeight w:val="193"/>
        </w:trPr>
        <w:tc>
          <w:tcPr>
            <w:tcW w:w="8600" w:type="dxa"/>
            <w:vAlign w:val="bottom"/>
          </w:tcPr>
          <w:p>
            <w:pPr>
              <w:ind w:left="300"/>
              <w:spacing w:after="0"/>
              <w:rPr>
                <w:sz w:val="20"/>
                <w:szCs w:val="20"/>
                <w:color w:val="auto"/>
              </w:rPr>
            </w:pPr>
            <w:r>
              <w:rPr>
                <w:rFonts w:ascii="Arial" w:cs="Arial" w:eastAsia="Arial" w:hAnsi="Arial"/>
                <w:sz w:val="14"/>
                <w:szCs w:val="14"/>
                <w:color w:val="auto"/>
              </w:rPr>
              <w:t>Interest and taxes accrued</w:t>
            </w:r>
          </w:p>
        </w:tc>
        <w:tc>
          <w:tcPr>
            <w:tcW w:w="860" w:type="dxa"/>
            <w:vAlign w:val="bottom"/>
          </w:tcPr>
          <w:p>
            <w:pPr>
              <w:spacing w:after="0"/>
              <w:rPr>
                <w:sz w:val="16"/>
                <w:szCs w:val="16"/>
                <w:color w:val="auto"/>
              </w:rPr>
            </w:pPr>
          </w:p>
        </w:tc>
        <w:tc>
          <w:tcPr>
            <w:tcW w:w="540" w:type="dxa"/>
            <w:vAlign w:val="bottom"/>
          </w:tcPr>
          <w:p>
            <w:pPr>
              <w:jc w:val="right"/>
              <w:ind w:right="9"/>
              <w:spacing w:after="0"/>
              <w:rPr>
                <w:sz w:val="20"/>
                <w:szCs w:val="20"/>
                <w:color w:val="auto"/>
              </w:rPr>
            </w:pPr>
            <w:r>
              <w:rPr>
                <w:rFonts w:ascii="Arial" w:cs="Arial" w:eastAsia="Arial" w:hAnsi="Arial"/>
                <w:sz w:val="14"/>
                <w:szCs w:val="14"/>
                <w:color w:val="auto"/>
              </w:rPr>
              <w:t>(28)</w:t>
            </w: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(50)</w:t>
            </w:r>
          </w:p>
        </w:tc>
      </w:tr>
      <w:tr>
        <w:trPr>
          <w:trHeight w:val="23"/>
        </w:trPr>
        <w:tc>
          <w:tcPr>
            <w:tcW w:w="86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6"/>
        </w:trPr>
        <w:tc>
          <w:tcPr>
            <w:tcW w:w="86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4"/>
                <w:szCs w:val="14"/>
                <w:color w:val="auto"/>
              </w:rPr>
              <w:t>Non-trading derivatives, net</w:t>
            </w:r>
          </w:p>
        </w:tc>
        <w:tc>
          <w:tcPr>
            <w:tcW w:w="86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(25)</w:t>
            </w:r>
          </w:p>
        </w:tc>
        <w:tc>
          <w:tcPr>
            <w:tcW w:w="1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193"/>
        </w:trPr>
        <w:tc>
          <w:tcPr>
            <w:tcW w:w="8600" w:type="dxa"/>
            <w:vAlign w:val="bottom"/>
          </w:tcPr>
          <w:p>
            <w:pPr>
              <w:ind w:left="300"/>
              <w:spacing w:after="0"/>
              <w:rPr>
                <w:sz w:val="20"/>
                <w:szCs w:val="20"/>
                <w:color w:val="auto"/>
              </w:rPr>
            </w:pPr>
            <w:r>
              <w:rPr>
                <w:rFonts w:ascii="Arial" w:cs="Arial" w:eastAsia="Arial" w:hAnsi="Arial"/>
                <w:sz w:val="14"/>
                <w:szCs w:val="14"/>
                <w:color w:val="auto"/>
              </w:rPr>
              <w:t>Net regulatory assets and liabilities</w:t>
            </w:r>
          </w:p>
        </w:tc>
        <w:tc>
          <w:tcPr>
            <w:tcW w:w="860" w:type="dxa"/>
            <w:vAlign w:val="bottom"/>
          </w:tcPr>
          <w:p>
            <w:pPr>
              <w:spacing w:after="0"/>
              <w:rPr>
                <w:sz w:val="16"/>
                <w:szCs w:val="16"/>
                <w:color w:val="auto"/>
              </w:rPr>
            </w:pPr>
          </w:p>
        </w:tc>
        <w:tc>
          <w:tcPr>
            <w:tcW w:w="540" w:type="dxa"/>
            <w:vAlign w:val="bottom"/>
          </w:tcPr>
          <w:p>
            <w:pPr>
              <w:jc w:val="right"/>
              <w:ind w:right="9"/>
              <w:spacing w:after="0"/>
              <w:rPr>
                <w:sz w:val="20"/>
                <w:szCs w:val="20"/>
                <w:color w:val="auto"/>
              </w:rPr>
            </w:pPr>
            <w:r>
              <w:rPr>
                <w:rFonts w:ascii="Arial" w:cs="Arial" w:eastAsia="Arial" w:hAnsi="Arial"/>
                <w:sz w:val="14"/>
                <w:szCs w:val="14"/>
                <w:color w:val="auto"/>
              </w:rPr>
              <w:t>(58)</w:t>
            </w: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(66)</w:t>
            </w:r>
          </w:p>
        </w:tc>
      </w:tr>
      <w:tr>
        <w:trPr>
          <w:trHeight w:val="23"/>
        </w:trPr>
        <w:tc>
          <w:tcPr>
            <w:tcW w:w="86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6"/>
        </w:trPr>
        <w:tc>
          <w:tcPr>
            <w:tcW w:w="86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4"/>
                <w:szCs w:val="14"/>
                <w:color w:val="auto"/>
              </w:rPr>
              <w:t>Other current assets</w:t>
            </w:r>
          </w:p>
        </w:tc>
        <w:tc>
          <w:tcPr>
            <w:tcW w:w="86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15</w:t>
            </w:r>
          </w:p>
        </w:tc>
        <w:tc>
          <w:tcPr>
            <w:tcW w:w="1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13</w:t>
            </w:r>
          </w:p>
        </w:tc>
      </w:tr>
      <w:tr>
        <w:trPr>
          <w:trHeight w:val="193"/>
        </w:trPr>
        <w:tc>
          <w:tcPr>
            <w:tcW w:w="8600" w:type="dxa"/>
            <w:vAlign w:val="bottom"/>
          </w:tcPr>
          <w:p>
            <w:pPr>
              <w:ind w:left="300"/>
              <w:spacing w:after="0"/>
              <w:rPr>
                <w:sz w:val="20"/>
                <w:szCs w:val="20"/>
                <w:color w:val="auto"/>
              </w:rPr>
            </w:pPr>
            <w:r>
              <w:rPr>
                <w:rFonts w:ascii="Arial" w:cs="Arial" w:eastAsia="Arial" w:hAnsi="Arial"/>
                <w:sz w:val="14"/>
                <w:szCs w:val="14"/>
                <w:color w:val="auto"/>
              </w:rPr>
              <w:t>Other current liabilities</w:t>
            </w:r>
          </w:p>
        </w:tc>
        <w:tc>
          <w:tcPr>
            <w:tcW w:w="860" w:type="dxa"/>
            <w:vAlign w:val="bottom"/>
          </w:tcPr>
          <w:p>
            <w:pPr>
              <w:spacing w:after="0"/>
              <w:rPr>
                <w:sz w:val="16"/>
                <w:szCs w:val="16"/>
                <w:color w:val="auto"/>
              </w:rPr>
            </w:pPr>
          </w:p>
        </w:tc>
        <w:tc>
          <w:tcPr>
            <w:tcW w:w="540" w:type="dxa"/>
            <w:vAlign w:val="bottom"/>
          </w:tcPr>
          <w:p>
            <w:pPr>
              <w:jc w:val="right"/>
              <w:ind w:right="9"/>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(9)</w:t>
            </w:r>
          </w:p>
        </w:tc>
      </w:tr>
      <w:tr>
        <w:trPr>
          <w:trHeight w:val="23"/>
        </w:trPr>
        <w:tc>
          <w:tcPr>
            <w:tcW w:w="86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6"/>
        </w:trPr>
        <w:tc>
          <w:tcPr>
            <w:tcW w:w="86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4"/>
                <w:szCs w:val="14"/>
                <w:color w:val="auto"/>
              </w:rPr>
              <w:t>Other assets</w:t>
            </w:r>
          </w:p>
        </w:tc>
        <w:tc>
          <w:tcPr>
            <w:tcW w:w="86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8</w:t>
            </w:r>
          </w:p>
        </w:tc>
        <w:tc>
          <w:tcPr>
            <w:tcW w:w="1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4</w:t>
            </w:r>
          </w:p>
        </w:tc>
      </w:tr>
      <w:tr>
        <w:trPr>
          <w:trHeight w:val="193"/>
        </w:trPr>
        <w:tc>
          <w:tcPr>
            <w:tcW w:w="8600" w:type="dxa"/>
            <w:vAlign w:val="bottom"/>
          </w:tcPr>
          <w:p>
            <w:pPr>
              <w:ind w:left="300"/>
              <w:spacing w:after="0"/>
              <w:rPr>
                <w:sz w:val="20"/>
                <w:szCs w:val="20"/>
                <w:color w:val="auto"/>
              </w:rPr>
            </w:pPr>
            <w:r>
              <w:rPr>
                <w:rFonts w:ascii="Arial" w:cs="Arial" w:eastAsia="Arial" w:hAnsi="Arial"/>
                <w:sz w:val="14"/>
                <w:szCs w:val="14"/>
                <w:color w:val="auto"/>
              </w:rPr>
              <w:t>Other liabilities</w:t>
            </w:r>
          </w:p>
        </w:tc>
        <w:tc>
          <w:tcPr>
            <w:tcW w:w="860" w:type="dxa"/>
            <w:vAlign w:val="bottom"/>
          </w:tcPr>
          <w:p>
            <w:pPr>
              <w:spacing w:after="0"/>
              <w:rPr>
                <w:sz w:val="16"/>
                <w:szCs w:val="16"/>
                <w:color w:val="auto"/>
              </w:rPr>
            </w:pPr>
          </w:p>
        </w:tc>
        <w:tc>
          <w:tcPr>
            <w:tcW w:w="540" w:type="dxa"/>
            <w:vAlign w:val="bottom"/>
          </w:tcPr>
          <w:p>
            <w:pPr>
              <w:jc w:val="right"/>
              <w:ind w:right="9"/>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60" w:type="dxa"/>
            <w:vAlign w:val="bottom"/>
          </w:tcPr>
          <w:p>
            <w:pPr>
              <w:jc w:val="right"/>
              <w:ind w:right="28"/>
              <w:spacing w:after="0"/>
              <w:rPr>
                <w:sz w:val="20"/>
                <w:szCs w:val="20"/>
                <w:color w:val="auto"/>
              </w:rPr>
            </w:pPr>
            <w:r>
              <w:rPr>
                <w:rFonts w:ascii="Arial" w:cs="Arial" w:eastAsia="Arial" w:hAnsi="Arial"/>
                <w:sz w:val="14"/>
                <w:szCs w:val="14"/>
                <w:color w:val="auto"/>
              </w:rPr>
              <w:t>16</w:t>
            </w:r>
          </w:p>
        </w:tc>
      </w:tr>
      <w:tr>
        <w:trPr>
          <w:trHeight w:val="23"/>
        </w:trPr>
        <w:tc>
          <w:tcPr>
            <w:tcW w:w="86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16"/>
        </w:trPr>
        <w:tc>
          <w:tcPr>
            <w:tcW w:w="860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4"/>
                <w:szCs w:val="14"/>
                <w:color w:val="auto"/>
              </w:rPr>
              <w:t>Other operating activities, net</w:t>
            </w:r>
          </w:p>
        </w:tc>
        <w:tc>
          <w:tcPr>
            <w:tcW w:w="86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(9)</w:t>
            </w:r>
          </w:p>
        </w:tc>
        <w:tc>
          <w:tcPr>
            <w:tcW w:w="1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w:t>
            </w:r>
          </w:p>
        </w:tc>
      </w:tr>
      <w:tr>
        <w:trPr>
          <w:trHeight w:val="184"/>
        </w:trPr>
        <w:tc>
          <w:tcPr>
            <w:tcW w:w="8600" w:type="dxa"/>
            <w:vAlign w:val="bottom"/>
          </w:tcPr>
          <w:p>
            <w:pPr>
              <w:ind w:left="400"/>
              <w:spacing w:after="0"/>
              <w:rPr>
                <w:sz w:val="20"/>
                <w:szCs w:val="20"/>
                <w:color w:val="auto"/>
              </w:rPr>
            </w:pPr>
            <w:r>
              <w:rPr>
                <w:rFonts w:ascii="Arial" w:cs="Arial" w:eastAsia="Arial" w:hAnsi="Arial"/>
                <w:sz w:val="14"/>
                <w:szCs w:val="14"/>
                <w:color w:val="auto"/>
              </w:rPr>
              <w:t>Net cash provided by operating activities</w:t>
            </w:r>
          </w:p>
        </w:tc>
        <w:tc>
          <w:tcPr>
            <w:tcW w:w="86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595</w:t>
            </w:r>
          </w:p>
        </w:tc>
        <w:tc>
          <w:tcPr>
            <w:tcW w:w="100" w:type="dxa"/>
            <w:vAlign w:val="bottom"/>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788</w:t>
            </w:r>
          </w:p>
        </w:tc>
      </w:tr>
      <w:tr>
        <w:trPr>
          <w:trHeight w:val="23"/>
        </w:trPr>
        <w:tc>
          <w:tcPr>
            <w:tcW w:w="86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r>
      <w:tr>
        <w:trPr>
          <w:trHeight w:val="186"/>
        </w:trPr>
        <w:tc>
          <w:tcPr>
            <w:tcW w:w="8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Investing Activities:</w:t>
            </w:r>
          </w:p>
        </w:tc>
        <w:tc>
          <w:tcPr>
            <w:tcW w:w="86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r>
      <w:tr>
        <w:trPr>
          <w:trHeight w:val="193"/>
        </w:trPr>
        <w:tc>
          <w:tcPr>
            <w:tcW w:w="8600" w:type="dxa"/>
            <w:vAlign w:val="bottom"/>
          </w:tcPr>
          <w:p>
            <w:pPr>
              <w:ind w:left="140"/>
              <w:spacing w:after="0"/>
              <w:rPr>
                <w:sz w:val="20"/>
                <w:szCs w:val="20"/>
                <w:color w:val="auto"/>
              </w:rPr>
            </w:pPr>
            <w:r>
              <w:rPr>
                <w:rFonts w:ascii="Arial" w:cs="Arial" w:eastAsia="Arial" w:hAnsi="Arial"/>
                <w:sz w:val="14"/>
                <w:szCs w:val="14"/>
                <w:color w:val="auto"/>
              </w:rPr>
              <w:t>Capital expenditures</w:t>
            </w:r>
          </w:p>
        </w:tc>
        <w:tc>
          <w:tcPr>
            <w:tcW w:w="860" w:type="dxa"/>
            <w:vAlign w:val="bottom"/>
          </w:tcPr>
          <w:p>
            <w:pPr>
              <w:spacing w:after="0"/>
              <w:rPr>
                <w:sz w:val="16"/>
                <w:szCs w:val="16"/>
                <w:color w:val="auto"/>
              </w:rPr>
            </w:pPr>
          </w:p>
        </w:tc>
        <w:tc>
          <w:tcPr>
            <w:tcW w:w="540" w:type="dxa"/>
            <w:vAlign w:val="bottom"/>
          </w:tcPr>
          <w:p>
            <w:pPr>
              <w:jc w:val="right"/>
              <w:ind w:right="9"/>
              <w:spacing w:after="0"/>
              <w:rPr>
                <w:sz w:val="20"/>
                <w:szCs w:val="20"/>
                <w:color w:val="auto"/>
              </w:rPr>
            </w:pPr>
            <w:r>
              <w:rPr>
                <w:rFonts w:ascii="Arial" w:cs="Arial" w:eastAsia="Arial" w:hAnsi="Arial"/>
                <w:sz w:val="14"/>
                <w:szCs w:val="14"/>
                <w:color w:val="auto"/>
              </w:rPr>
              <w:t>(744)</w:t>
            </w: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(678)</w:t>
            </w:r>
          </w:p>
        </w:tc>
      </w:tr>
      <w:tr>
        <w:trPr>
          <w:trHeight w:val="23"/>
        </w:trPr>
        <w:tc>
          <w:tcPr>
            <w:tcW w:w="86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6"/>
        </w:trPr>
        <w:tc>
          <w:tcPr>
            <w:tcW w:w="86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Increase in notes receivable–affiliated companies</w:t>
            </w:r>
          </w:p>
        </w:tc>
        <w:tc>
          <w:tcPr>
            <w:tcW w:w="86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(772)</w:t>
            </w:r>
          </w:p>
        </w:tc>
        <w:tc>
          <w:tcPr>
            <w:tcW w:w="1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193"/>
        </w:trPr>
        <w:tc>
          <w:tcPr>
            <w:tcW w:w="8600" w:type="dxa"/>
            <w:vAlign w:val="bottom"/>
          </w:tcPr>
          <w:p>
            <w:pPr>
              <w:ind w:left="140"/>
              <w:spacing w:after="0"/>
              <w:rPr>
                <w:sz w:val="20"/>
                <w:szCs w:val="20"/>
                <w:color w:val="auto"/>
              </w:rPr>
            </w:pPr>
            <w:r>
              <w:rPr>
                <w:rFonts w:ascii="Arial" w:cs="Arial" w:eastAsia="Arial" w:hAnsi="Arial"/>
                <w:sz w:val="14"/>
                <w:szCs w:val="14"/>
                <w:color w:val="auto"/>
              </w:rPr>
              <w:t>Other investing activities, net</w:t>
            </w:r>
          </w:p>
        </w:tc>
        <w:tc>
          <w:tcPr>
            <w:tcW w:w="860" w:type="dxa"/>
            <w:vAlign w:val="bottom"/>
          </w:tcPr>
          <w:p>
            <w:pPr>
              <w:spacing w:after="0"/>
              <w:rPr>
                <w:sz w:val="16"/>
                <w:szCs w:val="16"/>
                <w:color w:val="auto"/>
              </w:rPr>
            </w:pPr>
          </w:p>
        </w:tc>
        <w:tc>
          <w:tcPr>
            <w:tcW w:w="540" w:type="dxa"/>
            <w:vAlign w:val="bottom"/>
          </w:tcPr>
          <w:p>
            <w:pPr>
              <w:jc w:val="right"/>
              <w:ind w:right="49"/>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60" w:type="dxa"/>
            <w:vAlign w:val="bottom"/>
          </w:tcPr>
          <w:p>
            <w:pPr>
              <w:jc w:val="right"/>
              <w:ind w:right="28"/>
              <w:spacing w:after="0"/>
              <w:rPr>
                <w:sz w:val="20"/>
                <w:szCs w:val="20"/>
                <w:color w:val="auto"/>
              </w:rPr>
            </w:pPr>
            <w:r>
              <w:rPr>
                <w:rFonts w:ascii="Arial" w:cs="Arial" w:eastAsia="Arial" w:hAnsi="Arial"/>
                <w:sz w:val="14"/>
                <w:szCs w:val="14"/>
                <w:color w:val="auto"/>
              </w:rPr>
              <w:t>15</w:t>
            </w:r>
          </w:p>
        </w:tc>
      </w:tr>
      <w:tr>
        <w:trPr>
          <w:trHeight w:val="23"/>
        </w:trPr>
        <w:tc>
          <w:tcPr>
            <w:tcW w:w="86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r>
      <w:tr>
        <w:trPr>
          <w:trHeight w:val="206"/>
        </w:trPr>
        <w:tc>
          <w:tcPr>
            <w:tcW w:w="860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4"/>
                <w:szCs w:val="14"/>
                <w:color w:val="auto"/>
              </w:rPr>
              <w:t>Net cash used in investing activities</w:t>
            </w:r>
          </w:p>
        </w:tc>
        <w:tc>
          <w:tcPr>
            <w:tcW w:w="86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w w:val="99"/>
              </w:rPr>
              <w:t>(1,504)</w:t>
            </w:r>
          </w:p>
        </w:tc>
        <w:tc>
          <w:tcPr>
            <w:tcW w:w="1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(663)</w:t>
            </w:r>
          </w:p>
        </w:tc>
      </w:tr>
      <w:tr>
        <w:trPr>
          <w:trHeight w:val="184"/>
        </w:trPr>
        <w:tc>
          <w:tcPr>
            <w:tcW w:w="8600" w:type="dxa"/>
            <w:vAlign w:val="bottom"/>
          </w:tcPr>
          <w:p>
            <w:pPr>
              <w:ind w:left="20"/>
              <w:spacing w:after="0"/>
              <w:rPr>
                <w:sz w:val="20"/>
                <w:szCs w:val="20"/>
                <w:color w:val="auto"/>
              </w:rPr>
            </w:pPr>
            <w:r>
              <w:rPr>
                <w:rFonts w:ascii="Arial" w:cs="Arial" w:eastAsia="Arial" w:hAnsi="Arial"/>
                <w:sz w:val="14"/>
                <w:szCs w:val="14"/>
                <w:b w:val="1"/>
                <w:bCs w:val="1"/>
                <w:color w:val="auto"/>
              </w:rPr>
              <w:t>Cash Flows from Financing Activities:</w:t>
            </w:r>
          </w:p>
        </w:tc>
        <w:tc>
          <w:tcPr>
            <w:tcW w:w="86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r>
      <w:tr>
        <w:trPr>
          <w:trHeight w:val="23"/>
        </w:trPr>
        <w:tc>
          <w:tcPr>
            <w:tcW w:w="86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6"/>
        </w:trPr>
        <w:tc>
          <w:tcPr>
            <w:tcW w:w="86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Proceeds from long-term debt, net</w:t>
            </w:r>
          </w:p>
        </w:tc>
        <w:tc>
          <w:tcPr>
            <w:tcW w:w="86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696</w:t>
            </w:r>
          </w:p>
        </w:tc>
        <w:tc>
          <w:tcPr>
            <w:tcW w:w="1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398</w:t>
            </w:r>
          </w:p>
        </w:tc>
      </w:tr>
      <w:tr>
        <w:trPr>
          <w:trHeight w:val="193"/>
        </w:trPr>
        <w:tc>
          <w:tcPr>
            <w:tcW w:w="8600" w:type="dxa"/>
            <w:vAlign w:val="bottom"/>
          </w:tcPr>
          <w:p>
            <w:pPr>
              <w:ind w:left="140"/>
              <w:spacing w:after="0"/>
              <w:rPr>
                <w:sz w:val="20"/>
                <w:szCs w:val="20"/>
                <w:color w:val="auto"/>
              </w:rPr>
            </w:pPr>
            <w:r>
              <w:rPr>
                <w:rFonts w:ascii="Arial" w:cs="Arial" w:eastAsia="Arial" w:hAnsi="Arial"/>
                <w:sz w:val="14"/>
                <w:szCs w:val="14"/>
                <w:color w:val="auto"/>
              </w:rPr>
              <w:t>Payments of long-term debt</w:t>
            </w:r>
          </w:p>
        </w:tc>
        <w:tc>
          <w:tcPr>
            <w:tcW w:w="860" w:type="dxa"/>
            <w:vAlign w:val="bottom"/>
          </w:tcPr>
          <w:p>
            <w:pPr>
              <w:spacing w:after="0"/>
              <w:rPr>
                <w:sz w:val="16"/>
                <w:szCs w:val="16"/>
                <w:color w:val="auto"/>
              </w:rPr>
            </w:pPr>
          </w:p>
        </w:tc>
        <w:tc>
          <w:tcPr>
            <w:tcW w:w="540" w:type="dxa"/>
            <w:vAlign w:val="bottom"/>
          </w:tcPr>
          <w:p>
            <w:pPr>
              <w:jc w:val="right"/>
              <w:ind w:right="9"/>
              <w:spacing w:after="0"/>
              <w:rPr>
                <w:sz w:val="20"/>
                <w:szCs w:val="20"/>
                <w:color w:val="auto"/>
              </w:rPr>
            </w:pPr>
            <w:r>
              <w:rPr>
                <w:rFonts w:ascii="Arial" w:cs="Arial" w:eastAsia="Arial" w:hAnsi="Arial"/>
                <w:sz w:val="14"/>
                <w:szCs w:val="14"/>
                <w:color w:val="auto"/>
              </w:rPr>
              <w:t>(390)</w:t>
            </w: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(368)</w:t>
            </w:r>
          </w:p>
        </w:tc>
      </w:tr>
      <w:tr>
        <w:trPr>
          <w:trHeight w:val="23"/>
        </w:trPr>
        <w:tc>
          <w:tcPr>
            <w:tcW w:w="86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6"/>
        </w:trPr>
        <w:tc>
          <w:tcPr>
            <w:tcW w:w="86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Increase (decrease) in notes payable–affiliated companies</w:t>
            </w:r>
          </w:p>
        </w:tc>
        <w:tc>
          <w:tcPr>
            <w:tcW w:w="86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15</w:t>
            </w:r>
          </w:p>
        </w:tc>
      </w:tr>
      <w:tr>
        <w:trPr>
          <w:trHeight w:val="193"/>
        </w:trPr>
        <w:tc>
          <w:tcPr>
            <w:tcW w:w="8600" w:type="dxa"/>
            <w:vAlign w:val="bottom"/>
          </w:tcPr>
          <w:p>
            <w:pPr>
              <w:ind w:left="140"/>
              <w:spacing w:after="0"/>
              <w:rPr>
                <w:sz w:val="20"/>
                <w:szCs w:val="20"/>
                <w:color w:val="auto"/>
              </w:rPr>
            </w:pPr>
            <w:r>
              <w:rPr>
                <w:rFonts w:ascii="Arial" w:cs="Arial" w:eastAsia="Arial" w:hAnsi="Arial"/>
                <w:sz w:val="14"/>
                <w:szCs w:val="14"/>
                <w:color w:val="auto"/>
              </w:rPr>
              <w:t>Dividend to parent</w:t>
            </w:r>
          </w:p>
        </w:tc>
        <w:tc>
          <w:tcPr>
            <w:tcW w:w="860" w:type="dxa"/>
            <w:vAlign w:val="bottom"/>
          </w:tcPr>
          <w:p>
            <w:pPr>
              <w:spacing w:after="0"/>
              <w:rPr>
                <w:sz w:val="16"/>
                <w:szCs w:val="16"/>
                <w:color w:val="auto"/>
              </w:rPr>
            </w:pPr>
          </w:p>
        </w:tc>
        <w:tc>
          <w:tcPr>
            <w:tcW w:w="540" w:type="dxa"/>
            <w:vAlign w:val="bottom"/>
          </w:tcPr>
          <w:p>
            <w:pPr>
              <w:jc w:val="right"/>
              <w:ind w:right="9"/>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(123)</w:t>
            </w:r>
          </w:p>
        </w:tc>
      </w:tr>
      <w:tr>
        <w:trPr>
          <w:trHeight w:val="23"/>
        </w:trPr>
        <w:tc>
          <w:tcPr>
            <w:tcW w:w="86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6"/>
        </w:trPr>
        <w:tc>
          <w:tcPr>
            <w:tcW w:w="86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Contribution from parent</w:t>
            </w:r>
          </w:p>
        </w:tc>
        <w:tc>
          <w:tcPr>
            <w:tcW w:w="86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590</w:t>
            </w:r>
          </w:p>
        </w:tc>
        <w:tc>
          <w:tcPr>
            <w:tcW w:w="1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193"/>
        </w:trPr>
        <w:tc>
          <w:tcPr>
            <w:tcW w:w="8600" w:type="dxa"/>
            <w:vAlign w:val="bottom"/>
          </w:tcPr>
          <w:p>
            <w:pPr>
              <w:ind w:left="140"/>
              <w:spacing w:after="0"/>
              <w:rPr>
                <w:sz w:val="20"/>
                <w:szCs w:val="20"/>
                <w:color w:val="auto"/>
              </w:rPr>
            </w:pPr>
            <w:r>
              <w:rPr>
                <w:rFonts w:ascii="Arial" w:cs="Arial" w:eastAsia="Arial" w:hAnsi="Arial"/>
                <w:sz w:val="14"/>
                <w:szCs w:val="14"/>
                <w:color w:val="auto"/>
              </w:rPr>
              <w:t>Debt issuance costs</w:t>
            </w:r>
          </w:p>
        </w:tc>
        <w:tc>
          <w:tcPr>
            <w:tcW w:w="860" w:type="dxa"/>
            <w:vAlign w:val="bottom"/>
          </w:tcPr>
          <w:p>
            <w:pPr>
              <w:spacing w:after="0"/>
              <w:rPr>
                <w:sz w:val="16"/>
                <w:szCs w:val="16"/>
                <w:color w:val="auto"/>
              </w:rPr>
            </w:pPr>
          </w:p>
        </w:tc>
        <w:tc>
          <w:tcPr>
            <w:tcW w:w="540" w:type="dxa"/>
            <w:vAlign w:val="bottom"/>
          </w:tcPr>
          <w:p>
            <w:pPr>
              <w:jc w:val="right"/>
              <w:ind w:right="9"/>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(4)</w:t>
            </w:r>
          </w:p>
        </w:tc>
      </w:tr>
      <w:tr>
        <w:trPr>
          <w:trHeight w:val="23"/>
        </w:trPr>
        <w:tc>
          <w:tcPr>
            <w:tcW w:w="86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16"/>
        </w:trPr>
        <w:tc>
          <w:tcPr>
            <w:tcW w:w="860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4"/>
                <w:szCs w:val="14"/>
                <w:color w:val="auto"/>
              </w:rPr>
              <w:t>Other financing activities, net</w:t>
            </w:r>
          </w:p>
        </w:tc>
        <w:tc>
          <w:tcPr>
            <w:tcW w:w="86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184"/>
        </w:trPr>
        <w:tc>
          <w:tcPr>
            <w:tcW w:w="8600" w:type="dxa"/>
            <w:vAlign w:val="bottom"/>
          </w:tcPr>
          <w:p>
            <w:pPr>
              <w:ind w:left="400"/>
              <w:spacing w:after="0"/>
              <w:rPr>
                <w:sz w:val="20"/>
                <w:szCs w:val="20"/>
                <w:color w:val="auto"/>
              </w:rPr>
            </w:pPr>
            <w:r>
              <w:rPr>
                <w:rFonts w:ascii="Arial" w:cs="Arial" w:eastAsia="Arial" w:hAnsi="Arial"/>
                <w:sz w:val="14"/>
                <w:szCs w:val="14"/>
                <w:color w:val="auto"/>
              </w:rPr>
              <w:t>Net cash provided by (used in) financing activities</w:t>
            </w:r>
          </w:p>
        </w:tc>
        <w:tc>
          <w:tcPr>
            <w:tcW w:w="86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786</w:t>
            </w:r>
          </w:p>
        </w:tc>
        <w:tc>
          <w:tcPr>
            <w:tcW w:w="100" w:type="dxa"/>
            <w:vAlign w:val="bottom"/>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(82)</w:t>
            </w:r>
          </w:p>
        </w:tc>
      </w:tr>
      <w:tr>
        <w:trPr>
          <w:trHeight w:val="23"/>
        </w:trPr>
        <w:tc>
          <w:tcPr>
            <w:tcW w:w="86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r>
      <w:tr>
        <w:trPr>
          <w:trHeight w:val="186"/>
        </w:trPr>
        <w:tc>
          <w:tcPr>
            <w:tcW w:w="8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Net Increase (Decrease) in Cash, Cash Equivalents and Restricted Cash</w:t>
            </w:r>
          </w:p>
        </w:tc>
        <w:tc>
          <w:tcPr>
            <w:tcW w:w="86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(123)</w:t>
            </w:r>
          </w:p>
        </w:tc>
        <w:tc>
          <w:tcPr>
            <w:tcW w:w="10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43</w:t>
            </w:r>
          </w:p>
        </w:tc>
      </w:tr>
      <w:tr>
        <w:trPr>
          <w:trHeight w:val="193"/>
        </w:trPr>
        <w:tc>
          <w:tcPr>
            <w:tcW w:w="8600" w:type="dxa"/>
            <w:vAlign w:val="bottom"/>
          </w:tcPr>
          <w:p>
            <w:pPr>
              <w:ind w:left="20"/>
              <w:spacing w:after="0"/>
              <w:rPr>
                <w:sz w:val="20"/>
                <w:szCs w:val="20"/>
                <w:color w:val="auto"/>
              </w:rPr>
            </w:pPr>
            <w:r>
              <w:rPr>
                <w:rFonts w:ascii="Arial" w:cs="Arial" w:eastAsia="Arial" w:hAnsi="Arial"/>
                <w:sz w:val="14"/>
                <w:szCs w:val="14"/>
                <w:b w:val="1"/>
                <w:bCs w:val="1"/>
                <w:color w:val="auto"/>
              </w:rPr>
              <w:t>Cash, Cash Equivalents and Restricted Cash at Beginning of Period</w:t>
            </w:r>
          </w:p>
        </w:tc>
        <w:tc>
          <w:tcPr>
            <w:tcW w:w="860" w:type="dxa"/>
            <w:vAlign w:val="bottom"/>
          </w:tcPr>
          <w:p>
            <w:pPr>
              <w:spacing w:after="0"/>
              <w:rPr>
                <w:sz w:val="16"/>
                <w:szCs w:val="16"/>
                <w:color w:val="auto"/>
              </w:rPr>
            </w:pPr>
          </w:p>
        </w:tc>
        <w:tc>
          <w:tcPr>
            <w:tcW w:w="540" w:type="dxa"/>
            <w:vAlign w:val="bottom"/>
          </w:tcPr>
          <w:p>
            <w:pPr>
              <w:jc w:val="right"/>
              <w:ind w:right="49"/>
              <w:spacing w:after="0"/>
              <w:rPr>
                <w:sz w:val="20"/>
                <w:szCs w:val="20"/>
                <w:color w:val="auto"/>
              </w:rPr>
            </w:pPr>
            <w:r>
              <w:rPr>
                <w:rFonts w:ascii="Arial" w:cs="Arial" w:eastAsia="Arial" w:hAnsi="Arial"/>
                <w:sz w:val="14"/>
                <w:szCs w:val="14"/>
                <w:color w:val="auto"/>
              </w:rPr>
              <w:t>370</w:t>
            </w: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60" w:type="dxa"/>
            <w:vAlign w:val="bottom"/>
          </w:tcPr>
          <w:p>
            <w:pPr>
              <w:jc w:val="right"/>
              <w:ind w:right="28"/>
              <w:spacing w:after="0"/>
              <w:rPr>
                <w:sz w:val="20"/>
                <w:szCs w:val="20"/>
                <w:color w:val="auto"/>
              </w:rPr>
            </w:pPr>
            <w:r>
              <w:rPr>
                <w:rFonts w:ascii="Arial" w:cs="Arial" w:eastAsia="Arial" w:hAnsi="Arial"/>
                <w:sz w:val="14"/>
                <w:szCs w:val="14"/>
                <w:color w:val="auto"/>
              </w:rPr>
              <w:t>274</w:t>
            </w:r>
          </w:p>
        </w:tc>
      </w:tr>
      <w:tr>
        <w:trPr>
          <w:trHeight w:val="23"/>
        </w:trPr>
        <w:tc>
          <w:tcPr>
            <w:tcW w:w="86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r>
      <w:tr>
        <w:trPr>
          <w:trHeight w:val="200"/>
        </w:trPr>
        <w:tc>
          <w:tcPr>
            <w:tcW w:w="8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Cash, Cash Equivalents and Restricted Cash at End of Period</w:t>
            </w:r>
          </w:p>
        </w:tc>
        <w:tc>
          <w:tcPr>
            <w:tcW w:w="860" w:type="dxa"/>
            <w:vAlign w:val="bottom"/>
            <w:tcBorders>
              <w:bottom w:val="single" w:sz="8" w:color="auto"/>
            </w:tcBorders>
            <w:shd w:val="clear" w:color="auto" w:fill="CCEEFF"/>
          </w:tcPr>
          <w:p>
            <w:pPr>
              <w:jc w:val="right"/>
              <w:ind w:right="695"/>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247</w:t>
            </w:r>
          </w:p>
        </w:tc>
        <w:tc>
          <w:tcPr>
            <w:tcW w:w="1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733"/>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317</w:t>
            </w:r>
          </w:p>
        </w:tc>
      </w:tr>
      <w:tr>
        <w:trPr>
          <w:trHeight w:val="20"/>
        </w:trPr>
        <w:tc>
          <w:tcPr>
            <w:tcW w:w="86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r>
    </w:tbl>
    <w:p>
      <w:pPr>
        <w:spacing w:after="0" w:line="16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Combined Notes to Unaudited Condensed Consolidated Financial Statements</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ectPr>
          <w:pgSz w:w="11900" w:h="16838" w:orient="portrait"/>
          <w:cols w:equalWidth="0" w:num="1">
            <w:col w:w="11460"/>
          </w:cols>
          <w:pgMar w:left="220" w:top="129" w:right="219" w:bottom="1440" w:gutter="0" w:footer="0" w:header="0"/>
        </w:sectPr>
      </w:pPr>
    </w:p>
    <w:bookmarkStart w:id="21" w:name="page22"/>
    <w:bookmarkEnd w:id="21"/>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2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CENTERPOINT ENERGY HOUSTON ELECTRIC, LLC AND SUBSIDIARIES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(AN INDIRECT, WHOLLY-OWNED SUBSIDIARY OF CENTERPOINT ENERGY,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CONDENSED STATEMENTS OF CONSOLIDATED CHANGES IN EQUITY</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4260" w:type="dxa"/>
            <w:vAlign w:val="bottom"/>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000" w:type="dxa"/>
            <w:vAlign w:val="bottom"/>
            <w:tcBorders>
              <w:bottom w:val="single" w:sz="8" w:color="auto"/>
            </w:tcBorders>
            <w:gridSpan w:val="7"/>
          </w:tcPr>
          <w:p>
            <w:pPr>
              <w:jc w:val="right"/>
              <w:ind w:right="163"/>
              <w:spacing w:after="0"/>
              <w:rPr>
                <w:sz w:val="20"/>
                <w:szCs w:val="20"/>
                <w:color w:val="auto"/>
              </w:rPr>
            </w:pPr>
            <w:r>
              <w:rPr>
                <w:rFonts w:ascii="Arial" w:cs="Arial" w:eastAsia="Arial" w:hAnsi="Arial"/>
                <w:sz w:val="11"/>
                <w:szCs w:val="11"/>
                <w:b w:val="1"/>
                <w:bCs w:val="1"/>
                <w:color w:val="auto"/>
                <w:w w:val="94"/>
              </w:rPr>
              <w:t>Three Months Ended September 30,</w:t>
            </w:r>
          </w:p>
        </w:tc>
        <w:tc>
          <w:tcPr>
            <w:tcW w:w="68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040" w:type="dxa"/>
            <w:vAlign w:val="bottom"/>
            <w:tcBorders>
              <w:bottom w:val="single" w:sz="8" w:color="auto"/>
            </w:tcBorders>
            <w:gridSpan w:val="8"/>
          </w:tcPr>
          <w:p>
            <w:pPr>
              <w:jc w:val="right"/>
              <w:ind w:right="183"/>
              <w:spacing w:after="0"/>
              <w:rPr>
                <w:sz w:val="20"/>
                <w:szCs w:val="20"/>
                <w:color w:val="auto"/>
              </w:rPr>
            </w:pPr>
            <w:r>
              <w:rPr>
                <w:rFonts w:ascii="Arial" w:cs="Arial" w:eastAsia="Arial" w:hAnsi="Arial"/>
                <w:sz w:val="11"/>
                <w:szCs w:val="11"/>
                <w:b w:val="1"/>
                <w:bCs w:val="1"/>
                <w:color w:val="auto"/>
                <w:w w:val="98"/>
              </w:rPr>
              <w:t>Nine Months Ended September 30,</w:t>
            </w:r>
          </w:p>
        </w:tc>
        <w:tc>
          <w:tcPr>
            <w:tcW w:w="640" w:type="dxa"/>
            <w:vAlign w:val="bottom"/>
            <w:tcBorders>
              <w:bottom w:val="single" w:sz="8" w:color="auto"/>
            </w:tcBorders>
          </w:tcPr>
          <w:p>
            <w:pPr>
              <w:spacing w:after="0"/>
              <w:rPr>
                <w:sz w:val="13"/>
                <w:szCs w:val="13"/>
                <w:color w:val="auto"/>
              </w:rPr>
            </w:pPr>
          </w:p>
        </w:tc>
      </w:tr>
      <w:tr>
        <w:trPr>
          <w:trHeight w:val="206"/>
        </w:trPr>
        <w:tc>
          <w:tcPr>
            <w:tcW w:w="4260" w:type="dxa"/>
            <w:vAlign w:val="bottom"/>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gridSpan w:val="3"/>
          </w:tcPr>
          <w:p>
            <w:pPr>
              <w:jc w:val="right"/>
              <w:ind w:right="3"/>
              <w:spacing w:after="0"/>
              <w:rPr>
                <w:sz w:val="20"/>
                <w:szCs w:val="20"/>
                <w:color w:val="auto"/>
              </w:rPr>
            </w:pPr>
            <w:r>
              <w:rPr>
                <w:rFonts w:ascii="Arial" w:cs="Arial" w:eastAsia="Arial" w:hAnsi="Arial"/>
                <w:sz w:val="11"/>
                <w:szCs w:val="11"/>
                <w:b w:val="1"/>
                <w:bCs w:val="1"/>
                <w:color w:val="auto"/>
              </w:rPr>
              <w:t>2019</w:t>
            </w:r>
          </w:p>
        </w:tc>
        <w:tc>
          <w:tcPr>
            <w:tcW w:w="6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gridSpan w:val="3"/>
          </w:tcPr>
          <w:p>
            <w:pPr>
              <w:jc w:val="right"/>
              <w:ind w:right="3"/>
              <w:spacing w:after="0"/>
              <w:rPr>
                <w:sz w:val="20"/>
                <w:szCs w:val="20"/>
                <w:color w:val="auto"/>
              </w:rPr>
            </w:pPr>
            <w:r>
              <w:rPr>
                <w:rFonts w:ascii="Arial" w:cs="Arial" w:eastAsia="Arial" w:hAnsi="Arial"/>
                <w:sz w:val="11"/>
                <w:szCs w:val="11"/>
                <w:b w:val="1"/>
                <w:bCs w:val="1"/>
                <w:color w:val="auto"/>
              </w:rPr>
              <w:t>2018</w:t>
            </w:r>
          </w:p>
        </w:tc>
        <w:tc>
          <w:tcPr>
            <w:tcW w:w="6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gridSpan w:val="3"/>
          </w:tcPr>
          <w:p>
            <w:pPr>
              <w:jc w:val="right"/>
              <w:ind w:right="3"/>
              <w:spacing w:after="0"/>
              <w:rPr>
                <w:sz w:val="20"/>
                <w:szCs w:val="20"/>
                <w:color w:val="auto"/>
              </w:rPr>
            </w:pPr>
            <w:r>
              <w:rPr>
                <w:rFonts w:ascii="Arial" w:cs="Arial" w:eastAsia="Arial" w:hAnsi="Arial"/>
                <w:sz w:val="11"/>
                <w:szCs w:val="11"/>
                <w:b w:val="1"/>
                <w:bCs w:val="1"/>
                <w:color w:val="auto"/>
                <w:w w:val="89"/>
              </w:rPr>
              <w:t>2019</w:t>
            </w:r>
          </w:p>
        </w:tc>
        <w:tc>
          <w:tcPr>
            <w:tcW w:w="6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gridSpan w:val="3"/>
          </w:tcPr>
          <w:p>
            <w:pPr>
              <w:jc w:val="right"/>
              <w:ind w:right="23"/>
              <w:spacing w:after="0"/>
              <w:rPr>
                <w:sz w:val="20"/>
                <w:szCs w:val="20"/>
                <w:color w:val="auto"/>
              </w:rPr>
            </w:pPr>
            <w:r>
              <w:rPr>
                <w:rFonts w:ascii="Arial" w:cs="Arial" w:eastAsia="Arial" w:hAnsi="Arial"/>
                <w:sz w:val="11"/>
                <w:szCs w:val="11"/>
                <w:b w:val="1"/>
                <w:bCs w:val="1"/>
                <w:color w:val="auto"/>
                <w:w w:val="97"/>
              </w:rPr>
              <w:t>2018</w:t>
            </w:r>
          </w:p>
        </w:tc>
        <w:tc>
          <w:tcPr>
            <w:tcW w:w="640" w:type="dxa"/>
            <w:vAlign w:val="bottom"/>
            <w:tcBorders>
              <w:bottom w:val="single" w:sz="8" w:color="auto"/>
            </w:tcBorders>
          </w:tcPr>
          <w:p>
            <w:pPr>
              <w:spacing w:after="0"/>
              <w:rPr>
                <w:sz w:val="17"/>
                <w:szCs w:val="17"/>
                <w:color w:val="auto"/>
              </w:rPr>
            </w:pPr>
          </w:p>
        </w:tc>
      </w:tr>
      <w:tr>
        <w:trPr>
          <w:trHeight w:val="206"/>
        </w:trPr>
        <w:tc>
          <w:tcPr>
            <w:tcW w:w="4260" w:type="dxa"/>
            <w:vAlign w:val="bottom"/>
          </w:tcPr>
          <w:p>
            <w:pPr>
              <w:spacing w:after="0"/>
              <w:rPr>
                <w:sz w:val="17"/>
                <w:szCs w:val="17"/>
                <w:color w:val="auto"/>
              </w:rPr>
            </w:pPr>
          </w:p>
        </w:tc>
        <w:tc>
          <w:tcPr>
            <w:tcW w:w="72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b w:val="1"/>
                <w:bCs w:val="1"/>
                <w:color w:val="auto"/>
              </w:rPr>
              <w:t>Shares</w:t>
            </w: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63"/>
              <w:spacing w:after="0"/>
              <w:rPr>
                <w:sz w:val="20"/>
                <w:szCs w:val="20"/>
                <w:color w:val="auto"/>
              </w:rPr>
            </w:pPr>
            <w:r>
              <w:rPr>
                <w:rFonts w:ascii="Arial" w:cs="Arial" w:eastAsia="Arial" w:hAnsi="Arial"/>
                <w:sz w:val="11"/>
                <w:szCs w:val="11"/>
                <w:b w:val="1"/>
                <w:bCs w:val="1"/>
                <w:color w:val="auto"/>
              </w:rPr>
              <w:t>Amount</w:t>
            </w: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b w:val="1"/>
                <w:bCs w:val="1"/>
                <w:color w:val="auto"/>
              </w:rPr>
              <w:t>Shares</w:t>
            </w: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43"/>
              <w:spacing w:after="0"/>
              <w:rPr>
                <w:sz w:val="20"/>
                <w:szCs w:val="20"/>
                <w:color w:val="auto"/>
              </w:rPr>
            </w:pPr>
            <w:r>
              <w:rPr>
                <w:rFonts w:ascii="Arial" w:cs="Arial" w:eastAsia="Arial" w:hAnsi="Arial"/>
                <w:sz w:val="11"/>
                <w:szCs w:val="11"/>
                <w:b w:val="1"/>
                <w:bCs w:val="1"/>
                <w:color w:val="auto"/>
              </w:rPr>
              <w:t>Amount</w:t>
            </w: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23"/>
              <w:spacing w:after="0"/>
              <w:rPr>
                <w:sz w:val="20"/>
                <w:szCs w:val="20"/>
                <w:color w:val="auto"/>
              </w:rPr>
            </w:pPr>
            <w:r>
              <w:rPr>
                <w:rFonts w:ascii="Arial" w:cs="Arial" w:eastAsia="Arial" w:hAnsi="Arial"/>
                <w:sz w:val="11"/>
                <w:szCs w:val="11"/>
                <w:b w:val="1"/>
                <w:bCs w:val="1"/>
                <w:color w:val="auto"/>
              </w:rPr>
              <w:t>Shares</w:t>
            </w: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43"/>
              <w:spacing w:after="0"/>
              <w:rPr>
                <w:sz w:val="20"/>
                <w:szCs w:val="20"/>
                <w:color w:val="auto"/>
              </w:rPr>
            </w:pPr>
            <w:r>
              <w:rPr>
                <w:rFonts w:ascii="Arial" w:cs="Arial" w:eastAsia="Arial" w:hAnsi="Arial"/>
                <w:sz w:val="11"/>
                <w:szCs w:val="11"/>
                <w:b w:val="1"/>
                <w:bCs w:val="1"/>
                <w:color w:val="auto"/>
              </w:rPr>
              <w:t>Amount</w:t>
            </w:r>
          </w:p>
        </w:tc>
        <w:tc>
          <w:tcPr>
            <w:tcW w:w="1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b w:val="1"/>
                <w:bCs w:val="1"/>
                <w:color w:val="auto"/>
              </w:rPr>
              <w:t>Shares</w:t>
            </w: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43"/>
              <w:spacing w:after="0"/>
              <w:rPr>
                <w:sz w:val="20"/>
                <w:szCs w:val="20"/>
                <w:color w:val="auto"/>
              </w:rPr>
            </w:pPr>
            <w:r>
              <w:rPr>
                <w:rFonts w:ascii="Arial" w:cs="Arial" w:eastAsia="Arial" w:hAnsi="Arial"/>
                <w:sz w:val="11"/>
                <w:szCs w:val="11"/>
                <w:b w:val="1"/>
                <w:bCs w:val="1"/>
                <w:color w:val="auto"/>
              </w:rPr>
              <w:t>Amount</w:t>
            </w:r>
          </w:p>
        </w:tc>
      </w:tr>
      <w:tr>
        <w:trPr>
          <w:trHeight w:val="148"/>
        </w:trPr>
        <w:tc>
          <w:tcPr>
            <w:tcW w:w="4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0" w:type="dxa"/>
            <w:vAlign w:val="bottom"/>
            <w:gridSpan w:val="5"/>
          </w:tcPr>
          <w:p>
            <w:pPr>
              <w:jc w:val="right"/>
              <w:spacing w:after="0"/>
              <w:rPr>
                <w:sz w:val="20"/>
                <w:szCs w:val="20"/>
                <w:color w:val="auto"/>
              </w:rPr>
            </w:pPr>
            <w:r>
              <w:rPr>
                <w:rFonts w:ascii="Arial" w:cs="Arial" w:eastAsia="Arial" w:hAnsi="Arial"/>
                <w:sz w:val="11"/>
                <w:szCs w:val="11"/>
                <w:b w:val="1"/>
                <w:bCs w:val="1"/>
                <w:color w:val="auto"/>
                <w:w w:val="96"/>
              </w:rPr>
              <w:t>(in millions, except share amounts)</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r>
      <w:tr>
        <w:trPr>
          <w:trHeight w:val="220"/>
        </w:trPr>
        <w:tc>
          <w:tcPr>
            <w:tcW w:w="4260" w:type="dxa"/>
            <w:vAlign w:val="bottom"/>
          </w:tcPr>
          <w:p>
            <w:pPr>
              <w:ind w:left="20"/>
              <w:spacing w:after="0"/>
              <w:rPr>
                <w:sz w:val="20"/>
                <w:szCs w:val="20"/>
                <w:color w:val="auto"/>
              </w:rPr>
            </w:pPr>
            <w:r>
              <w:rPr>
                <w:rFonts w:ascii="Arial" w:cs="Arial" w:eastAsia="Arial" w:hAnsi="Arial"/>
                <w:sz w:val="11"/>
                <w:szCs w:val="11"/>
                <w:b w:val="1"/>
                <w:bCs w:val="1"/>
                <w:color w:val="auto"/>
              </w:rPr>
              <w:t>Common Stock</w:t>
            </w: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16"/>
        </w:trPr>
        <w:tc>
          <w:tcPr>
            <w:tcW w:w="4260" w:type="dxa"/>
            <w:vAlign w:val="bottom"/>
            <w:shd w:val="clear" w:color="auto" w:fill="CCEEFF"/>
          </w:tcPr>
          <w:p>
            <w:pPr>
              <w:ind w:left="140"/>
              <w:spacing w:after="0"/>
              <w:rPr>
                <w:sz w:val="20"/>
                <w:szCs w:val="20"/>
                <w:color w:val="auto"/>
              </w:rPr>
            </w:pPr>
            <w:r>
              <w:rPr>
                <w:rFonts w:ascii="Arial" w:cs="Arial" w:eastAsia="Arial" w:hAnsi="Arial"/>
                <w:sz w:val="11"/>
                <w:szCs w:val="11"/>
                <w:color w:val="auto"/>
              </w:rPr>
              <w:t>Balance, beginning of period</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1,000</w:t>
            </w:r>
          </w:p>
        </w:tc>
        <w:tc>
          <w:tcPr>
            <w:tcW w:w="8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w w:val="97"/>
              </w:rPr>
              <w:t>$</w:t>
            </w:r>
          </w:p>
        </w:tc>
        <w:tc>
          <w:tcPr>
            <w:tcW w:w="68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1,000</w:t>
            </w:r>
          </w:p>
        </w:tc>
        <w:tc>
          <w:tcPr>
            <w:tcW w:w="8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w w:val="97"/>
              </w:rPr>
              <w:t>$</w:t>
            </w:r>
          </w:p>
        </w:tc>
        <w:tc>
          <w:tcPr>
            <w:tcW w:w="68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1,000</w:t>
            </w:r>
          </w:p>
        </w:tc>
        <w:tc>
          <w:tcPr>
            <w:tcW w:w="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w w:val="97"/>
              </w:rPr>
              <w:t>$</w:t>
            </w:r>
          </w:p>
        </w:tc>
        <w:tc>
          <w:tcPr>
            <w:tcW w:w="66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1,000</w:t>
            </w:r>
          </w:p>
        </w:tc>
        <w:tc>
          <w:tcPr>
            <w:tcW w:w="8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w w:val="97"/>
              </w:rPr>
              <w:t>$</w:t>
            </w:r>
          </w:p>
        </w:tc>
        <w:tc>
          <w:tcPr>
            <w:tcW w:w="64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1"/>
                <w:szCs w:val="11"/>
                <w:color w:val="auto"/>
              </w:rPr>
              <w:t>—</w:t>
            </w:r>
          </w:p>
        </w:tc>
      </w:tr>
      <w:tr>
        <w:trPr>
          <w:trHeight w:val="196"/>
        </w:trPr>
        <w:tc>
          <w:tcPr>
            <w:tcW w:w="4260" w:type="dxa"/>
            <w:vAlign w:val="bottom"/>
          </w:tcPr>
          <w:p>
            <w:pPr>
              <w:ind w:left="140"/>
              <w:spacing w:after="0"/>
              <w:rPr>
                <w:sz w:val="20"/>
                <w:szCs w:val="20"/>
                <w:color w:val="auto"/>
              </w:rPr>
            </w:pPr>
            <w:r>
              <w:rPr>
                <w:rFonts w:ascii="Arial" w:cs="Arial" w:eastAsia="Arial" w:hAnsi="Arial"/>
                <w:sz w:val="11"/>
                <w:szCs w:val="11"/>
                <w:color w:val="auto"/>
              </w:rPr>
              <w:t>Balance, end of period</w:t>
            </w:r>
          </w:p>
        </w:tc>
        <w:tc>
          <w:tcPr>
            <w:tcW w:w="720" w:type="dxa"/>
            <w:vAlign w:val="bottom"/>
          </w:tcPr>
          <w:p>
            <w:pPr>
              <w:jc w:val="right"/>
              <w:spacing w:after="0"/>
              <w:rPr>
                <w:sz w:val="20"/>
                <w:szCs w:val="20"/>
                <w:color w:val="auto"/>
              </w:rPr>
            </w:pPr>
            <w:r>
              <w:rPr>
                <w:rFonts w:ascii="Arial" w:cs="Arial" w:eastAsia="Arial" w:hAnsi="Arial"/>
                <w:sz w:val="11"/>
                <w:szCs w:val="11"/>
                <w:color w:val="auto"/>
              </w:rPr>
              <w:t>1,000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ind w:right="63"/>
              <w:spacing w:after="0"/>
              <w:rPr>
                <w:sz w:val="20"/>
                <w:szCs w:val="20"/>
                <w:color w:val="auto"/>
              </w:rPr>
            </w:pPr>
            <w:r>
              <w:rPr>
                <w:rFonts w:ascii="Arial" w:cs="Arial" w:eastAsia="Arial" w:hAnsi="Arial"/>
                <w:sz w:val="11"/>
                <w:szCs w:val="11"/>
                <w:color w:val="auto"/>
              </w:rPr>
              <w:t>—</w:t>
            </w:r>
          </w:p>
        </w:tc>
        <w:tc>
          <w:tcPr>
            <w:tcW w:w="840" w:type="dxa"/>
            <w:vAlign w:val="bottom"/>
            <w:gridSpan w:val="2"/>
          </w:tcPr>
          <w:p>
            <w:pPr>
              <w:jc w:val="right"/>
              <w:spacing w:after="0"/>
              <w:rPr>
                <w:sz w:val="20"/>
                <w:szCs w:val="20"/>
                <w:color w:val="auto"/>
              </w:rPr>
            </w:pPr>
            <w:r>
              <w:rPr>
                <w:rFonts w:ascii="Arial" w:cs="Arial" w:eastAsia="Arial" w:hAnsi="Arial"/>
                <w:sz w:val="11"/>
                <w:szCs w:val="11"/>
                <w:color w:val="auto"/>
              </w:rPr>
              <w:t>1,000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ind w:right="63"/>
              <w:spacing w:after="0"/>
              <w:rPr>
                <w:sz w:val="20"/>
                <w:szCs w:val="20"/>
                <w:color w:val="auto"/>
              </w:rPr>
            </w:pPr>
            <w:r>
              <w:rPr>
                <w:rFonts w:ascii="Arial" w:cs="Arial" w:eastAsia="Arial" w:hAnsi="Arial"/>
                <w:sz w:val="11"/>
                <w:szCs w:val="11"/>
                <w:color w:val="auto"/>
              </w:rPr>
              <w:t>—</w:t>
            </w:r>
          </w:p>
        </w:tc>
        <w:tc>
          <w:tcPr>
            <w:tcW w:w="860" w:type="dxa"/>
            <w:vAlign w:val="bottom"/>
            <w:gridSpan w:val="2"/>
          </w:tcPr>
          <w:p>
            <w:pPr>
              <w:jc w:val="right"/>
              <w:spacing w:after="0"/>
              <w:rPr>
                <w:sz w:val="20"/>
                <w:szCs w:val="20"/>
                <w:color w:val="auto"/>
              </w:rPr>
            </w:pPr>
            <w:r>
              <w:rPr>
                <w:rFonts w:ascii="Arial" w:cs="Arial" w:eastAsia="Arial" w:hAnsi="Arial"/>
                <w:sz w:val="11"/>
                <w:szCs w:val="11"/>
                <w:color w:val="auto"/>
              </w:rPr>
              <w:t>1,000</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jc w:val="right"/>
              <w:ind w:right="63"/>
              <w:spacing w:after="0"/>
              <w:rPr>
                <w:sz w:val="20"/>
                <w:szCs w:val="20"/>
                <w:color w:val="auto"/>
              </w:rPr>
            </w:pPr>
            <w:r>
              <w:rPr>
                <w:rFonts w:ascii="Arial" w:cs="Arial" w:eastAsia="Arial" w:hAnsi="Arial"/>
                <w:sz w:val="11"/>
                <w:szCs w:val="11"/>
                <w:color w:val="auto"/>
              </w:rPr>
              <w:t>—</w:t>
            </w:r>
          </w:p>
        </w:tc>
        <w:tc>
          <w:tcPr>
            <w:tcW w:w="800" w:type="dxa"/>
            <w:vAlign w:val="bottom"/>
            <w:gridSpan w:val="2"/>
          </w:tcPr>
          <w:p>
            <w:pPr>
              <w:jc w:val="right"/>
              <w:spacing w:after="0"/>
              <w:rPr>
                <w:sz w:val="20"/>
                <w:szCs w:val="20"/>
                <w:color w:val="auto"/>
              </w:rPr>
            </w:pPr>
            <w:r>
              <w:rPr>
                <w:rFonts w:ascii="Arial" w:cs="Arial" w:eastAsia="Arial" w:hAnsi="Arial"/>
                <w:sz w:val="11"/>
                <w:szCs w:val="11"/>
                <w:color w:val="auto"/>
              </w:rPr>
              <w:t>1,000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ind w:right="43"/>
              <w:spacing w:after="0"/>
              <w:rPr>
                <w:sz w:val="20"/>
                <w:szCs w:val="20"/>
                <w:color w:val="auto"/>
              </w:rPr>
            </w:pPr>
            <w:r>
              <w:rPr>
                <w:rFonts w:ascii="Arial" w:cs="Arial" w:eastAsia="Arial" w:hAnsi="Arial"/>
                <w:sz w:val="11"/>
                <w:szCs w:val="11"/>
                <w:color w:val="auto"/>
              </w:rPr>
              <w:t>—</w:t>
            </w:r>
          </w:p>
        </w:tc>
      </w:tr>
      <w:tr>
        <w:trPr>
          <w:trHeight w:val="211"/>
        </w:trPr>
        <w:tc>
          <w:tcPr>
            <w:tcW w:w="4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Additional Paid-in-Capital</w:t>
            </w:r>
          </w:p>
        </w:tc>
        <w:tc>
          <w:tcPr>
            <w:tcW w:w="7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r>
      <w:tr>
        <w:trPr>
          <w:trHeight w:val="211"/>
        </w:trPr>
        <w:tc>
          <w:tcPr>
            <w:tcW w:w="4260" w:type="dxa"/>
            <w:vAlign w:val="bottom"/>
          </w:tcPr>
          <w:p>
            <w:pPr>
              <w:ind w:left="140"/>
              <w:spacing w:after="0"/>
              <w:rPr>
                <w:sz w:val="20"/>
                <w:szCs w:val="20"/>
                <w:color w:val="auto"/>
              </w:rPr>
            </w:pPr>
            <w:r>
              <w:rPr>
                <w:rFonts w:ascii="Arial" w:cs="Arial" w:eastAsia="Arial" w:hAnsi="Arial"/>
                <w:sz w:val="11"/>
                <w:szCs w:val="11"/>
                <w:color w:val="auto"/>
              </w:rPr>
              <w:t>Balance, beginning of period</w:t>
            </w: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ind w:right="63"/>
              <w:spacing w:after="0"/>
              <w:rPr>
                <w:sz w:val="20"/>
                <w:szCs w:val="20"/>
                <w:color w:val="auto"/>
              </w:rPr>
            </w:pPr>
            <w:r>
              <w:rPr>
                <w:rFonts w:ascii="Arial" w:cs="Arial" w:eastAsia="Arial" w:hAnsi="Arial"/>
                <w:sz w:val="11"/>
                <w:szCs w:val="11"/>
                <w:color w:val="auto"/>
              </w:rPr>
              <w:t>2,486</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ind w:right="63"/>
              <w:spacing w:after="0"/>
              <w:rPr>
                <w:sz w:val="20"/>
                <w:szCs w:val="20"/>
                <w:color w:val="auto"/>
              </w:rPr>
            </w:pPr>
            <w:r>
              <w:rPr>
                <w:rFonts w:ascii="Arial" w:cs="Arial" w:eastAsia="Arial" w:hAnsi="Arial"/>
                <w:sz w:val="11"/>
                <w:szCs w:val="11"/>
                <w:color w:val="auto"/>
              </w:rPr>
              <w:t>1,697</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ind w:right="63"/>
              <w:spacing w:after="0"/>
              <w:rPr>
                <w:sz w:val="20"/>
                <w:szCs w:val="20"/>
                <w:color w:val="auto"/>
              </w:rPr>
            </w:pPr>
            <w:r>
              <w:rPr>
                <w:rFonts w:ascii="Arial" w:cs="Arial" w:eastAsia="Arial" w:hAnsi="Arial"/>
                <w:sz w:val="11"/>
                <w:szCs w:val="11"/>
                <w:color w:val="auto"/>
              </w:rPr>
              <w:t>1,896</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ind w:right="43"/>
              <w:spacing w:after="0"/>
              <w:rPr>
                <w:sz w:val="20"/>
                <w:szCs w:val="20"/>
                <w:color w:val="auto"/>
              </w:rPr>
            </w:pPr>
            <w:r>
              <w:rPr>
                <w:rFonts w:ascii="Arial" w:cs="Arial" w:eastAsia="Arial" w:hAnsi="Arial"/>
                <w:sz w:val="11"/>
                <w:szCs w:val="11"/>
                <w:color w:val="auto"/>
              </w:rPr>
              <w:t>1,696</w:t>
            </w:r>
          </w:p>
        </w:tc>
      </w:tr>
      <w:tr>
        <w:trPr>
          <w:trHeight w:val="220"/>
        </w:trPr>
        <w:tc>
          <w:tcPr>
            <w:tcW w:w="4260" w:type="dxa"/>
            <w:vAlign w:val="bottom"/>
            <w:shd w:val="clear" w:color="auto" w:fill="CCEEFF"/>
          </w:tcPr>
          <w:p>
            <w:pPr>
              <w:ind w:left="140"/>
              <w:spacing w:after="0"/>
              <w:rPr>
                <w:sz w:val="20"/>
                <w:szCs w:val="20"/>
                <w:color w:val="auto"/>
              </w:rPr>
            </w:pPr>
            <w:r>
              <w:rPr>
                <w:rFonts w:ascii="Arial" w:cs="Arial" w:eastAsia="Arial" w:hAnsi="Arial"/>
                <w:sz w:val="11"/>
                <w:szCs w:val="11"/>
                <w:color w:val="auto"/>
              </w:rPr>
              <w:t>Contribution from Parent</w:t>
            </w: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590</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w:t>
            </w:r>
          </w:p>
        </w:tc>
      </w:tr>
      <w:tr>
        <w:trPr>
          <w:trHeight w:val="211"/>
        </w:trPr>
        <w:tc>
          <w:tcPr>
            <w:tcW w:w="4260" w:type="dxa"/>
            <w:vAlign w:val="bottom"/>
            <w:tcBorders>
              <w:bottom w:val="single" w:sz="8" w:color="CCEEFF"/>
            </w:tcBorders>
          </w:tcPr>
          <w:p>
            <w:pPr>
              <w:ind w:left="140"/>
              <w:spacing w:after="0"/>
              <w:rPr>
                <w:sz w:val="20"/>
                <w:szCs w:val="20"/>
                <w:color w:val="auto"/>
              </w:rPr>
            </w:pPr>
            <w:r>
              <w:rPr>
                <w:rFonts w:ascii="Arial" w:cs="Arial" w:eastAsia="Arial" w:hAnsi="Arial"/>
                <w:sz w:val="11"/>
                <w:szCs w:val="11"/>
                <w:color w:val="auto"/>
              </w:rPr>
              <w:t>Other</w:t>
            </w:r>
          </w:p>
        </w:tc>
        <w:tc>
          <w:tcPr>
            <w:tcW w:w="7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tcPr>
          <w:p>
            <w:pPr>
              <w:spacing w:after="0"/>
              <w:rPr>
                <w:sz w:val="18"/>
                <w:szCs w:val="18"/>
                <w:color w:val="auto"/>
              </w:rPr>
            </w:pPr>
          </w:p>
        </w:tc>
        <w:tc>
          <w:tcPr>
            <w:tcW w:w="7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23"/>
              <w:spacing w:after="0"/>
              <w:rPr>
                <w:sz w:val="20"/>
                <w:szCs w:val="20"/>
                <w:color w:val="auto"/>
              </w:rPr>
            </w:pPr>
            <w:r>
              <w:rPr>
                <w:rFonts w:ascii="Arial" w:cs="Arial" w:eastAsia="Arial" w:hAnsi="Arial"/>
                <w:sz w:val="11"/>
                <w:szCs w:val="11"/>
                <w:color w:val="auto"/>
              </w:rPr>
              <w:t>(1)</w:t>
            </w:r>
          </w:p>
        </w:tc>
        <w:tc>
          <w:tcPr>
            <w:tcW w:w="120" w:type="dxa"/>
            <w:vAlign w:val="bottom"/>
            <w:tcBorders>
              <w:bottom w:val="single" w:sz="8" w:color="CCEEFF"/>
            </w:tcBorders>
          </w:tcPr>
          <w:p>
            <w:pPr>
              <w:spacing w:after="0"/>
              <w:rPr>
                <w:sz w:val="18"/>
                <w:szCs w:val="18"/>
                <w:color w:val="auto"/>
              </w:rPr>
            </w:pPr>
          </w:p>
        </w:tc>
        <w:tc>
          <w:tcPr>
            <w:tcW w:w="7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tcPr>
          <w:p>
            <w:pPr>
              <w:spacing w:after="0"/>
              <w:rPr>
                <w:sz w:val="18"/>
                <w:szCs w:val="18"/>
                <w:color w:val="auto"/>
              </w:rPr>
            </w:pPr>
          </w:p>
        </w:tc>
        <w:tc>
          <w:tcPr>
            <w:tcW w:w="7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auto"/>
              </w:rPr>
              <w:t>—</w:t>
            </w:r>
          </w:p>
        </w:tc>
      </w:tr>
      <w:tr>
        <w:trPr>
          <w:trHeight w:val="200"/>
        </w:trPr>
        <w:tc>
          <w:tcPr>
            <w:tcW w:w="4260" w:type="dxa"/>
            <w:vAlign w:val="bottom"/>
            <w:shd w:val="clear" w:color="auto" w:fill="CCEEFF"/>
          </w:tcPr>
          <w:p>
            <w:pPr>
              <w:ind w:left="140"/>
              <w:spacing w:after="0"/>
              <w:rPr>
                <w:sz w:val="20"/>
                <w:szCs w:val="20"/>
                <w:color w:val="auto"/>
              </w:rPr>
            </w:pPr>
            <w:r>
              <w:rPr>
                <w:rFonts w:ascii="Arial" w:cs="Arial" w:eastAsia="Arial" w:hAnsi="Arial"/>
                <w:sz w:val="11"/>
                <w:szCs w:val="11"/>
                <w:color w:val="auto"/>
              </w:rPr>
              <w:t>Balance, end of period</w:t>
            </w: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color w:val="auto"/>
              </w:rPr>
              <w:t>2,486</w:t>
            </w: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color w:val="auto"/>
              </w:rPr>
              <w:t>1,696</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color w:val="auto"/>
              </w:rPr>
              <w:t>2,486</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1"/>
                <w:szCs w:val="11"/>
                <w:color w:val="auto"/>
              </w:rPr>
              <w:t>1,696</w:t>
            </w:r>
          </w:p>
        </w:tc>
      </w:tr>
      <w:tr>
        <w:trPr>
          <w:trHeight w:val="191"/>
        </w:trPr>
        <w:tc>
          <w:tcPr>
            <w:tcW w:w="4260" w:type="dxa"/>
            <w:vAlign w:val="bottom"/>
          </w:tcPr>
          <w:p>
            <w:pPr>
              <w:ind w:left="20"/>
              <w:spacing w:after="0"/>
              <w:rPr>
                <w:sz w:val="20"/>
                <w:szCs w:val="20"/>
                <w:color w:val="auto"/>
              </w:rPr>
            </w:pPr>
            <w:r>
              <w:rPr>
                <w:rFonts w:ascii="Arial" w:cs="Arial" w:eastAsia="Arial" w:hAnsi="Arial"/>
                <w:sz w:val="11"/>
                <w:szCs w:val="11"/>
                <w:b w:val="1"/>
                <w:bCs w:val="1"/>
                <w:color w:val="auto"/>
              </w:rPr>
              <w:t>Retained Earnings</w:t>
            </w: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220"/>
        </w:trPr>
        <w:tc>
          <w:tcPr>
            <w:tcW w:w="4260" w:type="dxa"/>
            <w:vAlign w:val="bottom"/>
            <w:shd w:val="clear" w:color="auto" w:fill="CCEEFF"/>
          </w:tcPr>
          <w:p>
            <w:pPr>
              <w:ind w:left="140"/>
              <w:spacing w:after="0"/>
              <w:rPr>
                <w:sz w:val="20"/>
                <w:szCs w:val="20"/>
                <w:color w:val="auto"/>
              </w:rPr>
            </w:pPr>
            <w:r>
              <w:rPr>
                <w:rFonts w:ascii="Arial" w:cs="Arial" w:eastAsia="Arial" w:hAnsi="Arial"/>
                <w:sz w:val="11"/>
                <w:szCs w:val="11"/>
                <w:color w:val="auto"/>
              </w:rPr>
              <w:t>Balance, beginning of period</w:t>
            </w: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887</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763</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800</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673</w:t>
            </w:r>
          </w:p>
        </w:tc>
      </w:tr>
      <w:tr>
        <w:trPr>
          <w:trHeight w:val="211"/>
        </w:trPr>
        <w:tc>
          <w:tcPr>
            <w:tcW w:w="4260" w:type="dxa"/>
            <w:vAlign w:val="bottom"/>
          </w:tcPr>
          <w:p>
            <w:pPr>
              <w:ind w:left="140"/>
              <w:spacing w:after="0"/>
              <w:rPr>
                <w:sz w:val="20"/>
                <w:szCs w:val="20"/>
                <w:color w:val="auto"/>
              </w:rPr>
            </w:pPr>
            <w:r>
              <w:rPr>
                <w:rFonts w:ascii="Arial" w:cs="Arial" w:eastAsia="Arial" w:hAnsi="Arial"/>
                <w:sz w:val="11"/>
                <w:szCs w:val="11"/>
                <w:color w:val="auto"/>
              </w:rPr>
              <w:t>Net income</w:t>
            </w: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ind w:right="63"/>
              <w:spacing w:after="0"/>
              <w:rPr>
                <w:sz w:val="20"/>
                <w:szCs w:val="20"/>
                <w:color w:val="auto"/>
              </w:rPr>
            </w:pPr>
            <w:r>
              <w:rPr>
                <w:rFonts w:ascii="Arial" w:cs="Arial" w:eastAsia="Arial" w:hAnsi="Arial"/>
                <w:sz w:val="11"/>
                <w:szCs w:val="11"/>
                <w:color w:val="auto"/>
              </w:rPr>
              <w:t>185</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ind w:right="63"/>
              <w:spacing w:after="0"/>
              <w:rPr>
                <w:sz w:val="20"/>
                <w:szCs w:val="20"/>
                <w:color w:val="auto"/>
              </w:rPr>
            </w:pPr>
            <w:r>
              <w:rPr>
                <w:rFonts w:ascii="Arial" w:cs="Arial" w:eastAsia="Arial" w:hAnsi="Arial"/>
                <w:sz w:val="11"/>
                <w:szCs w:val="11"/>
                <w:color w:val="auto"/>
              </w:rPr>
              <w:t>143</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ind w:right="63"/>
              <w:spacing w:after="0"/>
              <w:rPr>
                <w:sz w:val="20"/>
                <w:szCs w:val="20"/>
                <w:color w:val="auto"/>
              </w:rPr>
            </w:pPr>
            <w:r>
              <w:rPr>
                <w:rFonts w:ascii="Arial" w:cs="Arial" w:eastAsia="Arial" w:hAnsi="Arial"/>
                <w:sz w:val="11"/>
                <w:szCs w:val="11"/>
                <w:color w:val="auto"/>
              </w:rPr>
              <w:t>312</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ind w:right="43"/>
              <w:spacing w:after="0"/>
              <w:rPr>
                <w:sz w:val="20"/>
                <w:szCs w:val="20"/>
                <w:color w:val="auto"/>
              </w:rPr>
            </w:pPr>
            <w:r>
              <w:rPr>
                <w:rFonts w:ascii="Arial" w:cs="Arial" w:eastAsia="Arial" w:hAnsi="Arial"/>
                <w:sz w:val="11"/>
                <w:szCs w:val="11"/>
                <w:color w:val="auto"/>
              </w:rPr>
              <w:t>296</w:t>
            </w:r>
          </w:p>
        </w:tc>
      </w:tr>
      <w:tr>
        <w:trPr>
          <w:trHeight w:val="216"/>
        </w:trPr>
        <w:tc>
          <w:tcPr>
            <w:tcW w:w="4260" w:type="dxa"/>
            <w:vAlign w:val="bottom"/>
            <w:shd w:val="clear" w:color="auto" w:fill="CCEEFF"/>
          </w:tcPr>
          <w:p>
            <w:pPr>
              <w:ind w:left="140"/>
              <w:spacing w:after="0"/>
              <w:rPr>
                <w:sz w:val="20"/>
                <w:szCs w:val="20"/>
                <w:color w:val="auto"/>
              </w:rPr>
            </w:pPr>
            <w:r>
              <w:rPr>
                <w:rFonts w:ascii="Arial" w:cs="Arial" w:eastAsia="Arial" w:hAnsi="Arial"/>
                <w:sz w:val="11"/>
                <w:szCs w:val="11"/>
                <w:color w:val="auto"/>
              </w:rPr>
              <w:t>Dividend to parent</w:t>
            </w: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1"/>
                <w:szCs w:val="11"/>
                <w:color w:val="auto"/>
              </w:rPr>
              <w:t>(60)</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1"/>
                <w:szCs w:val="11"/>
                <w:color w:val="auto"/>
              </w:rPr>
              <w:t>(60)</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1"/>
                <w:szCs w:val="11"/>
                <w:color w:val="auto"/>
              </w:rPr>
              <w:t>(100)</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(123)</w:t>
            </w:r>
          </w:p>
        </w:tc>
      </w:tr>
      <w:tr>
        <w:trPr>
          <w:trHeight w:val="196"/>
        </w:trPr>
        <w:tc>
          <w:tcPr>
            <w:tcW w:w="4260" w:type="dxa"/>
            <w:vAlign w:val="bottom"/>
            <w:tcBorders>
              <w:bottom w:val="single" w:sz="8" w:color="CCEEFF"/>
            </w:tcBorders>
          </w:tcPr>
          <w:p>
            <w:pPr>
              <w:ind w:left="140"/>
              <w:spacing w:after="0"/>
              <w:rPr>
                <w:sz w:val="20"/>
                <w:szCs w:val="20"/>
                <w:color w:val="auto"/>
              </w:rPr>
            </w:pPr>
            <w:r>
              <w:rPr>
                <w:rFonts w:ascii="Arial" w:cs="Arial" w:eastAsia="Arial" w:hAnsi="Arial"/>
                <w:sz w:val="11"/>
                <w:szCs w:val="11"/>
                <w:color w:val="auto"/>
              </w:rPr>
              <w:t>Balance, end of period</w:t>
            </w:r>
          </w:p>
        </w:tc>
        <w:tc>
          <w:tcPr>
            <w:tcW w:w="7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color w:val="auto"/>
              </w:rPr>
              <w:t>1,012</w:t>
            </w:r>
          </w:p>
        </w:tc>
        <w:tc>
          <w:tcPr>
            <w:tcW w:w="120" w:type="dxa"/>
            <w:vAlign w:val="bottom"/>
            <w:tcBorders>
              <w:bottom w:val="single" w:sz="8" w:color="CCEEFF"/>
            </w:tcBorders>
          </w:tcPr>
          <w:p>
            <w:pPr>
              <w:spacing w:after="0"/>
              <w:rPr>
                <w:sz w:val="17"/>
                <w:szCs w:val="17"/>
                <w:color w:val="auto"/>
              </w:rPr>
            </w:pPr>
          </w:p>
        </w:tc>
        <w:tc>
          <w:tcPr>
            <w:tcW w:w="7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color w:val="auto"/>
              </w:rPr>
              <w:t>846</w:t>
            </w:r>
          </w:p>
        </w:tc>
        <w:tc>
          <w:tcPr>
            <w:tcW w:w="120" w:type="dxa"/>
            <w:vAlign w:val="bottom"/>
            <w:tcBorders>
              <w:bottom w:val="single" w:sz="8" w:color="CCEEFF"/>
            </w:tcBorders>
          </w:tcPr>
          <w:p>
            <w:pPr>
              <w:spacing w:after="0"/>
              <w:rPr>
                <w:sz w:val="17"/>
                <w:szCs w:val="17"/>
                <w:color w:val="auto"/>
              </w:rPr>
            </w:pPr>
          </w:p>
        </w:tc>
        <w:tc>
          <w:tcPr>
            <w:tcW w:w="74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color w:val="auto"/>
              </w:rPr>
              <w:t>1,012</w:t>
            </w:r>
          </w:p>
        </w:tc>
        <w:tc>
          <w:tcPr>
            <w:tcW w:w="100" w:type="dxa"/>
            <w:vAlign w:val="bottom"/>
            <w:tcBorders>
              <w:bottom w:val="single" w:sz="8" w:color="CCEEFF"/>
            </w:tcBorders>
          </w:tcPr>
          <w:p>
            <w:pPr>
              <w:spacing w:after="0"/>
              <w:rPr>
                <w:sz w:val="17"/>
                <w:szCs w:val="17"/>
                <w:color w:val="auto"/>
              </w:rPr>
            </w:pPr>
          </w:p>
        </w:tc>
        <w:tc>
          <w:tcPr>
            <w:tcW w:w="70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auto"/>
              </w:rPr>
              <w:t>846</w:t>
            </w:r>
          </w:p>
        </w:tc>
      </w:tr>
      <w:tr>
        <w:trPr>
          <w:trHeight w:val="211"/>
        </w:trPr>
        <w:tc>
          <w:tcPr>
            <w:tcW w:w="426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Accumulated Other Comprehensive Income (Loss)</w:t>
            </w: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211"/>
        </w:trPr>
        <w:tc>
          <w:tcPr>
            <w:tcW w:w="4260" w:type="dxa"/>
            <w:vAlign w:val="bottom"/>
          </w:tcPr>
          <w:p>
            <w:pPr>
              <w:ind w:left="140"/>
              <w:spacing w:after="0"/>
              <w:rPr>
                <w:sz w:val="20"/>
                <w:szCs w:val="20"/>
                <w:color w:val="auto"/>
              </w:rPr>
            </w:pPr>
            <w:r>
              <w:rPr>
                <w:rFonts w:ascii="Arial" w:cs="Arial" w:eastAsia="Arial" w:hAnsi="Arial"/>
                <w:sz w:val="11"/>
                <w:szCs w:val="11"/>
                <w:color w:val="auto"/>
              </w:rPr>
              <w:t>Balance, beginning of period</w:t>
            </w: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ind w:right="23"/>
              <w:spacing w:after="0"/>
              <w:rPr>
                <w:sz w:val="20"/>
                <w:szCs w:val="20"/>
                <w:color w:val="auto"/>
              </w:rPr>
            </w:pPr>
            <w:r>
              <w:rPr>
                <w:rFonts w:ascii="Arial" w:cs="Arial" w:eastAsia="Arial" w:hAnsi="Arial"/>
                <w:sz w:val="11"/>
                <w:szCs w:val="11"/>
                <w:color w:val="auto"/>
              </w:rPr>
              <w:t>(15)</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ind w:right="63"/>
              <w:spacing w:after="0"/>
              <w:rPr>
                <w:sz w:val="20"/>
                <w:szCs w:val="20"/>
                <w:color w:val="auto"/>
              </w:rPr>
            </w:pPr>
            <w:r>
              <w:rPr>
                <w:rFonts w:ascii="Arial" w:cs="Arial" w:eastAsia="Arial" w:hAnsi="Arial"/>
                <w:sz w:val="11"/>
                <w:szCs w:val="11"/>
                <w:color w:val="auto"/>
              </w:rPr>
              <w:t>4</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ind w:right="23"/>
              <w:spacing w:after="0"/>
              <w:rPr>
                <w:sz w:val="20"/>
                <w:szCs w:val="20"/>
                <w:color w:val="auto"/>
              </w:rPr>
            </w:pPr>
            <w:r>
              <w:rPr>
                <w:rFonts w:ascii="Arial" w:cs="Arial" w:eastAsia="Arial" w:hAnsi="Arial"/>
                <w:sz w:val="11"/>
                <w:szCs w:val="11"/>
                <w:color w:val="auto"/>
              </w:rPr>
              <w:t>(14)</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ind w:right="43"/>
              <w:spacing w:after="0"/>
              <w:rPr>
                <w:sz w:val="20"/>
                <w:szCs w:val="20"/>
                <w:color w:val="auto"/>
              </w:rPr>
            </w:pPr>
            <w:r>
              <w:rPr>
                <w:rFonts w:ascii="Arial" w:cs="Arial" w:eastAsia="Arial" w:hAnsi="Arial"/>
                <w:sz w:val="11"/>
                <w:szCs w:val="11"/>
                <w:color w:val="auto"/>
              </w:rPr>
              <w:t>—</w:t>
            </w:r>
          </w:p>
        </w:tc>
      </w:tr>
      <w:tr>
        <w:trPr>
          <w:trHeight w:val="216"/>
        </w:trPr>
        <w:tc>
          <w:tcPr>
            <w:tcW w:w="4260" w:type="dxa"/>
            <w:vAlign w:val="bottom"/>
            <w:shd w:val="clear" w:color="auto" w:fill="CCEEFF"/>
          </w:tcPr>
          <w:p>
            <w:pPr>
              <w:ind w:left="140"/>
              <w:spacing w:after="0"/>
              <w:rPr>
                <w:sz w:val="20"/>
                <w:szCs w:val="20"/>
                <w:color w:val="auto"/>
              </w:rPr>
            </w:pPr>
            <w:r>
              <w:rPr>
                <w:rFonts w:ascii="Arial" w:cs="Arial" w:eastAsia="Arial" w:hAnsi="Arial"/>
                <w:sz w:val="11"/>
                <w:szCs w:val="11"/>
                <w:color w:val="auto"/>
              </w:rPr>
              <w:t>Other comprehensive income (loss)</w:t>
            </w: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color w:val="auto"/>
              </w:rPr>
              <w:t>3</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1"/>
                <w:szCs w:val="11"/>
                <w:color w:val="auto"/>
              </w:rPr>
              <w:t>(1)</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1"/>
                <w:szCs w:val="11"/>
                <w:color w:val="auto"/>
              </w:rPr>
              <w:t>7</w:t>
            </w:r>
          </w:p>
        </w:tc>
      </w:tr>
      <w:tr>
        <w:trPr>
          <w:trHeight w:val="196"/>
        </w:trPr>
        <w:tc>
          <w:tcPr>
            <w:tcW w:w="4260" w:type="dxa"/>
            <w:vAlign w:val="bottom"/>
            <w:tcBorders>
              <w:bottom w:val="single" w:sz="8" w:color="CCEEFF"/>
            </w:tcBorders>
          </w:tcPr>
          <w:p>
            <w:pPr>
              <w:ind w:left="140"/>
              <w:spacing w:after="0"/>
              <w:rPr>
                <w:sz w:val="20"/>
                <w:szCs w:val="20"/>
                <w:color w:val="auto"/>
              </w:rPr>
            </w:pPr>
            <w:r>
              <w:rPr>
                <w:rFonts w:ascii="Arial" w:cs="Arial" w:eastAsia="Arial" w:hAnsi="Arial"/>
                <w:sz w:val="11"/>
                <w:szCs w:val="11"/>
                <w:color w:val="auto"/>
              </w:rPr>
              <w:t>Balance, end of period</w:t>
            </w:r>
          </w:p>
        </w:tc>
        <w:tc>
          <w:tcPr>
            <w:tcW w:w="7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23"/>
              <w:spacing w:after="0"/>
              <w:rPr>
                <w:sz w:val="20"/>
                <w:szCs w:val="20"/>
                <w:color w:val="auto"/>
              </w:rPr>
            </w:pPr>
            <w:r>
              <w:rPr>
                <w:rFonts w:ascii="Arial" w:cs="Arial" w:eastAsia="Arial" w:hAnsi="Arial"/>
                <w:sz w:val="11"/>
                <w:szCs w:val="11"/>
                <w:color w:val="auto"/>
              </w:rPr>
              <w:t>(15)</w:t>
            </w:r>
          </w:p>
        </w:tc>
        <w:tc>
          <w:tcPr>
            <w:tcW w:w="120" w:type="dxa"/>
            <w:vAlign w:val="bottom"/>
            <w:tcBorders>
              <w:bottom w:val="single" w:sz="8" w:color="CCEEFF"/>
            </w:tcBorders>
          </w:tcPr>
          <w:p>
            <w:pPr>
              <w:spacing w:after="0"/>
              <w:rPr>
                <w:sz w:val="17"/>
                <w:szCs w:val="17"/>
                <w:color w:val="auto"/>
              </w:rPr>
            </w:pPr>
          </w:p>
        </w:tc>
        <w:tc>
          <w:tcPr>
            <w:tcW w:w="7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color w:val="auto"/>
              </w:rPr>
              <w:t>7</w:t>
            </w:r>
          </w:p>
        </w:tc>
        <w:tc>
          <w:tcPr>
            <w:tcW w:w="120" w:type="dxa"/>
            <w:vAlign w:val="bottom"/>
            <w:tcBorders>
              <w:bottom w:val="single" w:sz="8" w:color="CCEEFF"/>
            </w:tcBorders>
          </w:tcPr>
          <w:p>
            <w:pPr>
              <w:spacing w:after="0"/>
              <w:rPr>
                <w:sz w:val="17"/>
                <w:szCs w:val="17"/>
                <w:color w:val="auto"/>
              </w:rPr>
            </w:pPr>
          </w:p>
        </w:tc>
        <w:tc>
          <w:tcPr>
            <w:tcW w:w="74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23"/>
              <w:spacing w:after="0"/>
              <w:rPr>
                <w:sz w:val="20"/>
                <w:szCs w:val="20"/>
                <w:color w:val="auto"/>
              </w:rPr>
            </w:pPr>
            <w:r>
              <w:rPr>
                <w:rFonts w:ascii="Arial" w:cs="Arial" w:eastAsia="Arial" w:hAnsi="Arial"/>
                <w:sz w:val="11"/>
                <w:szCs w:val="11"/>
                <w:color w:val="auto"/>
              </w:rPr>
              <w:t>(15)</w:t>
            </w:r>
          </w:p>
        </w:tc>
        <w:tc>
          <w:tcPr>
            <w:tcW w:w="100" w:type="dxa"/>
            <w:vAlign w:val="bottom"/>
            <w:tcBorders>
              <w:bottom w:val="single" w:sz="8" w:color="CCEEFF"/>
            </w:tcBorders>
          </w:tcPr>
          <w:p>
            <w:pPr>
              <w:spacing w:after="0"/>
              <w:rPr>
                <w:sz w:val="17"/>
                <w:szCs w:val="17"/>
                <w:color w:val="auto"/>
              </w:rPr>
            </w:pPr>
          </w:p>
        </w:tc>
        <w:tc>
          <w:tcPr>
            <w:tcW w:w="70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auto"/>
              </w:rPr>
              <w:t>7</w:t>
            </w:r>
          </w:p>
        </w:tc>
      </w:tr>
      <w:tr>
        <w:trPr>
          <w:trHeight w:val="189"/>
        </w:trPr>
        <w:tc>
          <w:tcPr>
            <w:tcW w:w="426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Total Member’s Equity</w:t>
            </w:r>
          </w:p>
        </w:tc>
        <w:tc>
          <w:tcPr>
            <w:tcW w:w="720" w:type="dxa"/>
            <w:vAlign w:val="bottom"/>
            <w:shd w:val="clear" w:color="auto" w:fill="CCEEFF"/>
          </w:tcPr>
          <w:p>
            <w:pPr>
              <w:spacing w:after="0"/>
              <w:rPr>
                <w:sz w:val="16"/>
                <w:szCs w:val="16"/>
                <w:color w:val="auto"/>
              </w:rPr>
            </w:pPr>
          </w:p>
        </w:tc>
        <w:tc>
          <w:tcPr>
            <w:tcW w:w="340" w:type="dxa"/>
            <w:vAlign w:val="bottom"/>
            <w:gridSpan w:val="3"/>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3,483</w:t>
            </w: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340" w:type="dxa"/>
            <w:vAlign w:val="bottom"/>
            <w:gridSpan w:val="3"/>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2,549</w:t>
            </w: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300" w:type="dxa"/>
            <w:vAlign w:val="bottom"/>
            <w:gridSpan w:val="3"/>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3,483</w:t>
            </w: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340" w:type="dxa"/>
            <w:vAlign w:val="bottom"/>
            <w:gridSpan w:val="3"/>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64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2,549</w:t>
            </w:r>
          </w:p>
        </w:tc>
      </w:tr>
      <w:tr>
        <w:trPr>
          <w:trHeight w:val="20"/>
        </w:trPr>
        <w:tc>
          <w:tcPr>
            <w:tcW w:w="42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r>
    </w:tbl>
    <w:p>
      <w:pPr>
        <w:spacing w:after="0" w:line="16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Combined Notes to Unaudited Condensed Consolidated Financial Statements</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ectPr>
          <w:pgSz w:w="11900" w:h="16838" w:orient="portrait"/>
          <w:cols w:equalWidth="0" w:num="1">
            <w:col w:w="11460"/>
          </w:cols>
          <w:pgMar w:left="220" w:top="129" w:right="219" w:bottom="1440" w:gutter="0" w:footer="0" w:header="0"/>
        </w:sectPr>
      </w:pPr>
    </w:p>
    <w:bookmarkStart w:id="22" w:name="page23"/>
    <w:bookmarkEnd w:id="22"/>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37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CENTERPOINT ENERGY RESOURCES CORP. AND SUBSIDIARIES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(AN INDIRECT, WHOLLY-OWNED SUBSIDIARY OF CENTERPOINT ENERGY,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CONDENSED STATEMENTS OF CONSOLIDATED INCOME</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65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80" w:type="dxa"/>
            <w:vAlign w:val="bottom"/>
            <w:gridSpan w:val="3"/>
          </w:tcPr>
          <w:p>
            <w:pPr>
              <w:jc w:val="right"/>
              <w:ind w:right="153"/>
              <w:spacing w:after="0"/>
              <w:rPr>
                <w:sz w:val="20"/>
                <w:szCs w:val="20"/>
                <w:color w:val="auto"/>
              </w:rPr>
            </w:pPr>
            <w:r>
              <w:rPr>
                <w:rFonts w:ascii="Arial" w:cs="Arial" w:eastAsia="Arial" w:hAnsi="Arial"/>
                <w:sz w:val="11"/>
                <w:szCs w:val="11"/>
                <w:b w:val="1"/>
                <w:bCs w:val="1"/>
                <w:color w:val="auto"/>
                <w:w w:val="95"/>
              </w:rPr>
              <w:t>Three Months Ended</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60" w:type="dxa"/>
            <w:vAlign w:val="bottom"/>
            <w:gridSpan w:val="3"/>
          </w:tcPr>
          <w:p>
            <w:pPr>
              <w:jc w:val="right"/>
              <w:spacing w:after="0"/>
              <w:rPr>
                <w:sz w:val="20"/>
                <w:szCs w:val="20"/>
                <w:color w:val="auto"/>
              </w:rPr>
            </w:pPr>
            <w:r>
              <w:rPr>
                <w:rFonts w:ascii="Arial" w:cs="Arial" w:eastAsia="Arial" w:hAnsi="Arial"/>
                <w:sz w:val="11"/>
                <w:szCs w:val="11"/>
                <w:b w:val="1"/>
                <w:bCs w:val="1"/>
                <w:color w:val="auto"/>
              </w:rPr>
              <w:t>Nine Months Ended</w:t>
            </w:r>
          </w:p>
        </w:tc>
        <w:tc>
          <w:tcPr>
            <w:tcW w:w="680" w:type="dxa"/>
            <w:vAlign w:val="bottom"/>
          </w:tcPr>
          <w:p>
            <w:pPr>
              <w:spacing w:after="0"/>
              <w:rPr>
                <w:sz w:val="12"/>
                <w:szCs w:val="12"/>
                <w:color w:val="auto"/>
              </w:rPr>
            </w:pPr>
          </w:p>
        </w:tc>
      </w:tr>
      <w:tr>
        <w:trPr>
          <w:trHeight w:val="220"/>
        </w:trPr>
        <w:tc>
          <w:tcPr>
            <w:tcW w:w="6540" w:type="dxa"/>
            <w:vAlign w:val="bottom"/>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3"/>
          </w:tcPr>
          <w:p>
            <w:pPr>
              <w:jc w:val="right"/>
              <w:ind w:right="333"/>
              <w:spacing w:after="0"/>
              <w:rPr>
                <w:sz w:val="20"/>
                <w:szCs w:val="20"/>
                <w:color w:val="auto"/>
              </w:rPr>
            </w:pPr>
            <w:r>
              <w:rPr>
                <w:rFonts w:ascii="Arial" w:cs="Arial" w:eastAsia="Arial" w:hAnsi="Arial"/>
                <w:sz w:val="11"/>
                <w:szCs w:val="11"/>
                <w:b w:val="1"/>
                <w:bCs w:val="1"/>
                <w:color w:val="auto"/>
              </w:rPr>
              <w:t>September 30,</w:t>
            </w:r>
          </w:p>
        </w:tc>
        <w:tc>
          <w:tcPr>
            <w:tcW w:w="4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3"/>
          </w:tcPr>
          <w:p>
            <w:pPr>
              <w:jc w:val="right"/>
              <w:ind w:right="68"/>
              <w:spacing w:after="0"/>
              <w:rPr>
                <w:sz w:val="20"/>
                <w:szCs w:val="20"/>
                <w:color w:val="auto"/>
              </w:rPr>
            </w:pPr>
            <w:r>
              <w:rPr>
                <w:rFonts w:ascii="Arial" w:cs="Arial" w:eastAsia="Arial" w:hAnsi="Arial"/>
                <w:sz w:val="11"/>
                <w:szCs w:val="11"/>
                <w:b w:val="1"/>
                <w:bCs w:val="1"/>
                <w:color w:val="auto"/>
              </w:rPr>
              <w:t>September 30,</w:t>
            </w:r>
          </w:p>
        </w:tc>
        <w:tc>
          <w:tcPr>
            <w:tcW w:w="680" w:type="dxa"/>
            <w:vAlign w:val="bottom"/>
            <w:tcBorders>
              <w:bottom w:val="single" w:sz="8" w:color="auto"/>
            </w:tcBorders>
          </w:tcPr>
          <w:p>
            <w:pPr>
              <w:spacing w:after="0"/>
              <w:rPr>
                <w:sz w:val="19"/>
                <w:szCs w:val="19"/>
                <w:color w:val="auto"/>
              </w:rPr>
            </w:pPr>
          </w:p>
        </w:tc>
      </w:tr>
      <w:tr>
        <w:trPr>
          <w:trHeight w:val="206"/>
        </w:trPr>
        <w:tc>
          <w:tcPr>
            <w:tcW w:w="6540" w:type="dxa"/>
            <w:vAlign w:val="bottom"/>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2019</w:t>
            </w:r>
          </w:p>
        </w:tc>
        <w:tc>
          <w:tcPr>
            <w:tcW w:w="4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2018</w:t>
            </w:r>
          </w:p>
        </w:tc>
        <w:tc>
          <w:tcPr>
            <w:tcW w:w="4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70"/>
              <w:spacing w:after="0"/>
              <w:rPr>
                <w:sz w:val="20"/>
                <w:szCs w:val="20"/>
                <w:color w:val="auto"/>
              </w:rPr>
            </w:pPr>
            <w:r>
              <w:rPr>
                <w:rFonts w:ascii="Arial" w:cs="Arial" w:eastAsia="Arial" w:hAnsi="Arial"/>
                <w:sz w:val="11"/>
                <w:szCs w:val="11"/>
                <w:b w:val="1"/>
                <w:bCs w:val="1"/>
                <w:color w:val="auto"/>
              </w:rPr>
              <w:t>2019</w:t>
            </w:r>
          </w:p>
        </w:tc>
        <w:tc>
          <w:tcPr>
            <w:tcW w:w="1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369"/>
              <w:spacing w:after="0"/>
              <w:rPr>
                <w:sz w:val="20"/>
                <w:szCs w:val="20"/>
                <w:color w:val="auto"/>
              </w:rPr>
            </w:pPr>
            <w:r>
              <w:rPr>
                <w:rFonts w:ascii="Arial" w:cs="Arial" w:eastAsia="Arial" w:hAnsi="Arial"/>
                <w:sz w:val="11"/>
                <w:szCs w:val="11"/>
                <w:b w:val="1"/>
                <w:bCs w:val="1"/>
                <w:color w:val="auto"/>
                <w:w w:val="89"/>
              </w:rPr>
              <w:t>2018</w:t>
            </w:r>
          </w:p>
        </w:tc>
      </w:tr>
      <w:tr>
        <w:trPr>
          <w:trHeight w:val="191"/>
        </w:trPr>
        <w:tc>
          <w:tcPr>
            <w:tcW w:w="65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00" w:type="dxa"/>
            <w:vAlign w:val="bottom"/>
            <w:gridSpan w:val="3"/>
          </w:tcPr>
          <w:p>
            <w:pPr>
              <w:jc w:val="right"/>
              <w:ind w:right="48"/>
              <w:spacing w:after="0"/>
              <w:rPr>
                <w:sz w:val="20"/>
                <w:szCs w:val="20"/>
                <w:color w:val="auto"/>
              </w:rPr>
            </w:pPr>
            <w:r>
              <w:rPr>
                <w:rFonts w:ascii="Arial" w:cs="Arial" w:eastAsia="Arial" w:hAnsi="Arial"/>
                <w:sz w:val="11"/>
                <w:szCs w:val="11"/>
                <w:b w:val="1"/>
                <w:bCs w:val="1"/>
                <w:color w:val="auto"/>
              </w:rPr>
              <w:t>(in millions)</w:t>
            </w: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202"/>
        </w:trPr>
        <w:tc>
          <w:tcPr>
            <w:tcW w:w="6540" w:type="dxa"/>
            <w:vAlign w:val="bottom"/>
          </w:tcPr>
          <w:p>
            <w:pPr>
              <w:ind w:left="20"/>
              <w:spacing w:after="0"/>
              <w:rPr>
                <w:sz w:val="20"/>
                <w:szCs w:val="20"/>
                <w:color w:val="auto"/>
              </w:rPr>
            </w:pPr>
            <w:r>
              <w:rPr>
                <w:rFonts w:ascii="Arial" w:cs="Arial" w:eastAsia="Arial" w:hAnsi="Arial"/>
                <w:sz w:val="14"/>
                <w:szCs w:val="14"/>
                <w:b w:val="1"/>
                <w:bCs w:val="1"/>
                <w:color w:val="auto"/>
              </w:rPr>
              <w:t>Revenues:</w:t>
            </w:r>
          </w:p>
        </w:tc>
        <w:tc>
          <w:tcPr>
            <w:tcW w:w="7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3"/>
        </w:trPr>
        <w:tc>
          <w:tcPr>
            <w:tcW w:w="65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96"/>
        </w:trPr>
        <w:tc>
          <w:tcPr>
            <w:tcW w:w="65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Utility revenues</w:t>
            </w:r>
          </w:p>
        </w:tc>
        <w:tc>
          <w:tcPr>
            <w:tcW w:w="700" w:type="dxa"/>
            <w:vAlign w:val="bottom"/>
            <w:tcBorders>
              <w:bottom w:val="single" w:sz="8" w:color="CCEEFF"/>
            </w:tcBorders>
            <w:shd w:val="clear" w:color="auto" w:fill="CCEEFF"/>
          </w:tcPr>
          <w:p>
            <w:pPr>
              <w:jc w:val="right"/>
              <w:ind w:right="533"/>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389</w:t>
            </w:r>
          </w:p>
        </w:tc>
        <w:tc>
          <w:tcPr>
            <w:tcW w:w="12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ind w:right="533"/>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402</w:t>
            </w:r>
          </w:p>
        </w:tc>
        <w:tc>
          <w:tcPr>
            <w:tcW w:w="1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2,077</w:t>
            </w:r>
          </w:p>
        </w:tc>
        <w:tc>
          <w:tcPr>
            <w:tcW w:w="12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jc w:val="right"/>
              <w:ind w:right="288"/>
              <w:spacing w:after="0"/>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2,032</w:t>
            </w:r>
          </w:p>
        </w:tc>
      </w:tr>
      <w:tr>
        <w:trPr>
          <w:trHeight w:val="193"/>
        </w:trPr>
        <w:tc>
          <w:tcPr>
            <w:tcW w:w="6540" w:type="dxa"/>
            <w:vAlign w:val="bottom"/>
          </w:tcPr>
          <w:p>
            <w:pPr>
              <w:ind w:left="140"/>
              <w:spacing w:after="0"/>
              <w:rPr>
                <w:sz w:val="20"/>
                <w:szCs w:val="20"/>
                <w:color w:val="auto"/>
              </w:rPr>
            </w:pPr>
            <w:r>
              <w:rPr>
                <w:rFonts w:ascii="Arial" w:cs="Arial" w:eastAsia="Arial" w:hAnsi="Arial"/>
                <w:sz w:val="14"/>
                <w:szCs w:val="14"/>
                <w:color w:val="auto"/>
              </w:rPr>
              <w:t>Non-utility revenues</w:t>
            </w:r>
          </w:p>
        </w:tc>
        <w:tc>
          <w:tcPr>
            <w:tcW w:w="700" w:type="dxa"/>
            <w:vAlign w:val="bottom"/>
          </w:tcPr>
          <w:p>
            <w:pPr>
              <w:spacing w:after="0"/>
              <w:rPr>
                <w:sz w:val="16"/>
                <w:szCs w:val="16"/>
                <w:color w:val="auto"/>
              </w:rPr>
            </w:pPr>
          </w:p>
        </w:tc>
        <w:tc>
          <w:tcPr>
            <w:tcW w:w="460" w:type="dxa"/>
            <w:vAlign w:val="bottom"/>
          </w:tcPr>
          <w:p>
            <w:pPr>
              <w:jc w:val="right"/>
              <w:ind w:right="50"/>
              <w:spacing w:after="0"/>
              <w:rPr>
                <w:sz w:val="20"/>
                <w:szCs w:val="20"/>
                <w:color w:val="auto"/>
              </w:rPr>
            </w:pPr>
            <w:r>
              <w:rPr>
                <w:rFonts w:ascii="Arial" w:cs="Arial" w:eastAsia="Arial" w:hAnsi="Arial"/>
                <w:sz w:val="14"/>
                <w:szCs w:val="14"/>
                <w:color w:val="auto"/>
              </w:rPr>
              <w:t>737</w:t>
            </w: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60" w:type="dxa"/>
            <w:vAlign w:val="bottom"/>
          </w:tcPr>
          <w:p>
            <w:pPr>
              <w:jc w:val="right"/>
              <w:ind w:right="49"/>
              <w:spacing w:after="0"/>
              <w:rPr>
                <w:sz w:val="20"/>
                <w:szCs w:val="20"/>
                <w:color w:val="auto"/>
              </w:rPr>
            </w:pPr>
            <w:r>
              <w:rPr>
                <w:rFonts w:ascii="Arial" w:cs="Arial" w:eastAsia="Arial" w:hAnsi="Arial"/>
                <w:sz w:val="14"/>
                <w:szCs w:val="14"/>
                <w:color w:val="auto"/>
              </w:rPr>
              <w:t>910</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jc w:val="right"/>
              <w:ind w:right="30"/>
              <w:spacing w:after="0"/>
              <w:rPr>
                <w:sz w:val="20"/>
                <w:szCs w:val="20"/>
                <w:color w:val="auto"/>
              </w:rPr>
            </w:pPr>
            <w:r>
              <w:rPr>
                <w:rFonts w:ascii="Arial" w:cs="Arial" w:eastAsia="Arial" w:hAnsi="Arial"/>
                <w:sz w:val="14"/>
                <w:szCs w:val="14"/>
                <w:color w:val="auto"/>
              </w:rPr>
              <w:t>2,759</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80" w:type="dxa"/>
            <w:vAlign w:val="bottom"/>
          </w:tcPr>
          <w:p>
            <w:pPr>
              <w:jc w:val="right"/>
              <w:ind w:right="29"/>
              <w:spacing w:after="0"/>
              <w:rPr>
                <w:sz w:val="20"/>
                <w:szCs w:val="20"/>
                <w:color w:val="auto"/>
              </w:rPr>
            </w:pPr>
            <w:r>
              <w:rPr>
                <w:rFonts w:ascii="Arial" w:cs="Arial" w:eastAsia="Arial" w:hAnsi="Arial"/>
                <w:sz w:val="14"/>
                <w:szCs w:val="14"/>
                <w:color w:val="auto"/>
              </w:rPr>
              <w:t>3,008</w:t>
            </w:r>
          </w:p>
        </w:tc>
      </w:tr>
      <w:tr>
        <w:trPr>
          <w:trHeight w:val="23"/>
        </w:trPr>
        <w:tc>
          <w:tcPr>
            <w:tcW w:w="654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206"/>
        </w:trPr>
        <w:tc>
          <w:tcPr>
            <w:tcW w:w="654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4"/>
                <w:szCs w:val="14"/>
                <w:color w:val="auto"/>
              </w:rPr>
              <w:t>Total</w:t>
            </w:r>
          </w:p>
        </w:tc>
        <w:tc>
          <w:tcPr>
            <w:tcW w:w="70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w w:val="91"/>
              </w:rPr>
              <w:t>1,126</w:t>
            </w:r>
          </w:p>
        </w:tc>
        <w:tc>
          <w:tcPr>
            <w:tcW w:w="12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w w:val="91"/>
              </w:rPr>
              <w:t>1,312</w:t>
            </w:r>
          </w:p>
        </w:tc>
        <w:tc>
          <w:tcPr>
            <w:tcW w:w="1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4,836</w:t>
            </w:r>
          </w:p>
        </w:tc>
        <w:tc>
          <w:tcPr>
            <w:tcW w:w="12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5,040</w:t>
            </w:r>
          </w:p>
        </w:tc>
      </w:tr>
      <w:tr>
        <w:trPr>
          <w:trHeight w:val="173"/>
        </w:trPr>
        <w:tc>
          <w:tcPr>
            <w:tcW w:w="6540" w:type="dxa"/>
            <w:vAlign w:val="bottom"/>
          </w:tcPr>
          <w:p>
            <w:pPr>
              <w:ind w:left="20"/>
              <w:spacing w:after="0"/>
              <w:rPr>
                <w:sz w:val="20"/>
                <w:szCs w:val="20"/>
                <w:color w:val="auto"/>
              </w:rPr>
            </w:pPr>
            <w:r>
              <w:rPr>
                <w:rFonts w:ascii="Arial" w:cs="Arial" w:eastAsia="Arial" w:hAnsi="Arial"/>
                <w:sz w:val="14"/>
                <w:szCs w:val="14"/>
                <w:b w:val="1"/>
                <w:bCs w:val="1"/>
                <w:color w:val="auto"/>
              </w:rPr>
              <w:t>Expenses:</w:t>
            </w:r>
          </w:p>
        </w:tc>
        <w:tc>
          <w:tcPr>
            <w:tcW w:w="70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r>
      <w:tr>
        <w:trPr>
          <w:trHeight w:val="23"/>
        </w:trPr>
        <w:tc>
          <w:tcPr>
            <w:tcW w:w="65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96"/>
        </w:trPr>
        <w:tc>
          <w:tcPr>
            <w:tcW w:w="65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Utility natural gas</w:t>
            </w:r>
          </w:p>
        </w:tc>
        <w:tc>
          <w:tcPr>
            <w:tcW w:w="70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113</w:t>
            </w:r>
          </w:p>
        </w:tc>
        <w:tc>
          <w:tcPr>
            <w:tcW w:w="12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134</w:t>
            </w:r>
          </w:p>
        </w:tc>
        <w:tc>
          <w:tcPr>
            <w:tcW w:w="1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928</w:t>
            </w:r>
          </w:p>
        </w:tc>
        <w:tc>
          <w:tcPr>
            <w:tcW w:w="12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959</w:t>
            </w:r>
          </w:p>
        </w:tc>
      </w:tr>
      <w:tr>
        <w:trPr>
          <w:trHeight w:val="193"/>
        </w:trPr>
        <w:tc>
          <w:tcPr>
            <w:tcW w:w="6540" w:type="dxa"/>
            <w:vAlign w:val="bottom"/>
          </w:tcPr>
          <w:p>
            <w:pPr>
              <w:ind w:left="140"/>
              <w:spacing w:after="0"/>
              <w:rPr>
                <w:sz w:val="20"/>
                <w:szCs w:val="20"/>
                <w:color w:val="auto"/>
              </w:rPr>
            </w:pPr>
            <w:r>
              <w:rPr>
                <w:rFonts w:ascii="Arial" w:cs="Arial" w:eastAsia="Arial" w:hAnsi="Arial"/>
                <w:sz w:val="14"/>
                <w:szCs w:val="14"/>
                <w:color w:val="auto"/>
              </w:rPr>
              <w:t>Non-utility cost of revenues, including natural gas</w:t>
            </w:r>
          </w:p>
        </w:tc>
        <w:tc>
          <w:tcPr>
            <w:tcW w:w="700" w:type="dxa"/>
            <w:vAlign w:val="bottom"/>
          </w:tcPr>
          <w:p>
            <w:pPr>
              <w:spacing w:after="0"/>
              <w:rPr>
                <w:sz w:val="16"/>
                <w:szCs w:val="16"/>
                <w:color w:val="auto"/>
              </w:rPr>
            </w:pPr>
          </w:p>
        </w:tc>
        <w:tc>
          <w:tcPr>
            <w:tcW w:w="460" w:type="dxa"/>
            <w:vAlign w:val="bottom"/>
          </w:tcPr>
          <w:p>
            <w:pPr>
              <w:jc w:val="right"/>
              <w:ind w:right="50"/>
              <w:spacing w:after="0"/>
              <w:rPr>
                <w:sz w:val="20"/>
                <w:szCs w:val="20"/>
                <w:color w:val="auto"/>
              </w:rPr>
            </w:pPr>
            <w:r>
              <w:rPr>
                <w:rFonts w:ascii="Arial" w:cs="Arial" w:eastAsia="Arial" w:hAnsi="Arial"/>
                <w:sz w:val="14"/>
                <w:szCs w:val="14"/>
                <w:color w:val="auto"/>
              </w:rPr>
              <w:t>687</w:t>
            </w: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60" w:type="dxa"/>
            <w:vAlign w:val="bottom"/>
          </w:tcPr>
          <w:p>
            <w:pPr>
              <w:jc w:val="right"/>
              <w:ind w:right="49"/>
              <w:spacing w:after="0"/>
              <w:rPr>
                <w:sz w:val="20"/>
                <w:szCs w:val="20"/>
                <w:color w:val="auto"/>
              </w:rPr>
            </w:pPr>
            <w:r>
              <w:rPr>
                <w:rFonts w:ascii="Arial" w:cs="Arial" w:eastAsia="Arial" w:hAnsi="Arial"/>
                <w:sz w:val="14"/>
                <w:szCs w:val="14"/>
                <w:color w:val="auto"/>
              </w:rPr>
              <w:t>864</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jc w:val="right"/>
              <w:ind w:right="30"/>
              <w:spacing w:after="0"/>
              <w:rPr>
                <w:sz w:val="20"/>
                <w:szCs w:val="20"/>
                <w:color w:val="auto"/>
              </w:rPr>
            </w:pPr>
            <w:r>
              <w:rPr>
                <w:rFonts w:ascii="Arial" w:cs="Arial" w:eastAsia="Arial" w:hAnsi="Arial"/>
                <w:sz w:val="14"/>
                <w:szCs w:val="14"/>
                <w:color w:val="auto"/>
              </w:rPr>
              <w:t>2,627</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80" w:type="dxa"/>
            <w:vAlign w:val="bottom"/>
          </w:tcPr>
          <w:p>
            <w:pPr>
              <w:jc w:val="right"/>
              <w:ind w:right="29"/>
              <w:spacing w:after="0"/>
              <w:rPr>
                <w:sz w:val="20"/>
                <w:szCs w:val="20"/>
                <w:color w:val="auto"/>
              </w:rPr>
            </w:pPr>
            <w:r>
              <w:rPr>
                <w:rFonts w:ascii="Arial" w:cs="Arial" w:eastAsia="Arial" w:hAnsi="Arial"/>
                <w:sz w:val="14"/>
                <w:szCs w:val="14"/>
                <w:color w:val="auto"/>
              </w:rPr>
              <w:t>2,927</w:t>
            </w:r>
          </w:p>
        </w:tc>
      </w:tr>
      <w:tr>
        <w:trPr>
          <w:trHeight w:val="23"/>
        </w:trPr>
        <w:tc>
          <w:tcPr>
            <w:tcW w:w="65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96"/>
        </w:trPr>
        <w:tc>
          <w:tcPr>
            <w:tcW w:w="65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Operation and maintenance</w:t>
            </w:r>
          </w:p>
        </w:tc>
        <w:tc>
          <w:tcPr>
            <w:tcW w:w="70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195</w:t>
            </w:r>
          </w:p>
        </w:tc>
        <w:tc>
          <w:tcPr>
            <w:tcW w:w="12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211</w:t>
            </w:r>
          </w:p>
        </w:tc>
        <w:tc>
          <w:tcPr>
            <w:tcW w:w="1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656</w:t>
            </w:r>
          </w:p>
        </w:tc>
        <w:tc>
          <w:tcPr>
            <w:tcW w:w="12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666</w:t>
            </w:r>
          </w:p>
        </w:tc>
      </w:tr>
      <w:tr>
        <w:trPr>
          <w:trHeight w:val="193"/>
        </w:trPr>
        <w:tc>
          <w:tcPr>
            <w:tcW w:w="6540" w:type="dxa"/>
            <w:vAlign w:val="bottom"/>
          </w:tcPr>
          <w:p>
            <w:pPr>
              <w:ind w:left="140"/>
              <w:spacing w:after="0"/>
              <w:rPr>
                <w:sz w:val="20"/>
                <w:szCs w:val="20"/>
                <w:color w:val="auto"/>
              </w:rPr>
            </w:pPr>
            <w:r>
              <w:rPr>
                <w:rFonts w:ascii="Arial" w:cs="Arial" w:eastAsia="Arial" w:hAnsi="Arial"/>
                <w:sz w:val="14"/>
                <w:szCs w:val="14"/>
                <w:color w:val="auto"/>
              </w:rPr>
              <w:t>Depreciation and amortization</w:t>
            </w:r>
          </w:p>
        </w:tc>
        <w:tc>
          <w:tcPr>
            <w:tcW w:w="700" w:type="dxa"/>
            <w:vAlign w:val="bottom"/>
          </w:tcPr>
          <w:p>
            <w:pPr>
              <w:spacing w:after="0"/>
              <w:rPr>
                <w:sz w:val="16"/>
                <w:szCs w:val="16"/>
                <w:color w:val="auto"/>
              </w:rPr>
            </w:pPr>
          </w:p>
        </w:tc>
        <w:tc>
          <w:tcPr>
            <w:tcW w:w="460" w:type="dxa"/>
            <w:vAlign w:val="bottom"/>
          </w:tcPr>
          <w:p>
            <w:pPr>
              <w:jc w:val="right"/>
              <w:ind w:right="50"/>
              <w:spacing w:after="0"/>
              <w:rPr>
                <w:sz w:val="20"/>
                <w:szCs w:val="20"/>
                <w:color w:val="auto"/>
              </w:rPr>
            </w:pPr>
            <w:r>
              <w:rPr>
                <w:rFonts w:ascii="Arial" w:cs="Arial" w:eastAsia="Arial" w:hAnsi="Arial"/>
                <w:sz w:val="14"/>
                <w:szCs w:val="14"/>
                <w:color w:val="auto"/>
              </w:rPr>
              <w:t>75</w:t>
            </w: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60" w:type="dxa"/>
            <w:vAlign w:val="bottom"/>
          </w:tcPr>
          <w:p>
            <w:pPr>
              <w:jc w:val="right"/>
              <w:ind w:right="49"/>
              <w:spacing w:after="0"/>
              <w:rPr>
                <w:sz w:val="20"/>
                <w:szCs w:val="20"/>
                <w:color w:val="auto"/>
              </w:rPr>
            </w:pPr>
            <w:r>
              <w:rPr>
                <w:rFonts w:ascii="Arial" w:cs="Arial" w:eastAsia="Arial" w:hAnsi="Arial"/>
                <w:sz w:val="14"/>
                <w:szCs w:val="14"/>
                <w:color w:val="auto"/>
              </w:rPr>
              <w:t>77</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jc w:val="right"/>
              <w:ind w:right="30"/>
              <w:spacing w:after="0"/>
              <w:rPr>
                <w:sz w:val="20"/>
                <w:szCs w:val="20"/>
                <w:color w:val="auto"/>
              </w:rPr>
            </w:pPr>
            <w:r>
              <w:rPr>
                <w:rFonts w:ascii="Arial" w:cs="Arial" w:eastAsia="Arial" w:hAnsi="Arial"/>
                <w:sz w:val="14"/>
                <w:szCs w:val="14"/>
                <w:color w:val="auto"/>
              </w:rPr>
              <w:t>228</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80" w:type="dxa"/>
            <w:vAlign w:val="bottom"/>
          </w:tcPr>
          <w:p>
            <w:pPr>
              <w:jc w:val="right"/>
              <w:ind w:right="29"/>
              <w:spacing w:after="0"/>
              <w:rPr>
                <w:sz w:val="20"/>
                <w:szCs w:val="20"/>
                <w:color w:val="auto"/>
              </w:rPr>
            </w:pPr>
            <w:r>
              <w:rPr>
                <w:rFonts w:ascii="Arial" w:cs="Arial" w:eastAsia="Arial" w:hAnsi="Arial"/>
                <w:sz w:val="14"/>
                <w:szCs w:val="14"/>
                <w:color w:val="auto"/>
              </w:rPr>
              <w:t>222</w:t>
            </w:r>
          </w:p>
        </w:tc>
      </w:tr>
      <w:tr>
        <w:trPr>
          <w:trHeight w:val="23"/>
        </w:trPr>
        <w:tc>
          <w:tcPr>
            <w:tcW w:w="65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16"/>
        </w:trPr>
        <w:tc>
          <w:tcPr>
            <w:tcW w:w="65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Taxes other than income taxes</w:t>
            </w:r>
          </w:p>
        </w:tc>
        <w:tc>
          <w:tcPr>
            <w:tcW w:w="7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33</w:t>
            </w:r>
          </w:p>
        </w:tc>
        <w:tc>
          <w:tcPr>
            <w:tcW w:w="12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33</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120</w:t>
            </w:r>
          </w:p>
        </w:tc>
        <w:tc>
          <w:tcPr>
            <w:tcW w:w="12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120</w:t>
            </w:r>
          </w:p>
        </w:tc>
      </w:tr>
      <w:tr>
        <w:trPr>
          <w:trHeight w:val="184"/>
        </w:trPr>
        <w:tc>
          <w:tcPr>
            <w:tcW w:w="6540" w:type="dxa"/>
            <w:vAlign w:val="bottom"/>
          </w:tcPr>
          <w:p>
            <w:pPr>
              <w:ind w:left="300"/>
              <w:spacing w:after="0"/>
              <w:rPr>
                <w:sz w:val="20"/>
                <w:szCs w:val="20"/>
                <w:color w:val="auto"/>
              </w:rPr>
            </w:pPr>
            <w:r>
              <w:rPr>
                <w:rFonts w:ascii="Arial" w:cs="Arial" w:eastAsia="Arial" w:hAnsi="Arial"/>
                <w:sz w:val="14"/>
                <w:szCs w:val="14"/>
                <w:color w:val="auto"/>
              </w:rPr>
              <w:t>Total</w:t>
            </w:r>
          </w:p>
        </w:tc>
        <w:tc>
          <w:tcPr>
            <w:tcW w:w="70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tcPr>
          <w:p>
            <w:pPr>
              <w:jc w:val="right"/>
              <w:ind w:right="50"/>
              <w:spacing w:after="0"/>
              <w:rPr>
                <w:sz w:val="20"/>
                <w:szCs w:val="20"/>
                <w:color w:val="auto"/>
              </w:rPr>
            </w:pPr>
            <w:r>
              <w:rPr>
                <w:rFonts w:ascii="Arial" w:cs="Arial" w:eastAsia="Arial" w:hAnsi="Arial"/>
                <w:sz w:val="14"/>
                <w:szCs w:val="14"/>
                <w:color w:val="auto"/>
                <w:w w:val="91"/>
              </w:rPr>
              <w:t>1,103</w:t>
            </w:r>
          </w:p>
        </w:tc>
        <w:tc>
          <w:tcPr>
            <w:tcW w:w="120" w:type="dxa"/>
            <w:vAlign w:val="bottom"/>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w w:val="91"/>
              </w:rPr>
              <w:t>1,319</w:t>
            </w:r>
          </w:p>
        </w:tc>
        <w:tc>
          <w:tcPr>
            <w:tcW w:w="12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ind w:right="30"/>
              <w:spacing w:after="0"/>
              <w:rPr>
                <w:sz w:val="20"/>
                <w:szCs w:val="20"/>
                <w:color w:val="auto"/>
              </w:rPr>
            </w:pPr>
            <w:r>
              <w:rPr>
                <w:rFonts w:ascii="Arial" w:cs="Arial" w:eastAsia="Arial" w:hAnsi="Arial"/>
                <w:sz w:val="14"/>
                <w:szCs w:val="14"/>
                <w:color w:val="auto"/>
              </w:rPr>
              <w:t>4,559</w:t>
            </w:r>
          </w:p>
        </w:tc>
        <w:tc>
          <w:tcPr>
            <w:tcW w:w="120" w:type="dxa"/>
            <w:vAlign w:val="bottom"/>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rPr>
              <w:t>4,894</w:t>
            </w:r>
          </w:p>
        </w:tc>
      </w:tr>
      <w:tr>
        <w:trPr>
          <w:trHeight w:val="23"/>
        </w:trPr>
        <w:tc>
          <w:tcPr>
            <w:tcW w:w="654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206"/>
        </w:trPr>
        <w:tc>
          <w:tcPr>
            <w:tcW w:w="6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Operating Income (Loss)</w:t>
            </w:r>
          </w:p>
        </w:tc>
        <w:tc>
          <w:tcPr>
            <w:tcW w:w="70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23</w:t>
            </w:r>
          </w:p>
        </w:tc>
        <w:tc>
          <w:tcPr>
            <w:tcW w:w="12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277</w:t>
            </w:r>
          </w:p>
        </w:tc>
        <w:tc>
          <w:tcPr>
            <w:tcW w:w="12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146</w:t>
            </w:r>
          </w:p>
        </w:tc>
      </w:tr>
      <w:tr>
        <w:trPr>
          <w:trHeight w:val="173"/>
        </w:trPr>
        <w:tc>
          <w:tcPr>
            <w:tcW w:w="6540" w:type="dxa"/>
            <w:vAlign w:val="bottom"/>
          </w:tcPr>
          <w:p>
            <w:pPr>
              <w:ind w:left="20"/>
              <w:spacing w:after="0"/>
              <w:rPr>
                <w:sz w:val="20"/>
                <w:szCs w:val="20"/>
                <w:color w:val="auto"/>
              </w:rPr>
            </w:pPr>
            <w:r>
              <w:rPr>
                <w:rFonts w:ascii="Arial" w:cs="Arial" w:eastAsia="Arial" w:hAnsi="Arial"/>
                <w:sz w:val="14"/>
                <w:szCs w:val="14"/>
                <w:b w:val="1"/>
                <w:bCs w:val="1"/>
                <w:color w:val="auto"/>
              </w:rPr>
              <w:t>Other Income (Expense):</w:t>
            </w:r>
          </w:p>
        </w:tc>
        <w:tc>
          <w:tcPr>
            <w:tcW w:w="70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r>
      <w:tr>
        <w:trPr>
          <w:trHeight w:val="23"/>
        </w:trPr>
        <w:tc>
          <w:tcPr>
            <w:tcW w:w="65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96"/>
        </w:trPr>
        <w:tc>
          <w:tcPr>
            <w:tcW w:w="65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Interest and other finance charges</w:t>
            </w:r>
          </w:p>
        </w:tc>
        <w:tc>
          <w:tcPr>
            <w:tcW w:w="70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12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1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(87)</w:t>
            </w:r>
          </w:p>
        </w:tc>
        <w:tc>
          <w:tcPr>
            <w:tcW w:w="12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(92)</w:t>
            </w:r>
          </w:p>
        </w:tc>
      </w:tr>
      <w:tr>
        <w:trPr>
          <w:trHeight w:val="193"/>
        </w:trPr>
        <w:tc>
          <w:tcPr>
            <w:tcW w:w="6540" w:type="dxa"/>
            <w:vAlign w:val="bottom"/>
          </w:tcPr>
          <w:p>
            <w:pPr>
              <w:ind w:left="140"/>
              <w:spacing w:after="0"/>
              <w:rPr>
                <w:sz w:val="20"/>
                <w:szCs w:val="20"/>
                <w:color w:val="auto"/>
              </w:rPr>
            </w:pPr>
            <w:r>
              <w:rPr>
                <w:rFonts w:ascii="Arial" w:cs="Arial" w:eastAsia="Arial" w:hAnsi="Arial"/>
                <w:sz w:val="14"/>
                <w:szCs w:val="14"/>
                <w:color w:val="auto"/>
              </w:rPr>
              <w:t>Other expense, net</w:t>
            </w:r>
          </w:p>
        </w:tc>
        <w:tc>
          <w:tcPr>
            <w:tcW w:w="70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(5)</w:t>
            </w:r>
          </w:p>
        </w:tc>
      </w:tr>
      <w:tr>
        <w:trPr>
          <w:trHeight w:val="23"/>
        </w:trPr>
        <w:tc>
          <w:tcPr>
            <w:tcW w:w="654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206"/>
        </w:trPr>
        <w:tc>
          <w:tcPr>
            <w:tcW w:w="654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4"/>
                <w:szCs w:val="14"/>
                <w:color w:val="auto"/>
              </w:rPr>
              <w:t>Total</w:t>
            </w:r>
          </w:p>
        </w:tc>
        <w:tc>
          <w:tcPr>
            <w:tcW w:w="70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12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1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(93)</w:t>
            </w:r>
          </w:p>
        </w:tc>
        <w:tc>
          <w:tcPr>
            <w:tcW w:w="12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(97)</w:t>
            </w:r>
          </w:p>
        </w:tc>
      </w:tr>
      <w:tr>
        <w:trPr>
          <w:trHeight w:val="184"/>
        </w:trPr>
        <w:tc>
          <w:tcPr>
            <w:tcW w:w="6540" w:type="dxa"/>
            <w:vAlign w:val="bottom"/>
          </w:tcPr>
          <w:p>
            <w:pPr>
              <w:ind w:left="20"/>
              <w:spacing w:after="0"/>
              <w:rPr>
                <w:sz w:val="20"/>
                <w:szCs w:val="20"/>
                <w:color w:val="auto"/>
              </w:rPr>
            </w:pPr>
            <w:r>
              <w:rPr>
                <w:rFonts w:ascii="Arial" w:cs="Arial" w:eastAsia="Arial" w:hAnsi="Arial"/>
                <w:sz w:val="14"/>
                <w:szCs w:val="14"/>
                <w:b w:val="1"/>
                <w:bCs w:val="1"/>
                <w:color w:val="auto"/>
              </w:rPr>
              <w:t>Income (Loss) From Continuing Operations Before Income Taxes</w:t>
            </w:r>
          </w:p>
        </w:tc>
        <w:tc>
          <w:tcPr>
            <w:tcW w:w="70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(37)</w:t>
            </w:r>
          </w:p>
        </w:tc>
        <w:tc>
          <w:tcPr>
            <w:tcW w:w="12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ind w:right="30"/>
              <w:spacing w:after="0"/>
              <w:rPr>
                <w:sz w:val="20"/>
                <w:szCs w:val="20"/>
                <w:color w:val="auto"/>
              </w:rPr>
            </w:pPr>
            <w:r>
              <w:rPr>
                <w:rFonts w:ascii="Arial" w:cs="Arial" w:eastAsia="Arial" w:hAnsi="Arial"/>
                <w:sz w:val="14"/>
                <w:szCs w:val="14"/>
                <w:color w:val="auto"/>
              </w:rPr>
              <w:t>184</w:t>
            </w:r>
          </w:p>
        </w:tc>
        <w:tc>
          <w:tcPr>
            <w:tcW w:w="120" w:type="dxa"/>
            <w:vAlign w:val="bottom"/>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rPr>
              <w:t>49</w:t>
            </w:r>
          </w:p>
        </w:tc>
      </w:tr>
      <w:tr>
        <w:trPr>
          <w:trHeight w:val="23"/>
        </w:trPr>
        <w:tc>
          <w:tcPr>
            <w:tcW w:w="65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16"/>
        </w:trPr>
        <w:tc>
          <w:tcPr>
            <w:tcW w:w="65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Income tax expense (benefit)</w:t>
            </w:r>
          </w:p>
        </w:tc>
        <w:tc>
          <w:tcPr>
            <w:tcW w:w="7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25</w:t>
            </w:r>
          </w:p>
        </w:tc>
        <w:tc>
          <w:tcPr>
            <w:tcW w:w="12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14</w:t>
            </w:r>
          </w:p>
        </w:tc>
      </w:tr>
      <w:tr>
        <w:trPr>
          <w:trHeight w:val="184"/>
        </w:trPr>
        <w:tc>
          <w:tcPr>
            <w:tcW w:w="6540" w:type="dxa"/>
            <w:vAlign w:val="bottom"/>
          </w:tcPr>
          <w:p>
            <w:pPr>
              <w:ind w:left="20"/>
              <w:spacing w:after="0"/>
              <w:rPr>
                <w:sz w:val="20"/>
                <w:szCs w:val="20"/>
                <w:color w:val="auto"/>
              </w:rPr>
            </w:pPr>
            <w:r>
              <w:rPr>
                <w:rFonts w:ascii="Arial" w:cs="Arial" w:eastAsia="Arial" w:hAnsi="Arial"/>
                <w:sz w:val="14"/>
                <w:szCs w:val="14"/>
                <w:b w:val="1"/>
                <w:bCs w:val="1"/>
                <w:color w:val="auto"/>
              </w:rPr>
              <w:t>Income (Loss) From Continuing Operations</w:t>
            </w:r>
          </w:p>
        </w:tc>
        <w:tc>
          <w:tcPr>
            <w:tcW w:w="70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(35)</w:t>
            </w:r>
          </w:p>
        </w:tc>
        <w:tc>
          <w:tcPr>
            <w:tcW w:w="12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ind w:right="30"/>
              <w:spacing w:after="0"/>
              <w:rPr>
                <w:sz w:val="20"/>
                <w:szCs w:val="20"/>
                <w:color w:val="auto"/>
              </w:rPr>
            </w:pPr>
            <w:r>
              <w:rPr>
                <w:rFonts w:ascii="Arial" w:cs="Arial" w:eastAsia="Arial" w:hAnsi="Arial"/>
                <w:sz w:val="14"/>
                <w:szCs w:val="14"/>
                <w:color w:val="auto"/>
              </w:rPr>
              <w:t>159</w:t>
            </w:r>
          </w:p>
        </w:tc>
        <w:tc>
          <w:tcPr>
            <w:tcW w:w="120" w:type="dxa"/>
            <w:vAlign w:val="bottom"/>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rPr>
              <w:t>35</w:t>
            </w:r>
          </w:p>
        </w:tc>
      </w:tr>
      <w:tr>
        <w:trPr>
          <w:trHeight w:val="23"/>
        </w:trPr>
        <w:tc>
          <w:tcPr>
            <w:tcW w:w="65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16"/>
        </w:trPr>
        <w:tc>
          <w:tcPr>
            <w:tcW w:w="65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Income from discontinued operations (net of tax of $-0-, $13, $-0- and $44, respectively)</w:t>
            </w:r>
          </w:p>
        </w:tc>
        <w:tc>
          <w:tcPr>
            <w:tcW w:w="70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44</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140</w:t>
            </w:r>
          </w:p>
        </w:tc>
      </w:tr>
      <w:tr>
        <w:trPr>
          <w:trHeight w:val="200"/>
        </w:trPr>
        <w:tc>
          <w:tcPr>
            <w:tcW w:w="6540" w:type="dxa"/>
            <w:vAlign w:val="bottom"/>
          </w:tcPr>
          <w:p>
            <w:pPr>
              <w:ind w:left="20"/>
              <w:spacing w:after="0"/>
              <w:rPr>
                <w:sz w:val="20"/>
                <w:szCs w:val="20"/>
                <w:color w:val="auto"/>
              </w:rPr>
            </w:pPr>
            <w:r>
              <w:rPr>
                <w:rFonts w:ascii="Arial" w:cs="Arial" w:eastAsia="Arial" w:hAnsi="Arial"/>
                <w:sz w:val="14"/>
                <w:szCs w:val="14"/>
                <w:b w:val="1"/>
                <w:bCs w:val="1"/>
                <w:color w:val="auto"/>
              </w:rPr>
              <w:t>Net Income (Loss)</w:t>
            </w:r>
          </w:p>
        </w:tc>
        <w:tc>
          <w:tcPr>
            <w:tcW w:w="70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4"/>
                <w:szCs w:val="14"/>
                <w:color w:val="auto"/>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17"/>
                <w:szCs w:val="17"/>
                <w:color w:val="auto"/>
              </w:rPr>
            </w:pPr>
          </w:p>
        </w:tc>
        <w:tc>
          <w:tcPr>
            <w:tcW w:w="70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4"/>
                <w:szCs w:val="14"/>
                <w:color w:val="auto"/>
              </w:rPr>
              <w:t>$</w:t>
            </w:r>
          </w:p>
        </w:tc>
        <w:tc>
          <w:tcPr>
            <w:tcW w:w="46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17"/>
                <w:szCs w:val="17"/>
                <w:color w:val="auto"/>
              </w:rPr>
            </w:pPr>
          </w:p>
        </w:tc>
        <w:tc>
          <w:tcPr>
            <w:tcW w:w="32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4"/>
                <w:szCs w:val="14"/>
                <w:color w:val="auto"/>
              </w:rPr>
              <w:t>159</w:t>
            </w:r>
          </w:p>
        </w:tc>
        <w:tc>
          <w:tcPr>
            <w:tcW w:w="120" w:type="dxa"/>
            <w:vAlign w:val="bottom"/>
          </w:tcPr>
          <w:p>
            <w:pPr>
              <w:spacing w:after="0"/>
              <w:rPr>
                <w:sz w:val="17"/>
                <w:szCs w:val="17"/>
                <w:color w:val="auto"/>
              </w:rPr>
            </w:pPr>
          </w:p>
        </w:tc>
        <w:tc>
          <w:tcPr>
            <w:tcW w:w="440" w:type="dxa"/>
            <w:vAlign w:val="bottom"/>
            <w:tcBorders>
              <w:top w:val="single" w:sz="8" w:color="auto"/>
              <w:bottom w:val="single" w:sz="8" w:color="auto"/>
            </w:tcBorders>
          </w:tcPr>
          <w:p>
            <w:pPr>
              <w:jc w:val="right"/>
              <w:ind w:right="288"/>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175</w:t>
            </w:r>
          </w:p>
        </w:tc>
      </w:tr>
      <w:tr>
        <w:trPr>
          <w:trHeight w:val="20"/>
        </w:trPr>
        <w:tc>
          <w:tcPr>
            <w:tcW w:w="65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16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Combined Notes to Unaudited Condensed Consolidated Financial Statements</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ectPr>
          <w:pgSz w:w="11900" w:h="16838" w:orient="portrait"/>
          <w:cols w:equalWidth="0" w:num="1">
            <w:col w:w="11460"/>
          </w:cols>
          <w:pgMar w:left="220" w:top="129" w:right="219" w:bottom="1440" w:gutter="0" w:footer="0" w:header="0"/>
        </w:sectPr>
      </w:pPr>
    </w:p>
    <w:bookmarkStart w:id="23" w:name="page24"/>
    <w:bookmarkEnd w:id="23"/>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2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CENTERPOINT ENERGY RESOURCES CORP. AND SUBSIDIARIES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(AN INDIRECT, WHOLLY-OWNED SUBSIDIARY OF CENTERPOINT ENERGY,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CONDENSED STATEMENTS OF CONSOLIDATED COMPREHENSIVE INCOME</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56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0" w:type="dxa"/>
            <w:vAlign w:val="bottom"/>
            <w:gridSpan w:val="3"/>
          </w:tcPr>
          <w:p>
            <w:pPr>
              <w:jc w:val="right"/>
              <w:ind w:right="433"/>
              <w:spacing w:after="0"/>
              <w:rPr>
                <w:sz w:val="20"/>
                <w:szCs w:val="20"/>
                <w:color w:val="auto"/>
              </w:rPr>
            </w:pPr>
            <w:r>
              <w:rPr>
                <w:rFonts w:ascii="Arial" w:cs="Arial" w:eastAsia="Arial" w:hAnsi="Arial"/>
                <w:sz w:val="11"/>
                <w:szCs w:val="11"/>
                <w:b w:val="1"/>
                <w:bCs w:val="1"/>
                <w:color w:val="auto"/>
                <w:w w:val="99"/>
              </w:rPr>
              <w:t>Three Months Ended</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120" w:type="dxa"/>
            <w:vAlign w:val="bottom"/>
            <w:gridSpan w:val="3"/>
          </w:tcPr>
          <w:p>
            <w:pPr>
              <w:jc w:val="right"/>
              <w:spacing w:after="0"/>
              <w:rPr>
                <w:sz w:val="20"/>
                <w:szCs w:val="20"/>
                <w:color w:val="auto"/>
              </w:rPr>
            </w:pPr>
            <w:r>
              <w:rPr>
                <w:rFonts w:ascii="Arial" w:cs="Arial" w:eastAsia="Arial" w:hAnsi="Arial"/>
                <w:sz w:val="11"/>
                <w:szCs w:val="11"/>
                <w:b w:val="1"/>
                <w:bCs w:val="1"/>
                <w:color w:val="auto"/>
              </w:rPr>
              <w:t>Nine Months Ended</w:t>
            </w:r>
          </w:p>
        </w:tc>
        <w:tc>
          <w:tcPr>
            <w:tcW w:w="840" w:type="dxa"/>
            <w:vAlign w:val="bottom"/>
          </w:tcPr>
          <w:p>
            <w:pPr>
              <w:spacing w:after="0"/>
              <w:rPr>
                <w:sz w:val="12"/>
                <w:szCs w:val="12"/>
                <w:color w:val="auto"/>
              </w:rPr>
            </w:pPr>
          </w:p>
        </w:tc>
      </w:tr>
      <w:tr>
        <w:trPr>
          <w:trHeight w:val="220"/>
        </w:trPr>
        <w:tc>
          <w:tcPr>
            <w:tcW w:w="562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3"/>
          </w:tcPr>
          <w:p>
            <w:pPr>
              <w:jc w:val="right"/>
              <w:ind w:right="593"/>
              <w:spacing w:after="0"/>
              <w:rPr>
                <w:sz w:val="20"/>
                <w:szCs w:val="20"/>
                <w:color w:val="auto"/>
              </w:rPr>
            </w:pPr>
            <w:r>
              <w:rPr>
                <w:rFonts w:ascii="Arial" w:cs="Arial" w:eastAsia="Arial" w:hAnsi="Arial"/>
                <w:sz w:val="11"/>
                <w:szCs w:val="11"/>
                <w:b w:val="1"/>
                <w:bCs w:val="1"/>
                <w:color w:val="auto"/>
              </w:rPr>
              <w:t>September 30,</w:t>
            </w:r>
          </w:p>
        </w:tc>
        <w:tc>
          <w:tcPr>
            <w:tcW w:w="4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3"/>
          </w:tcPr>
          <w:p>
            <w:pPr>
              <w:jc w:val="right"/>
              <w:ind w:right="128"/>
              <w:spacing w:after="0"/>
              <w:rPr>
                <w:sz w:val="20"/>
                <w:szCs w:val="20"/>
                <w:color w:val="auto"/>
              </w:rPr>
            </w:pPr>
            <w:r>
              <w:rPr>
                <w:rFonts w:ascii="Arial" w:cs="Arial" w:eastAsia="Arial" w:hAnsi="Arial"/>
                <w:sz w:val="11"/>
                <w:szCs w:val="11"/>
                <w:b w:val="1"/>
                <w:bCs w:val="1"/>
                <w:color w:val="auto"/>
              </w:rPr>
              <w:t>September 30,</w:t>
            </w:r>
          </w:p>
        </w:tc>
        <w:tc>
          <w:tcPr>
            <w:tcW w:w="840" w:type="dxa"/>
            <w:vAlign w:val="bottom"/>
            <w:tcBorders>
              <w:bottom w:val="single" w:sz="8" w:color="auto"/>
            </w:tcBorders>
          </w:tcPr>
          <w:p>
            <w:pPr>
              <w:spacing w:after="0"/>
              <w:rPr>
                <w:sz w:val="19"/>
                <w:szCs w:val="19"/>
                <w:color w:val="auto"/>
              </w:rPr>
            </w:pPr>
          </w:p>
        </w:tc>
      </w:tr>
      <w:tr>
        <w:trPr>
          <w:trHeight w:val="206"/>
        </w:trPr>
        <w:tc>
          <w:tcPr>
            <w:tcW w:w="5620" w:type="dxa"/>
            <w:vAlign w:val="bottom"/>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2019</w:t>
            </w:r>
          </w:p>
        </w:tc>
        <w:tc>
          <w:tcPr>
            <w:tcW w:w="5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93"/>
              <w:spacing w:after="0"/>
              <w:rPr>
                <w:sz w:val="20"/>
                <w:szCs w:val="20"/>
                <w:color w:val="auto"/>
              </w:rPr>
            </w:pPr>
            <w:r>
              <w:rPr>
                <w:rFonts w:ascii="Arial" w:cs="Arial" w:eastAsia="Arial" w:hAnsi="Arial"/>
                <w:sz w:val="11"/>
                <w:szCs w:val="11"/>
                <w:b w:val="1"/>
                <w:bCs w:val="1"/>
                <w:color w:val="auto"/>
              </w:rPr>
              <w:t>2018</w:t>
            </w:r>
          </w:p>
        </w:tc>
        <w:tc>
          <w:tcPr>
            <w:tcW w:w="4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2019</w:t>
            </w:r>
          </w:p>
        </w:tc>
        <w:tc>
          <w:tcPr>
            <w:tcW w:w="5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493"/>
              <w:spacing w:after="0"/>
              <w:rPr>
                <w:sz w:val="20"/>
                <w:szCs w:val="20"/>
                <w:color w:val="auto"/>
              </w:rPr>
            </w:pPr>
            <w:r>
              <w:rPr>
                <w:rFonts w:ascii="Arial" w:cs="Arial" w:eastAsia="Arial" w:hAnsi="Arial"/>
                <w:sz w:val="11"/>
                <w:szCs w:val="11"/>
                <w:b w:val="1"/>
                <w:bCs w:val="1"/>
                <w:color w:val="auto"/>
              </w:rPr>
              <w:t>2018</w:t>
            </w:r>
          </w:p>
        </w:tc>
      </w:tr>
      <w:tr>
        <w:trPr>
          <w:trHeight w:val="196"/>
        </w:trPr>
        <w:tc>
          <w:tcPr>
            <w:tcW w:w="56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0" w:type="dxa"/>
            <w:vAlign w:val="bottom"/>
            <w:gridSpan w:val="3"/>
          </w:tcPr>
          <w:p>
            <w:pPr>
              <w:jc w:val="right"/>
              <w:ind w:right="593"/>
              <w:spacing w:after="0"/>
              <w:rPr>
                <w:sz w:val="20"/>
                <w:szCs w:val="20"/>
                <w:color w:val="auto"/>
              </w:rPr>
            </w:pPr>
            <w:r>
              <w:rPr>
                <w:rFonts w:ascii="Arial" w:cs="Arial" w:eastAsia="Arial" w:hAnsi="Arial"/>
                <w:sz w:val="11"/>
                <w:szCs w:val="11"/>
                <w:b w:val="1"/>
                <w:bCs w:val="1"/>
                <w:color w:val="auto"/>
              </w:rPr>
              <w:t>(in millions)</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20"/>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income (loss)</w:t>
            </w:r>
          </w:p>
        </w:tc>
        <w:tc>
          <w:tcPr>
            <w:tcW w:w="880" w:type="dxa"/>
            <w:vAlign w:val="bottom"/>
            <w:tcBorders>
              <w:bottom w:val="single" w:sz="8" w:color="CCEEFF"/>
            </w:tcBorders>
            <w:shd w:val="clear" w:color="auto" w:fill="CCEEFF"/>
          </w:tcPr>
          <w:p>
            <w:pPr>
              <w:jc w:val="right"/>
              <w:ind w:right="713"/>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4"/>
                <w:szCs w:val="14"/>
                <w:color w:val="auto"/>
              </w:rPr>
              <w:t>(7)</w:t>
            </w:r>
          </w:p>
        </w:tc>
        <w:tc>
          <w:tcPr>
            <w:tcW w:w="1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ind w:right="813"/>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4"/>
                <w:szCs w:val="14"/>
                <w:color w:val="auto"/>
              </w:rPr>
              <w:t>9</w:t>
            </w:r>
          </w:p>
        </w:tc>
        <w:tc>
          <w:tcPr>
            <w:tcW w:w="1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693"/>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4"/>
                <w:szCs w:val="14"/>
                <w:color w:val="auto"/>
              </w:rPr>
              <w:t>159</w:t>
            </w:r>
          </w:p>
        </w:tc>
        <w:tc>
          <w:tcPr>
            <w:tcW w:w="10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jc w:val="right"/>
              <w:ind w:right="34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4"/>
                <w:szCs w:val="14"/>
                <w:color w:val="auto"/>
              </w:rPr>
              <w:t>175</w:t>
            </w:r>
          </w:p>
        </w:tc>
      </w:tr>
      <w:tr>
        <w:trPr>
          <w:trHeight w:val="200"/>
        </w:trPr>
        <w:tc>
          <w:tcPr>
            <w:tcW w:w="5620" w:type="dxa"/>
            <w:vAlign w:val="bottom"/>
          </w:tcPr>
          <w:p>
            <w:pPr>
              <w:ind w:left="20"/>
              <w:spacing w:after="0"/>
              <w:rPr>
                <w:sz w:val="20"/>
                <w:szCs w:val="20"/>
                <w:color w:val="auto"/>
              </w:rPr>
            </w:pPr>
            <w:r>
              <w:rPr>
                <w:rFonts w:ascii="Arial" w:cs="Arial" w:eastAsia="Arial" w:hAnsi="Arial"/>
                <w:sz w:val="14"/>
                <w:szCs w:val="14"/>
                <w:color w:val="auto"/>
              </w:rPr>
              <w:t>Comprehensive income (loss)</w:t>
            </w:r>
          </w:p>
        </w:tc>
        <w:tc>
          <w:tcPr>
            <w:tcW w:w="880" w:type="dxa"/>
            <w:vAlign w:val="bottom"/>
            <w:tcBorders>
              <w:top w:val="single" w:sz="8" w:color="auto"/>
              <w:bottom w:val="single" w:sz="8" w:color="auto"/>
            </w:tcBorders>
          </w:tcPr>
          <w:p>
            <w:pPr>
              <w:jc w:val="right"/>
              <w:ind w:right="713"/>
              <w:spacing w:after="0"/>
              <w:rPr>
                <w:sz w:val="20"/>
                <w:szCs w:val="20"/>
                <w:color w:val="auto"/>
              </w:rPr>
            </w:pPr>
            <w:r>
              <w:rPr>
                <w:rFonts w:ascii="Arial" w:cs="Arial" w:eastAsia="Arial" w:hAnsi="Arial"/>
                <w:sz w:val="14"/>
                <w:szCs w:val="14"/>
                <w:color w:val="auto"/>
              </w:rPr>
              <w:t>$</w:t>
            </w:r>
          </w:p>
        </w:tc>
        <w:tc>
          <w:tcPr>
            <w:tcW w:w="52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7"/>
                <w:szCs w:val="17"/>
                <w:color w:val="auto"/>
              </w:rPr>
            </w:pPr>
          </w:p>
        </w:tc>
        <w:tc>
          <w:tcPr>
            <w:tcW w:w="980" w:type="dxa"/>
            <w:vAlign w:val="bottom"/>
            <w:tcBorders>
              <w:top w:val="single" w:sz="8" w:color="auto"/>
              <w:bottom w:val="single" w:sz="8" w:color="auto"/>
            </w:tcBorders>
          </w:tcPr>
          <w:p>
            <w:pPr>
              <w:jc w:val="right"/>
              <w:ind w:right="813"/>
              <w:spacing w:after="0"/>
              <w:rPr>
                <w:sz w:val="20"/>
                <w:szCs w:val="20"/>
                <w:color w:val="auto"/>
              </w:rPr>
            </w:pPr>
            <w:r>
              <w:rPr>
                <w:rFonts w:ascii="Arial" w:cs="Arial" w:eastAsia="Arial" w:hAnsi="Arial"/>
                <w:sz w:val="14"/>
                <w:szCs w:val="14"/>
                <w:color w:val="auto"/>
              </w:rPr>
              <w:t>$</w:t>
            </w:r>
          </w:p>
        </w:tc>
        <w:tc>
          <w:tcPr>
            <w:tcW w:w="42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17"/>
                <w:szCs w:val="17"/>
                <w:color w:val="auto"/>
              </w:rPr>
            </w:pPr>
          </w:p>
        </w:tc>
        <w:tc>
          <w:tcPr>
            <w:tcW w:w="860" w:type="dxa"/>
            <w:vAlign w:val="bottom"/>
            <w:tcBorders>
              <w:top w:val="single" w:sz="8" w:color="auto"/>
              <w:bottom w:val="single" w:sz="8" w:color="auto"/>
            </w:tcBorders>
          </w:tcPr>
          <w:p>
            <w:pPr>
              <w:jc w:val="right"/>
              <w:ind w:right="693"/>
              <w:spacing w:after="0"/>
              <w:rPr>
                <w:sz w:val="20"/>
                <w:szCs w:val="20"/>
                <w:color w:val="auto"/>
              </w:rPr>
            </w:pPr>
            <w:r>
              <w:rPr>
                <w:rFonts w:ascii="Arial" w:cs="Arial" w:eastAsia="Arial" w:hAnsi="Arial"/>
                <w:sz w:val="14"/>
                <w:szCs w:val="14"/>
                <w:color w:val="auto"/>
              </w:rPr>
              <w:t>$</w:t>
            </w:r>
          </w:p>
        </w:tc>
        <w:tc>
          <w:tcPr>
            <w:tcW w:w="50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4"/>
                <w:szCs w:val="14"/>
                <w:color w:val="auto"/>
              </w:rPr>
              <w:t>159</w:t>
            </w:r>
          </w:p>
        </w:tc>
        <w:tc>
          <w:tcPr>
            <w:tcW w:w="100" w:type="dxa"/>
            <w:vAlign w:val="bottom"/>
          </w:tcPr>
          <w:p>
            <w:pPr>
              <w:spacing w:after="0"/>
              <w:rPr>
                <w:sz w:val="17"/>
                <w:szCs w:val="17"/>
                <w:color w:val="auto"/>
              </w:rPr>
            </w:pPr>
          </w:p>
        </w:tc>
        <w:tc>
          <w:tcPr>
            <w:tcW w:w="520" w:type="dxa"/>
            <w:vAlign w:val="bottom"/>
            <w:tcBorders>
              <w:top w:val="single" w:sz="8" w:color="auto"/>
              <w:bottom w:val="single" w:sz="8" w:color="auto"/>
            </w:tcBorders>
          </w:tcPr>
          <w:p>
            <w:pPr>
              <w:jc w:val="right"/>
              <w:ind w:right="348"/>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4"/>
                <w:szCs w:val="14"/>
                <w:color w:val="auto"/>
              </w:rPr>
              <w:t>175</w:t>
            </w:r>
          </w:p>
        </w:tc>
      </w:tr>
      <w:tr>
        <w:trPr>
          <w:trHeight w:val="20"/>
        </w:trPr>
        <w:tc>
          <w:tcPr>
            <w:tcW w:w="56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6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Combined Notes to Unaudited Condensed Consolidated Financial Statements</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ectPr>
          <w:pgSz w:w="11900" w:h="16838" w:orient="portrait"/>
          <w:cols w:equalWidth="0" w:num="1">
            <w:col w:w="11460"/>
          </w:cols>
          <w:pgMar w:left="220" w:top="129" w:right="219" w:bottom="1440" w:gutter="0" w:footer="0" w:header="0"/>
        </w:sectPr>
      </w:pPr>
    </w:p>
    <w:bookmarkStart w:id="24" w:name="page25"/>
    <w:bookmarkEnd w:id="24"/>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2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CENTERPOINT ENERGY RESOURCES CORP. AND SUBSIDIARIES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(AN INDIRECT, WHOLLY-OWNED SUBSIDIARY OF CENTERPOINT ENERGY,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CONDENSED CONSOLIDATED BALANCE SHEETS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ASSETS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8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80" w:type="dxa"/>
            <w:vAlign w:val="bottom"/>
            <w:gridSpan w:val="2"/>
          </w:tcPr>
          <w:p>
            <w:pPr>
              <w:ind w:left="120"/>
              <w:spacing w:after="0"/>
              <w:rPr>
                <w:sz w:val="20"/>
                <w:szCs w:val="20"/>
                <w:color w:val="auto"/>
              </w:rPr>
            </w:pPr>
            <w:r>
              <w:rPr>
                <w:rFonts w:ascii="Arial" w:cs="Arial" w:eastAsia="Arial" w:hAnsi="Arial"/>
                <w:sz w:val="11"/>
                <w:szCs w:val="11"/>
                <w:b w:val="1"/>
                <w:bCs w:val="1"/>
                <w:color w:val="auto"/>
              </w:rPr>
              <w:t>September 30,</w:t>
            </w:r>
          </w:p>
        </w:tc>
        <w:tc>
          <w:tcPr>
            <w:tcW w:w="280" w:type="dxa"/>
            <w:vAlign w:val="bottom"/>
          </w:tcPr>
          <w:p>
            <w:pPr>
              <w:spacing w:after="0"/>
              <w:rPr>
                <w:sz w:val="10"/>
                <w:szCs w:val="10"/>
                <w:color w:val="auto"/>
              </w:rPr>
            </w:pPr>
          </w:p>
        </w:tc>
        <w:tc>
          <w:tcPr>
            <w:tcW w:w="1080" w:type="dxa"/>
            <w:vAlign w:val="bottom"/>
          </w:tcPr>
          <w:p>
            <w:pPr>
              <w:jc w:val="right"/>
              <w:ind w:right="290"/>
              <w:spacing w:after="0"/>
              <w:rPr>
                <w:sz w:val="20"/>
                <w:szCs w:val="20"/>
                <w:color w:val="auto"/>
              </w:rPr>
            </w:pPr>
            <w:r>
              <w:rPr>
                <w:rFonts w:ascii="Arial" w:cs="Arial" w:eastAsia="Arial" w:hAnsi="Arial"/>
                <w:sz w:val="11"/>
                <w:szCs w:val="11"/>
                <w:b w:val="1"/>
                <w:bCs w:val="1"/>
                <w:color w:val="auto"/>
                <w:w w:val="97"/>
              </w:rPr>
              <w:t>December 31,</w:t>
            </w:r>
          </w:p>
        </w:tc>
      </w:tr>
      <w:tr>
        <w:trPr>
          <w:trHeight w:val="153"/>
        </w:trPr>
        <w:tc>
          <w:tcPr>
            <w:tcW w:w="86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10"/>
              <w:spacing w:after="0"/>
              <w:rPr>
                <w:sz w:val="20"/>
                <w:szCs w:val="20"/>
                <w:color w:val="auto"/>
              </w:rPr>
            </w:pPr>
            <w:r>
              <w:rPr>
                <w:rFonts w:ascii="Arial" w:cs="Arial" w:eastAsia="Arial" w:hAnsi="Arial"/>
                <w:sz w:val="11"/>
                <w:szCs w:val="11"/>
                <w:b w:val="1"/>
                <w:bCs w:val="1"/>
                <w:color w:val="auto"/>
              </w:rPr>
              <w:t>2019</w:t>
            </w:r>
          </w:p>
        </w:tc>
        <w:tc>
          <w:tcPr>
            <w:tcW w:w="10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490"/>
              <w:spacing w:after="0"/>
              <w:rPr>
                <w:sz w:val="20"/>
                <w:szCs w:val="20"/>
                <w:color w:val="auto"/>
              </w:rPr>
            </w:pPr>
            <w:r>
              <w:rPr>
                <w:rFonts w:ascii="Arial" w:cs="Arial" w:eastAsia="Arial" w:hAnsi="Arial"/>
                <w:sz w:val="11"/>
                <w:szCs w:val="11"/>
                <w:b w:val="1"/>
                <w:bCs w:val="1"/>
                <w:color w:val="auto"/>
              </w:rPr>
              <w:t>2018</w:t>
            </w:r>
          </w:p>
        </w:tc>
      </w:tr>
      <w:tr>
        <w:trPr>
          <w:trHeight w:val="191"/>
        </w:trPr>
        <w:tc>
          <w:tcPr>
            <w:tcW w:w="8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60" w:type="dxa"/>
            <w:vAlign w:val="bottom"/>
            <w:gridSpan w:val="3"/>
          </w:tcPr>
          <w:p>
            <w:pPr>
              <w:jc w:val="right"/>
              <w:spacing w:after="0"/>
              <w:rPr>
                <w:sz w:val="20"/>
                <w:szCs w:val="20"/>
                <w:color w:val="auto"/>
              </w:rPr>
            </w:pPr>
            <w:r>
              <w:rPr>
                <w:rFonts w:ascii="Arial" w:cs="Arial" w:eastAsia="Arial" w:hAnsi="Arial"/>
                <w:sz w:val="11"/>
                <w:szCs w:val="11"/>
                <w:b w:val="1"/>
                <w:bCs w:val="1"/>
                <w:color w:val="auto"/>
              </w:rPr>
              <w:t>(in millions)</w:t>
            </w:r>
          </w:p>
        </w:tc>
        <w:tc>
          <w:tcPr>
            <w:tcW w:w="1080" w:type="dxa"/>
            <w:vAlign w:val="bottom"/>
          </w:tcPr>
          <w:p>
            <w:pPr>
              <w:spacing w:after="0"/>
              <w:rPr>
                <w:sz w:val="16"/>
                <w:szCs w:val="16"/>
                <w:color w:val="auto"/>
              </w:rPr>
            </w:pPr>
          </w:p>
        </w:tc>
      </w:tr>
      <w:tr>
        <w:trPr>
          <w:trHeight w:val="202"/>
        </w:trPr>
        <w:tc>
          <w:tcPr>
            <w:tcW w:w="8600" w:type="dxa"/>
            <w:vAlign w:val="bottom"/>
          </w:tcPr>
          <w:p>
            <w:pPr>
              <w:ind w:left="20"/>
              <w:spacing w:after="0"/>
              <w:rPr>
                <w:sz w:val="20"/>
                <w:szCs w:val="20"/>
                <w:color w:val="auto"/>
              </w:rPr>
            </w:pPr>
            <w:r>
              <w:rPr>
                <w:rFonts w:ascii="Arial" w:cs="Arial" w:eastAsia="Arial" w:hAnsi="Arial"/>
                <w:sz w:val="14"/>
                <w:szCs w:val="14"/>
                <w:b w:val="1"/>
                <w:bCs w:val="1"/>
                <w:color w:val="auto"/>
              </w:rPr>
              <w:t>Current Assets</w:t>
            </w: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3"/>
        </w:trPr>
        <w:tc>
          <w:tcPr>
            <w:tcW w:w="8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96"/>
        </w:trPr>
        <w:tc>
          <w:tcPr>
            <w:tcW w:w="86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Cash and cash equivalents</w:t>
            </w:r>
          </w:p>
        </w:tc>
        <w:tc>
          <w:tcPr>
            <w:tcW w:w="2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2</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14</w:t>
            </w:r>
          </w:p>
        </w:tc>
      </w:tr>
      <w:tr>
        <w:trPr>
          <w:trHeight w:val="193"/>
        </w:trPr>
        <w:tc>
          <w:tcPr>
            <w:tcW w:w="8600" w:type="dxa"/>
            <w:vAlign w:val="bottom"/>
          </w:tcPr>
          <w:p>
            <w:pPr>
              <w:ind w:left="140"/>
              <w:spacing w:after="0"/>
              <w:rPr>
                <w:sz w:val="20"/>
                <w:szCs w:val="20"/>
                <w:color w:val="auto"/>
              </w:rPr>
            </w:pPr>
            <w:r>
              <w:rPr>
                <w:rFonts w:ascii="Arial" w:cs="Arial" w:eastAsia="Arial" w:hAnsi="Arial"/>
                <w:sz w:val="14"/>
                <w:szCs w:val="14"/>
                <w:color w:val="auto"/>
              </w:rPr>
              <w:t>Accounts receivable, less bad debt reserve of $16 and $17, respectively</w:t>
            </w:r>
          </w:p>
        </w:tc>
        <w:tc>
          <w:tcPr>
            <w:tcW w:w="220" w:type="dxa"/>
            <w:vAlign w:val="bottom"/>
          </w:tcPr>
          <w:p>
            <w:pPr>
              <w:spacing w:after="0"/>
              <w:rPr>
                <w:sz w:val="16"/>
                <w:szCs w:val="16"/>
                <w:color w:val="auto"/>
              </w:rPr>
            </w:pPr>
          </w:p>
        </w:tc>
        <w:tc>
          <w:tcPr>
            <w:tcW w:w="1180" w:type="dxa"/>
            <w:vAlign w:val="bottom"/>
          </w:tcPr>
          <w:p>
            <w:pPr>
              <w:jc w:val="right"/>
              <w:ind w:right="50"/>
              <w:spacing w:after="0"/>
              <w:rPr>
                <w:sz w:val="20"/>
                <w:szCs w:val="20"/>
                <w:color w:val="auto"/>
              </w:rPr>
            </w:pPr>
            <w:r>
              <w:rPr>
                <w:rFonts w:ascii="Arial" w:cs="Arial" w:eastAsia="Arial" w:hAnsi="Arial"/>
                <w:sz w:val="14"/>
                <w:szCs w:val="14"/>
                <w:color w:val="auto"/>
              </w:rPr>
              <w:t>428</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jc w:val="right"/>
              <w:ind w:right="30"/>
              <w:spacing w:after="0"/>
              <w:rPr>
                <w:sz w:val="20"/>
                <w:szCs w:val="20"/>
                <w:color w:val="auto"/>
              </w:rPr>
            </w:pPr>
            <w:r>
              <w:rPr>
                <w:rFonts w:ascii="Arial" w:cs="Arial" w:eastAsia="Arial" w:hAnsi="Arial"/>
                <w:sz w:val="14"/>
                <w:szCs w:val="14"/>
                <w:color w:val="auto"/>
              </w:rPr>
              <w:t>894</w:t>
            </w:r>
          </w:p>
        </w:tc>
      </w:tr>
      <w:tr>
        <w:trPr>
          <w:trHeight w:val="23"/>
        </w:trPr>
        <w:tc>
          <w:tcPr>
            <w:tcW w:w="8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96"/>
        </w:trPr>
        <w:tc>
          <w:tcPr>
            <w:tcW w:w="86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Accrued unbilled revenues</w:t>
            </w:r>
          </w:p>
        </w:tc>
        <w:tc>
          <w:tcPr>
            <w:tcW w:w="22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83</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268</w:t>
            </w:r>
          </w:p>
        </w:tc>
      </w:tr>
      <w:tr>
        <w:trPr>
          <w:trHeight w:val="193"/>
        </w:trPr>
        <w:tc>
          <w:tcPr>
            <w:tcW w:w="8600" w:type="dxa"/>
            <w:vAlign w:val="bottom"/>
          </w:tcPr>
          <w:p>
            <w:pPr>
              <w:ind w:left="140"/>
              <w:spacing w:after="0"/>
              <w:rPr>
                <w:sz w:val="20"/>
                <w:szCs w:val="20"/>
                <w:color w:val="auto"/>
              </w:rPr>
            </w:pPr>
            <w:r>
              <w:rPr>
                <w:rFonts w:ascii="Arial" w:cs="Arial" w:eastAsia="Arial" w:hAnsi="Arial"/>
                <w:sz w:val="14"/>
                <w:szCs w:val="14"/>
                <w:color w:val="auto"/>
              </w:rPr>
              <w:t>Accounts and notes receivable–affiliated companies</w:t>
            </w:r>
          </w:p>
        </w:tc>
        <w:tc>
          <w:tcPr>
            <w:tcW w:w="220" w:type="dxa"/>
            <w:vAlign w:val="bottom"/>
          </w:tcPr>
          <w:p>
            <w:pPr>
              <w:spacing w:after="0"/>
              <w:rPr>
                <w:sz w:val="16"/>
                <w:szCs w:val="16"/>
                <w:color w:val="auto"/>
              </w:rPr>
            </w:pPr>
          </w:p>
        </w:tc>
        <w:tc>
          <w:tcPr>
            <w:tcW w:w="1180" w:type="dxa"/>
            <w:vAlign w:val="bottom"/>
          </w:tcPr>
          <w:p>
            <w:pPr>
              <w:jc w:val="right"/>
              <w:ind w:right="50"/>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jc w:val="right"/>
              <w:ind w:right="30"/>
              <w:spacing w:after="0"/>
              <w:rPr>
                <w:sz w:val="20"/>
                <w:szCs w:val="20"/>
                <w:color w:val="auto"/>
              </w:rPr>
            </w:pPr>
            <w:r>
              <w:rPr>
                <w:rFonts w:ascii="Arial" w:cs="Arial" w:eastAsia="Arial" w:hAnsi="Arial"/>
                <w:sz w:val="14"/>
                <w:szCs w:val="14"/>
                <w:color w:val="auto"/>
              </w:rPr>
              <w:t>120</w:t>
            </w:r>
          </w:p>
        </w:tc>
      </w:tr>
      <w:tr>
        <w:trPr>
          <w:trHeight w:val="23"/>
        </w:trPr>
        <w:tc>
          <w:tcPr>
            <w:tcW w:w="8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96"/>
        </w:trPr>
        <w:tc>
          <w:tcPr>
            <w:tcW w:w="86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Materials and supplies</w:t>
            </w:r>
          </w:p>
        </w:tc>
        <w:tc>
          <w:tcPr>
            <w:tcW w:w="22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73</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65</w:t>
            </w:r>
          </w:p>
        </w:tc>
      </w:tr>
      <w:tr>
        <w:trPr>
          <w:trHeight w:val="193"/>
        </w:trPr>
        <w:tc>
          <w:tcPr>
            <w:tcW w:w="8600" w:type="dxa"/>
            <w:vAlign w:val="bottom"/>
          </w:tcPr>
          <w:p>
            <w:pPr>
              <w:ind w:left="140"/>
              <w:spacing w:after="0"/>
              <w:rPr>
                <w:sz w:val="20"/>
                <w:szCs w:val="20"/>
                <w:color w:val="auto"/>
              </w:rPr>
            </w:pPr>
            <w:r>
              <w:rPr>
                <w:rFonts w:ascii="Arial" w:cs="Arial" w:eastAsia="Arial" w:hAnsi="Arial"/>
                <w:sz w:val="14"/>
                <w:szCs w:val="14"/>
                <w:color w:val="auto"/>
              </w:rPr>
              <w:t>Natural gas inventory</w:t>
            </w:r>
          </w:p>
        </w:tc>
        <w:tc>
          <w:tcPr>
            <w:tcW w:w="220" w:type="dxa"/>
            <w:vAlign w:val="bottom"/>
          </w:tcPr>
          <w:p>
            <w:pPr>
              <w:spacing w:after="0"/>
              <w:rPr>
                <w:sz w:val="16"/>
                <w:szCs w:val="16"/>
                <w:color w:val="auto"/>
              </w:rPr>
            </w:pPr>
          </w:p>
        </w:tc>
        <w:tc>
          <w:tcPr>
            <w:tcW w:w="1180" w:type="dxa"/>
            <w:vAlign w:val="bottom"/>
          </w:tcPr>
          <w:p>
            <w:pPr>
              <w:jc w:val="right"/>
              <w:ind w:right="50"/>
              <w:spacing w:after="0"/>
              <w:rPr>
                <w:sz w:val="20"/>
                <w:szCs w:val="20"/>
                <w:color w:val="auto"/>
              </w:rPr>
            </w:pPr>
            <w:r>
              <w:rPr>
                <w:rFonts w:ascii="Arial" w:cs="Arial" w:eastAsia="Arial" w:hAnsi="Arial"/>
                <w:sz w:val="14"/>
                <w:szCs w:val="14"/>
                <w:color w:val="auto"/>
              </w:rPr>
              <w:t>228</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jc w:val="right"/>
              <w:ind w:right="30"/>
              <w:spacing w:after="0"/>
              <w:rPr>
                <w:sz w:val="20"/>
                <w:szCs w:val="20"/>
                <w:color w:val="auto"/>
              </w:rPr>
            </w:pPr>
            <w:r>
              <w:rPr>
                <w:rFonts w:ascii="Arial" w:cs="Arial" w:eastAsia="Arial" w:hAnsi="Arial"/>
                <w:sz w:val="14"/>
                <w:szCs w:val="14"/>
                <w:color w:val="auto"/>
              </w:rPr>
              <w:t>194</w:t>
            </w:r>
          </w:p>
        </w:tc>
      </w:tr>
      <w:tr>
        <w:trPr>
          <w:trHeight w:val="23"/>
        </w:trPr>
        <w:tc>
          <w:tcPr>
            <w:tcW w:w="8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96"/>
        </w:trPr>
        <w:tc>
          <w:tcPr>
            <w:tcW w:w="86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Non-trading derivative assets</w:t>
            </w:r>
          </w:p>
        </w:tc>
        <w:tc>
          <w:tcPr>
            <w:tcW w:w="22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120</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100</w:t>
            </w:r>
          </w:p>
        </w:tc>
      </w:tr>
      <w:tr>
        <w:trPr>
          <w:trHeight w:val="193"/>
        </w:trPr>
        <w:tc>
          <w:tcPr>
            <w:tcW w:w="8600" w:type="dxa"/>
            <w:vAlign w:val="bottom"/>
          </w:tcPr>
          <w:p>
            <w:pPr>
              <w:ind w:left="140"/>
              <w:spacing w:after="0"/>
              <w:rPr>
                <w:sz w:val="20"/>
                <w:szCs w:val="20"/>
                <w:color w:val="auto"/>
              </w:rPr>
            </w:pPr>
            <w:r>
              <w:rPr>
                <w:rFonts w:ascii="Arial" w:cs="Arial" w:eastAsia="Arial" w:hAnsi="Arial"/>
                <w:sz w:val="14"/>
                <w:szCs w:val="14"/>
                <w:color w:val="auto"/>
              </w:rPr>
              <w:t>Taxes receivable</w:t>
            </w:r>
          </w:p>
        </w:tc>
        <w:tc>
          <w:tcPr>
            <w:tcW w:w="220" w:type="dxa"/>
            <w:vAlign w:val="bottom"/>
          </w:tcPr>
          <w:p>
            <w:pPr>
              <w:spacing w:after="0"/>
              <w:rPr>
                <w:sz w:val="16"/>
                <w:szCs w:val="16"/>
                <w:color w:val="auto"/>
              </w:rPr>
            </w:pPr>
          </w:p>
        </w:tc>
        <w:tc>
          <w:tcPr>
            <w:tcW w:w="1180" w:type="dxa"/>
            <w:vAlign w:val="bottom"/>
          </w:tcPr>
          <w:p>
            <w:pPr>
              <w:jc w:val="right"/>
              <w:ind w:right="50"/>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jc w:val="right"/>
              <w:ind w:right="30"/>
              <w:spacing w:after="0"/>
              <w:rPr>
                <w:sz w:val="20"/>
                <w:szCs w:val="20"/>
                <w:color w:val="auto"/>
              </w:rPr>
            </w:pPr>
            <w:r>
              <w:rPr>
                <w:rFonts w:ascii="Arial" w:cs="Arial" w:eastAsia="Arial" w:hAnsi="Arial"/>
                <w:sz w:val="14"/>
                <w:szCs w:val="14"/>
                <w:color w:val="auto"/>
              </w:rPr>
              <w:t>—</w:t>
            </w:r>
          </w:p>
        </w:tc>
      </w:tr>
      <w:tr>
        <w:trPr>
          <w:trHeight w:val="23"/>
        </w:trPr>
        <w:tc>
          <w:tcPr>
            <w:tcW w:w="8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16"/>
        </w:trPr>
        <w:tc>
          <w:tcPr>
            <w:tcW w:w="86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Prepaid expenses and other current assets</w:t>
            </w:r>
          </w:p>
        </w:tc>
        <w:tc>
          <w:tcPr>
            <w:tcW w:w="22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36</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115</w:t>
            </w:r>
          </w:p>
        </w:tc>
      </w:tr>
      <w:tr>
        <w:trPr>
          <w:trHeight w:val="184"/>
        </w:trPr>
        <w:tc>
          <w:tcPr>
            <w:tcW w:w="8600" w:type="dxa"/>
            <w:vAlign w:val="bottom"/>
          </w:tcPr>
          <w:p>
            <w:pPr>
              <w:ind w:left="300"/>
              <w:spacing w:after="0"/>
              <w:rPr>
                <w:sz w:val="20"/>
                <w:szCs w:val="20"/>
                <w:color w:val="auto"/>
              </w:rPr>
            </w:pPr>
            <w:r>
              <w:rPr>
                <w:rFonts w:ascii="Arial" w:cs="Arial" w:eastAsia="Arial" w:hAnsi="Arial"/>
                <w:sz w:val="14"/>
                <w:szCs w:val="14"/>
                <w:color w:val="auto"/>
              </w:rPr>
              <w:t>Total current assets</w:t>
            </w:r>
          </w:p>
        </w:tc>
        <w:tc>
          <w:tcPr>
            <w:tcW w:w="22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jc w:val="right"/>
              <w:ind w:right="50"/>
              <w:spacing w:after="0"/>
              <w:rPr>
                <w:sz w:val="20"/>
                <w:szCs w:val="20"/>
                <w:color w:val="auto"/>
              </w:rPr>
            </w:pPr>
            <w:r>
              <w:rPr>
                <w:rFonts w:ascii="Arial" w:cs="Arial" w:eastAsia="Arial" w:hAnsi="Arial"/>
                <w:sz w:val="14"/>
                <w:szCs w:val="14"/>
                <w:color w:val="auto"/>
              </w:rPr>
              <w:t>1,074</w:t>
            </w:r>
          </w:p>
        </w:tc>
        <w:tc>
          <w:tcPr>
            <w:tcW w:w="10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jc w:val="right"/>
              <w:ind w:right="30"/>
              <w:spacing w:after="0"/>
              <w:rPr>
                <w:sz w:val="20"/>
                <w:szCs w:val="20"/>
                <w:color w:val="auto"/>
              </w:rPr>
            </w:pPr>
            <w:r>
              <w:rPr>
                <w:rFonts w:ascii="Arial" w:cs="Arial" w:eastAsia="Arial" w:hAnsi="Arial"/>
                <w:sz w:val="14"/>
                <w:szCs w:val="14"/>
                <w:color w:val="auto"/>
              </w:rPr>
              <w:t>1,770</w:t>
            </w:r>
          </w:p>
        </w:tc>
      </w:tr>
      <w:tr>
        <w:trPr>
          <w:trHeight w:val="23"/>
        </w:trPr>
        <w:tc>
          <w:tcPr>
            <w:tcW w:w="86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86"/>
        </w:trPr>
        <w:tc>
          <w:tcPr>
            <w:tcW w:w="8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Property, Plant and Equipment:</w:t>
            </w:r>
          </w:p>
        </w:tc>
        <w:tc>
          <w:tcPr>
            <w:tcW w:w="22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spacing w:after="0"/>
              <w:rPr>
                <w:sz w:val="16"/>
                <w:szCs w:val="16"/>
                <w:color w:val="auto"/>
              </w:rPr>
            </w:pPr>
          </w:p>
        </w:tc>
      </w:tr>
      <w:tr>
        <w:trPr>
          <w:trHeight w:val="193"/>
        </w:trPr>
        <w:tc>
          <w:tcPr>
            <w:tcW w:w="8600" w:type="dxa"/>
            <w:vAlign w:val="bottom"/>
          </w:tcPr>
          <w:p>
            <w:pPr>
              <w:ind w:left="140"/>
              <w:spacing w:after="0"/>
              <w:rPr>
                <w:sz w:val="20"/>
                <w:szCs w:val="20"/>
                <w:color w:val="auto"/>
              </w:rPr>
            </w:pPr>
            <w:r>
              <w:rPr>
                <w:rFonts w:ascii="Arial" w:cs="Arial" w:eastAsia="Arial" w:hAnsi="Arial"/>
                <w:sz w:val="14"/>
                <w:szCs w:val="14"/>
                <w:color w:val="auto"/>
              </w:rPr>
              <w:t>Property, plant and equipment</w:t>
            </w:r>
          </w:p>
        </w:tc>
        <w:tc>
          <w:tcPr>
            <w:tcW w:w="220" w:type="dxa"/>
            <w:vAlign w:val="bottom"/>
          </w:tcPr>
          <w:p>
            <w:pPr>
              <w:spacing w:after="0"/>
              <w:rPr>
                <w:sz w:val="16"/>
                <w:szCs w:val="16"/>
                <w:color w:val="auto"/>
              </w:rPr>
            </w:pPr>
          </w:p>
        </w:tc>
        <w:tc>
          <w:tcPr>
            <w:tcW w:w="1180" w:type="dxa"/>
            <w:vAlign w:val="bottom"/>
          </w:tcPr>
          <w:p>
            <w:pPr>
              <w:jc w:val="right"/>
              <w:ind w:right="50"/>
              <w:spacing w:after="0"/>
              <w:rPr>
                <w:sz w:val="20"/>
                <w:szCs w:val="20"/>
                <w:color w:val="auto"/>
              </w:rPr>
            </w:pPr>
            <w:r>
              <w:rPr>
                <w:rFonts w:ascii="Arial" w:cs="Arial" w:eastAsia="Arial" w:hAnsi="Arial"/>
                <w:sz w:val="14"/>
                <w:szCs w:val="14"/>
                <w:color w:val="auto"/>
              </w:rPr>
              <w:t>7,892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jc w:val="right"/>
              <w:ind w:right="30"/>
              <w:spacing w:after="0"/>
              <w:rPr>
                <w:sz w:val="20"/>
                <w:szCs w:val="20"/>
                <w:color w:val="auto"/>
              </w:rPr>
            </w:pPr>
            <w:r>
              <w:rPr>
                <w:rFonts w:ascii="Arial" w:cs="Arial" w:eastAsia="Arial" w:hAnsi="Arial"/>
                <w:sz w:val="14"/>
                <w:szCs w:val="14"/>
                <w:color w:val="auto"/>
              </w:rPr>
              <w:t>7,431</w:t>
            </w:r>
          </w:p>
        </w:tc>
      </w:tr>
      <w:tr>
        <w:trPr>
          <w:trHeight w:val="23"/>
        </w:trPr>
        <w:tc>
          <w:tcPr>
            <w:tcW w:w="8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16"/>
        </w:trPr>
        <w:tc>
          <w:tcPr>
            <w:tcW w:w="86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Less: accumulated depreciation and amortization</w:t>
            </w:r>
          </w:p>
        </w:tc>
        <w:tc>
          <w:tcPr>
            <w:tcW w:w="22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2,330</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2,205</w:t>
            </w:r>
          </w:p>
        </w:tc>
      </w:tr>
      <w:tr>
        <w:trPr>
          <w:trHeight w:val="184"/>
        </w:trPr>
        <w:tc>
          <w:tcPr>
            <w:tcW w:w="8600" w:type="dxa"/>
            <w:vAlign w:val="bottom"/>
          </w:tcPr>
          <w:p>
            <w:pPr>
              <w:ind w:left="300"/>
              <w:spacing w:after="0"/>
              <w:rPr>
                <w:sz w:val="20"/>
                <w:szCs w:val="20"/>
                <w:color w:val="auto"/>
              </w:rPr>
            </w:pPr>
            <w:r>
              <w:rPr>
                <w:rFonts w:ascii="Arial" w:cs="Arial" w:eastAsia="Arial" w:hAnsi="Arial"/>
                <w:sz w:val="14"/>
                <w:szCs w:val="14"/>
                <w:color w:val="auto"/>
              </w:rPr>
              <w:t>Property, plant and equipment, net</w:t>
            </w:r>
          </w:p>
        </w:tc>
        <w:tc>
          <w:tcPr>
            <w:tcW w:w="22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jc w:val="right"/>
              <w:ind w:right="50"/>
              <w:spacing w:after="0"/>
              <w:rPr>
                <w:sz w:val="20"/>
                <w:szCs w:val="20"/>
                <w:color w:val="auto"/>
              </w:rPr>
            </w:pPr>
            <w:r>
              <w:rPr>
                <w:rFonts w:ascii="Arial" w:cs="Arial" w:eastAsia="Arial" w:hAnsi="Arial"/>
                <w:sz w:val="14"/>
                <w:szCs w:val="14"/>
                <w:color w:val="auto"/>
              </w:rPr>
              <w:t>5,562</w:t>
            </w:r>
          </w:p>
        </w:tc>
        <w:tc>
          <w:tcPr>
            <w:tcW w:w="10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jc w:val="right"/>
              <w:ind w:right="30"/>
              <w:spacing w:after="0"/>
              <w:rPr>
                <w:sz w:val="20"/>
                <w:szCs w:val="20"/>
                <w:color w:val="auto"/>
              </w:rPr>
            </w:pPr>
            <w:r>
              <w:rPr>
                <w:rFonts w:ascii="Arial" w:cs="Arial" w:eastAsia="Arial" w:hAnsi="Arial"/>
                <w:sz w:val="14"/>
                <w:szCs w:val="14"/>
                <w:color w:val="auto"/>
              </w:rPr>
              <w:t>5,226</w:t>
            </w:r>
          </w:p>
        </w:tc>
      </w:tr>
      <w:tr>
        <w:trPr>
          <w:trHeight w:val="23"/>
        </w:trPr>
        <w:tc>
          <w:tcPr>
            <w:tcW w:w="86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76"/>
        </w:trPr>
        <w:tc>
          <w:tcPr>
            <w:tcW w:w="8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Other Assets:</w:t>
            </w:r>
          </w:p>
        </w:tc>
        <w:tc>
          <w:tcPr>
            <w:tcW w:w="22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spacing w:after="0"/>
              <w:rPr>
                <w:sz w:val="15"/>
                <w:szCs w:val="15"/>
                <w:color w:val="auto"/>
              </w:rPr>
            </w:pPr>
          </w:p>
        </w:tc>
      </w:tr>
      <w:tr>
        <w:trPr>
          <w:trHeight w:val="193"/>
        </w:trPr>
        <w:tc>
          <w:tcPr>
            <w:tcW w:w="8600" w:type="dxa"/>
            <w:vAlign w:val="bottom"/>
          </w:tcPr>
          <w:p>
            <w:pPr>
              <w:ind w:left="140"/>
              <w:spacing w:after="0"/>
              <w:rPr>
                <w:sz w:val="20"/>
                <w:szCs w:val="20"/>
                <w:color w:val="auto"/>
              </w:rPr>
            </w:pPr>
            <w:r>
              <w:rPr>
                <w:rFonts w:ascii="Arial" w:cs="Arial" w:eastAsia="Arial" w:hAnsi="Arial"/>
                <w:sz w:val="14"/>
                <w:szCs w:val="14"/>
                <w:color w:val="auto"/>
              </w:rPr>
              <w:t>Goodwill</w:t>
            </w:r>
          </w:p>
        </w:tc>
        <w:tc>
          <w:tcPr>
            <w:tcW w:w="220" w:type="dxa"/>
            <w:vAlign w:val="bottom"/>
          </w:tcPr>
          <w:p>
            <w:pPr>
              <w:spacing w:after="0"/>
              <w:rPr>
                <w:sz w:val="16"/>
                <w:szCs w:val="16"/>
                <w:color w:val="auto"/>
              </w:rPr>
            </w:pPr>
          </w:p>
        </w:tc>
        <w:tc>
          <w:tcPr>
            <w:tcW w:w="1180" w:type="dxa"/>
            <w:vAlign w:val="bottom"/>
          </w:tcPr>
          <w:p>
            <w:pPr>
              <w:jc w:val="right"/>
              <w:ind w:right="50"/>
              <w:spacing w:after="0"/>
              <w:rPr>
                <w:sz w:val="20"/>
                <w:szCs w:val="20"/>
                <w:color w:val="auto"/>
              </w:rPr>
            </w:pPr>
            <w:r>
              <w:rPr>
                <w:rFonts w:ascii="Arial" w:cs="Arial" w:eastAsia="Arial" w:hAnsi="Arial"/>
                <w:sz w:val="14"/>
                <w:szCs w:val="14"/>
                <w:color w:val="auto"/>
              </w:rPr>
              <w:t>867</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jc w:val="right"/>
              <w:ind w:right="30"/>
              <w:spacing w:after="0"/>
              <w:rPr>
                <w:sz w:val="20"/>
                <w:szCs w:val="20"/>
                <w:color w:val="auto"/>
              </w:rPr>
            </w:pPr>
            <w:r>
              <w:rPr>
                <w:rFonts w:ascii="Arial" w:cs="Arial" w:eastAsia="Arial" w:hAnsi="Arial"/>
                <w:sz w:val="14"/>
                <w:szCs w:val="14"/>
                <w:color w:val="auto"/>
              </w:rPr>
              <w:t>867</w:t>
            </w:r>
          </w:p>
        </w:tc>
      </w:tr>
      <w:tr>
        <w:trPr>
          <w:trHeight w:val="23"/>
        </w:trPr>
        <w:tc>
          <w:tcPr>
            <w:tcW w:w="8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96"/>
        </w:trPr>
        <w:tc>
          <w:tcPr>
            <w:tcW w:w="86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Regulatory assets</w:t>
            </w:r>
          </w:p>
        </w:tc>
        <w:tc>
          <w:tcPr>
            <w:tcW w:w="22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189</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181</w:t>
            </w:r>
          </w:p>
        </w:tc>
      </w:tr>
      <w:tr>
        <w:trPr>
          <w:trHeight w:val="193"/>
        </w:trPr>
        <w:tc>
          <w:tcPr>
            <w:tcW w:w="8600" w:type="dxa"/>
            <w:vAlign w:val="bottom"/>
          </w:tcPr>
          <w:p>
            <w:pPr>
              <w:ind w:left="140"/>
              <w:spacing w:after="0"/>
              <w:rPr>
                <w:sz w:val="20"/>
                <w:szCs w:val="20"/>
                <w:color w:val="auto"/>
              </w:rPr>
            </w:pPr>
            <w:r>
              <w:rPr>
                <w:rFonts w:ascii="Arial" w:cs="Arial" w:eastAsia="Arial" w:hAnsi="Arial"/>
                <w:sz w:val="14"/>
                <w:szCs w:val="14"/>
                <w:color w:val="auto"/>
              </w:rPr>
              <w:t>Non-trading derivative assets</w:t>
            </w:r>
          </w:p>
        </w:tc>
        <w:tc>
          <w:tcPr>
            <w:tcW w:w="220" w:type="dxa"/>
            <w:vAlign w:val="bottom"/>
          </w:tcPr>
          <w:p>
            <w:pPr>
              <w:spacing w:after="0"/>
              <w:rPr>
                <w:sz w:val="16"/>
                <w:szCs w:val="16"/>
                <w:color w:val="auto"/>
              </w:rPr>
            </w:pPr>
          </w:p>
        </w:tc>
        <w:tc>
          <w:tcPr>
            <w:tcW w:w="1180" w:type="dxa"/>
            <w:vAlign w:val="bottom"/>
          </w:tcPr>
          <w:p>
            <w:pPr>
              <w:jc w:val="right"/>
              <w:ind w:right="50"/>
              <w:spacing w:after="0"/>
              <w:rPr>
                <w:sz w:val="20"/>
                <w:szCs w:val="20"/>
                <w:color w:val="auto"/>
              </w:rPr>
            </w:pPr>
            <w:r>
              <w:rPr>
                <w:rFonts w:ascii="Arial" w:cs="Arial" w:eastAsia="Arial" w:hAnsi="Arial"/>
                <w:sz w:val="14"/>
                <w:szCs w:val="14"/>
                <w:color w:val="auto"/>
              </w:rPr>
              <w:t>64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jc w:val="right"/>
              <w:ind w:right="30"/>
              <w:spacing w:after="0"/>
              <w:rPr>
                <w:sz w:val="20"/>
                <w:szCs w:val="20"/>
                <w:color w:val="auto"/>
              </w:rPr>
            </w:pPr>
            <w:r>
              <w:rPr>
                <w:rFonts w:ascii="Arial" w:cs="Arial" w:eastAsia="Arial" w:hAnsi="Arial"/>
                <w:sz w:val="14"/>
                <w:szCs w:val="14"/>
                <w:color w:val="auto"/>
              </w:rPr>
              <w:t>38</w:t>
            </w:r>
          </w:p>
        </w:tc>
      </w:tr>
      <w:tr>
        <w:trPr>
          <w:trHeight w:val="23"/>
        </w:trPr>
        <w:tc>
          <w:tcPr>
            <w:tcW w:w="8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16"/>
        </w:trPr>
        <w:tc>
          <w:tcPr>
            <w:tcW w:w="86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Other</w:t>
            </w:r>
          </w:p>
        </w:tc>
        <w:tc>
          <w:tcPr>
            <w:tcW w:w="22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173</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132</w:t>
            </w:r>
          </w:p>
        </w:tc>
      </w:tr>
      <w:tr>
        <w:trPr>
          <w:trHeight w:val="184"/>
        </w:trPr>
        <w:tc>
          <w:tcPr>
            <w:tcW w:w="8600" w:type="dxa"/>
            <w:vAlign w:val="bottom"/>
          </w:tcPr>
          <w:p>
            <w:pPr>
              <w:ind w:left="300"/>
              <w:spacing w:after="0"/>
              <w:rPr>
                <w:sz w:val="20"/>
                <w:szCs w:val="20"/>
                <w:color w:val="auto"/>
              </w:rPr>
            </w:pPr>
            <w:r>
              <w:rPr>
                <w:rFonts w:ascii="Arial" w:cs="Arial" w:eastAsia="Arial" w:hAnsi="Arial"/>
                <w:sz w:val="14"/>
                <w:szCs w:val="14"/>
                <w:color w:val="auto"/>
              </w:rPr>
              <w:t>Total other assets</w:t>
            </w:r>
          </w:p>
        </w:tc>
        <w:tc>
          <w:tcPr>
            <w:tcW w:w="22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jc w:val="right"/>
              <w:ind w:right="50"/>
              <w:spacing w:after="0"/>
              <w:rPr>
                <w:sz w:val="20"/>
                <w:szCs w:val="20"/>
                <w:color w:val="auto"/>
              </w:rPr>
            </w:pPr>
            <w:r>
              <w:rPr>
                <w:rFonts w:ascii="Arial" w:cs="Arial" w:eastAsia="Arial" w:hAnsi="Arial"/>
                <w:sz w:val="14"/>
                <w:szCs w:val="14"/>
                <w:color w:val="auto"/>
              </w:rPr>
              <w:t>1,293</w:t>
            </w:r>
          </w:p>
        </w:tc>
        <w:tc>
          <w:tcPr>
            <w:tcW w:w="10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jc w:val="right"/>
              <w:ind w:right="30"/>
              <w:spacing w:after="0"/>
              <w:rPr>
                <w:sz w:val="20"/>
                <w:szCs w:val="20"/>
                <w:color w:val="auto"/>
              </w:rPr>
            </w:pPr>
            <w:r>
              <w:rPr>
                <w:rFonts w:ascii="Arial" w:cs="Arial" w:eastAsia="Arial" w:hAnsi="Arial"/>
                <w:sz w:val="14"/>
                <w:szCs w:val="14"/>
                <w:color w:val="auto"/>
              </w:rPr>
              <w:t>1,218</w:t>
            </w:r>
          </w:p>
        </w:tc>
      </w:tr>
      <w:tr>
        <w:trPr>
          <w:trHeight w:val="23"/>
        </w:trPr>
        <w:tc>
          <w:tcPr>
            <w:tcW w:w="86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00"/>
        </w:trPr>
        <w:tc>
          <w:tcPr>
            <w:tcW w:w="860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4"/>
                <w:szCs w:val="14"/>
                <w:b w:val="1"/>
                <w:bCs w:val="1"/>
                <w:color w:val="auto"/>
              </w:rPr>
              <w:t>Total Assets</w:t>
            </w: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7,929</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8,214</w:t>
            </w:r>
          </w:p>
        </w:tc>
      </w:tr>
      <w:tr>
        <w:trPr>
          <w:trHeight w:val="20"/>
        </w:trPr>
        <w:tc>
          <w:tcPr>
            <w:tcW w:w="86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6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Combined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ectPr>
          <w:pgSz w:w="11900" w:h="16838" w:orient="portrait"/>
          <w:cols w:equalWidth="0" w:num="1">
            <w:col w:w="11460"/>
          </w:cols>
          <w:pgMar w:left="220" w:top="129" w:right="219" w:bottom="1440" w:gutter="0" w:footer="0" w:header="0"/>
        </w:sectPr>
      </w:pPr>
    </w:p>
    <w:bookmarkStart w:id="25" w:name="page26"/>
    <w:bookmarkEnd w:id="25"/>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37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CENTERPOINT ENERGY RESOURCES CORP. AND SUBSIDIARIES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(AN INDIRECT, WHOLLY-OWNED SUBSIDIARY OF CENTERPOINT ENERGY,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CONDENSED CONSOLIDATED BALANCE SHEETS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LIABILITIES AND STOCKHOLDER’S EQUITY</w:t>
      </w: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8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80" w:type="dxa"/>
            <w:vAlign w:val="bottom"/>
            <w:gridSpan w:val="2"/>
          </w:tcPr>
          <w:p>
            <w:pPr>
              <w:ind w:left="120"/>
              <w:spacing w:after="0"/>
              <w:rPr>
                <w:sz w:val="20"/>
                <w:szCs w:val="20"/>
                <w:color w:val="auto"/>
              </w:rPr>
            </w:pPr>
            <w:r>
              <w:rPr>
                <w:rFonts w:ascii="Arial" w:cs="Arial" w:eastAsia="Arial" w:hAnsi="Arial"/>
                <w:sz w:val="11"/>
                <w:szCs w:val="11"/>
                <w:b w:val="1"/>
                <w:bCs w:val="1"/>
                <w:color w:val="auto"/>
              </w:rPr>
              <w:t>September 30,</w:t>
            </w:r>
          </w:p>
        </w:tc>
        <w:tc>
          <w:tcPr>
            <w:tcW w:w="280" w:type="dxa"/>
            <w:vAlign w:val="bottom"/>
          </w:tcPr>
          <w:p>
            <w:pPr>
              <w:spacing w:after="0"/>
              <w:rPr>
                <w:sz w:val="10"/>
                <w:szCs w:val="10"/>
                <w:color w:val="auto"/>
              </w:rPr>
            </w:pPr>
          </w:p>
        </w:tc>
        <w:tc>
          <w:tcPr>
            <w:tcW w:w="1080" w:type="dxa"/>
            <w:vAlign w:val="bottom"/>
          </w:tcPr>
          <w:p>
            <w:pPr>
              <w:jc w:val="right"/>
              <w:ind w:right="289"/>
              <w:spacing w:after="0"/>
              <w:rPr>
                <w:sz w:val="20"/>
                <w:szCs w:val="20"/>
                <w:color w:val="auto"/>
              </w:rPr>
            </w:pPr>
            <w:r>
              <w:rPr>
                <w:rFonts w:ascii="Arial" w:cs="Arial" w:eastAsia="Arial" w:hAnsi="Arial"/>
                <w:sz w:val="11"/>
                <w:szCs w:val="11"/>
                <w:b w:val="1"/>
                <w:bCs w:val="1"/>
                <w:color w:val="auto"/>
                <w:w w:val="97"/>
              </w:rPr>
              <w:t>December 31,</w:t>
            </w:r>
          </w:p>
        </w:tc>
      </w:tr>
      <w:tr>
        <w:trPr>
          <w:trHeight w:val="153"/>
        </w:trPr>
        <w:tc>
          <w:tcPr>
            <w:tcW w:w="86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10"/>
              <w:spacing w:after="0"/>
              <w:rPr>
                <w:sz w:val="20"/>
                <w:szCs w:val="20"/>
                <w:color w:val="auto"/>
              </w:rPr>
            </w:pPr>
            <w:r>
              <w:rPr>
                <w:rFonts w:ascii="Arial" w:cs="Arial" w:eastAsia="Arial" w:hAnsi="Arial"/>
                <w:sz w:val="11"/>
                <w:szCs w:val="11"/>
                <w:b w:val="1"/>
                <w:bCs w:val="1"/>
                <w:color w:val="auto"/>
              </w:rPr>
              <w:t>2019</w:t>
            </w:r>
          </w:p>
        </w:tc>
        <w:tc>
          <w:tcPr>
            <w:tcW w:w="10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489"/>
              <w:spacing w:after="0"/>
              <w:rPr>
                <w:sz w:val="20"/>
                <w:szCs w:val="20"/>
                <w:color w:val="auto"/>
              </w:rPr>
            </w:pPr>
            <w:r>
              <w:rPr>
                <w:rFonts w:ascii="Arial" w:cs="Arial" w:eastAsia="Arial" w:hAnsi="Arial"/>
                <w:sz w:val="11"/>
                <w:szCs w:val="11"/>
                <w:b w:val="1"/>
                <w:bCs w:val="1"/>
                <w:color w:val="auto"/>
              </w:rPr>
              <w:t>2018</w:t>
            </w:r>
          </w:p>
        </w:tc>
      </w:tr>
      <w:tr>
        <w:trPr>
          <w:trHeight w:val="191"/>
        </w:trPr>
        <w:tc>
          <w:tcPr>
            <w:tcW w:w="8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60" w:type="dxa"/>
            <w:vAlign w:val="bottom"/>
            <w:gridSpan w:val="3"/>
          </w:tcPr>
          <w:p>
            <w:pPr>
              <w:jc w:val="right"/>
              <w:spacing w:after="0"/>
              <w:rPr>
                <w:sz w:val="20"/>
                <w:szCs w:val="20"/>
                <w:color w:val="auto"/>
              </w:rPr>
            </w:pPr>
            <w:r>
              <w:rPr>
                <w:rFonts w:ascii="Arial" w:cs="Arial" w:eastAsia="Arial" w:hAnsi="Arial"/>
                <w:sz w:val="11"/>
                <w:szCs w:val="11"/>
                <w:b w:val="1"/>
                <w:bCs w:val="1"/>
                <w:color w:val="auto"/>
              </w:rPr>
              <w:t>(in millions)</w:t>
            </w:r>
          </w:p>
        </w:tc>
        <w:tc>
          <w:tcPr>
            <w:tcW w:w="1080" w:type="dxa"/>
            <w:vAlign w:val="bottom"/>
          </w:tcPr>
          <w:p>
            <w:pPr>
              <w:spacing w:after="0"/>
              <w:rPr>
                <w:sz w:val="16"/>
                <w:szCs w:val="16"/>
                <w:color w:val="auto"/>
              </w:rPr>
            </w:pPr>
          </w:p>
        </w:tc>
      </w:tr>
      <w:tr>
        <w:trPr>
          <w:trHeight w:val="202"/>
        </w:trPr>
        <w:tc>
          <w:tcPr>
            <w:tcW w:w="8600" w:type="dxa"/>
            <w:vAlign w:val="bottom"/>
          </w:tcPr>
          <w:p>
            <w:pPr>
              <w:ind w:left="20"/>
              <w:spacing w:after="0"/>
              <w:rPr>
                <w:sz w:val="20"/>
                <w:szCs w:val="20"/>
                <w:color w:val="auto"/>
              </w:rPr>
            </w:pPr>
            <w:r>
              <w:rPr>
                <w:rFonts w:ascii="Arial" w:cs="Arial" w:eastAsia="Arial" w:hAnsi="Arial"/>
                <w:sz w:val="14"/>
                <w:szCs w:val="14"/>
                <w:b w:val="1"/>
                <w:bCs w:val="1"/>
                <w:color w:val="auto"/>
              </w:rPr>
              <w:t>Current Liabilities:</w:t>
            </w: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3"/>
        </w:trPr>
        <w:tc>
          <w:tcPr>
            <w:tcW w:w="8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96"/>
        </w:trPr>
        <w:tc>
          <w:tcPr>
            <w:tcW w:w="86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Accounts payable</w:t>
            </w:r>
          </w:p>
        </w:tc>
        <w:tc>
          <w:tcPr>
            <w:tcW w:w="2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393</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856</w:t>
            </w:r>
          </w:p>
        </w:tc>
      </w:tr>
      <w:tr>
        <w:trPr>
          <w:trHeight w:val="193"/>
        </w:trPr>
        <w:tc>
          <w:tcPr>
            <w:tcW w:w="8600" w:type="dxa"/>
            <w:vAlign w:val="bottom"/>
          </w:tcPr>
          <w:p>
            <w:pPr>
              <w:ind w:left="140"/>
              <w:spacing w:after="0"/>
              <w:rPr>
                <w:sz w:val="20"/>
                <w:szCs w:val="20"/>
                <w:color w:val="auto"/>
              </w:rPr>
            </w:pPr>
            <w:r>
              <w:rPr>
                <w:rFonts w:ascii="Arial" w:cs="Arial" w:eastAsia="Arial" w:hAnsi="Arial"/>
                <w:sz w:val="14"/>
                <w:szCs w:val="14"/>
                <w:color w:val="auto"/>
              </w:rPr>
              <w:t>Accounts and notes payable–affiliated companies</w:t>
            </w:r>
          </w:p>
        </w:tc>
        <w:tc>
          <w:tcPr>
            <w:tcW w:w="220" w:type="dxa"/>
            <w:vAlign w:val="bottom"/>
          </w:tcPr>
          <w:p>
            <w:pPr>
              <w:spacing w:after="0"/>
              <w:rPr>
                <w:sz w:val="16"/>
                <w:szCs w:val="16"/>
                <w:color w:val="auto"/>
              </w:rPr>
            </w:pPr>
          </w:p>
        </w:tc>
        <w:tc>
          <w:tcPr>
            <w:tcW w:w="1180" w:type="dxa"/>
            <w:vAlign w:val="bottom"/>
          </w:tcPr>
          <w:p>
            <w:pPr>
              <w:jc w:val="right"/>
              <w:ind w:right="50"/>
              <w:spacing w:after="0"/>
              <w:rPr>
                <w:sz w:val="20"/>
                <w:szCs w:val="20"/>
                <w:color w:val="auto"/>
              </w:rPr>
            </w:pPr>
            <w:r>
              <w:rPr>
                <w:rFonts w:ascii="Arial" w:cs="Arial" w:eastAsia="Arial" w:hAnsi="Arial"/>
                <w:sz w:val="14"/>
                <w:szCs w:val="14"/>
                <w:color w:val="auto"/>
              </w:rPr>
              <w:t>48</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jc w:val="right"/>
              <w:ind w:right="29"/>
              <w:spacing w:after="0"/>
              <w:rPr>
                <w:sz w:val="20"/>
                <w:szCs w:val="20"/>
                <w:color w:val="auto"/>
              </w:rPr>
            </w:pPr>
            <w:r>
              <w:rPr>
                <w:rFonts w:ascii="Arial" w:cs="Arial" w:eastAsia="Arial" w:hAnsi="Arial"/>
                <w:sz w:val="14"/>
                <w:szCs w:val="14"/>
                <w:color w:val="auto"/>
              </w:rPr>
              <w:t>50</w:t>
            </w:r>
          </w:p>
        </w:tc>
      </w:tr>
      <w:tr>
        <w:trPr>
          <w:trHeight w:val="23"/>
        </w:trPr>
        <w:tc>
          <w:tcPr>
            <w:tcW w:w="8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96"/>
        </w:trPr>
        <w:tc>
          <w:tcPr>
            <w:tcW w:w="86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Taxes accrued</w:t>
            </w:r>
          </w:p>
        </w:tc>
        <w:tc>
          <w:tcPr>
            <w:tcW w:w="22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66</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82</w:t>
            </w:r>
          </w:p>
        </w:tc>
      </w:tr>
      <w:tr>
        <w:trPr>
          <w:trHeight w:val="193"/>
        </w:trPr>
        <w:tc>
          <w:tcPr>
            <w:tcW w:w="8600" w:type="dxa"/>
            <w:vAlign w:val="bottom"/>
          </w:tcPr>
          <w:p>
            <w:pPr>
              <w:ind w:left="140"/>
              <w:spacing w:after="0"/>
              <w:rPr>
                <w:sz w:val="20"/>
                <w:szCs w:val="20"/>
                <w:color w:val="auto"/>
              </w:rPr>
            </w:pPr>
            <w:r>
              <w:rPr>
                <w:rFonts w:ascii="Arial" w:cs="Arial" w:eastAsia="Arial" w:hAnsi="Arial"/>
                <w:sz w:val="14"/>
                <w:szCs w:val="14"/>
                <w:color w:val="auto"/>
              </w:rPr>
              <w:t>Interest accrued</w:t>
            </w:r>
          </w:p>
        </w:tc>
        <w:tc>
          <w:tcPr>
            <w:tcW w:w="220" w:type="dxa"/>
            <w:vAlign w:val="bottom"/>
          </w:tcPr>
          <w:p>
            <w:pPr>
              <w:spacing w:after="0"/>
              <w:rPr>
                <w:sz w:val="16"/>
                <w:szCs w:val="16"/>
                <w:color w:val="auto"/>
              </w:rPr>
            </w:pPr>
          </w:p>
        </w:tc>
        <w:tc>
          <w:tcPr>
            <w:tcW w:w="1180" w:type="dxa"/>
            <w:vAlign w:val="bottom"/>
          </w:tcPr>
          <w:p>
            <w:pPr>
              <w:jc w:val="right"/>
              <w:ind w:right="50"/>
              <w:spacing w:after="0"/>
              <w:rPr>
                <w:sz w:val="20"/>
                <w:szCs w:val="20"/>
                <w:color w:val="auto"/>
              </w:rPr>
            </w:pPr>
            <w:r>
              <w:rPr>
                <w:rFonts w:ascii="Arial" w:cs="Arial" w:eastAsia="Arial" w:hAnsi="Arial"/>
                <w:sz w:val="14"/>
                <w:szCs w:val="14"/>
                <w:color w:val="auto"/>
              </w:rPr>
              <w:t>31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jc w:val="right"/>
              <w:ind w:right="29"/>
              <w:spacing w:after="0"/>
              <w:rPr>
                <w:sz w:val="20"/>
                <w:szCs w:val="20"/>
                <w:color w:val="auto"/>
              </w:rPr>
            </w:pPr>
            <w:r>
              <w:rPr>
                <w:rFonts w:ascii="Arial" w:cs="Arial" w:eastAsia="Arial" w:hAnsi="Arial"/>
                <w:sz w:val="14"/>
                <w:szCs w:val="14"/>
                <w:color w:val="auto"/>
              </w:rPr>
              <w:t>38</w:t>
            </w:r>
          </w:p>
        </w:tc>
      </w:tr>
      <w:tr>
        <w:trPr>
          <w:trHeight w:val="23"/>
        </w:trPr>
        <w:tc>
          <w:tcPr>
            <w:tcW w:w="8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96"/>
        </w:trPr>
        <w:tc>
          <w:tcPr>
            <w:tcW w:w="86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Customer deposits</w:t>
            </w:r>
          </w:p>
        </w:tc>
        <w:tc>
          <w:tcPr>
            <w:tcW w:w="22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74</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75</w:t>
            </w:r>
          </w:p>
        </w:tc>
      </w:tr>
      <w:tr>
        <w:trPr>
          <w:trHeight w:val="193"/>
        </w:trPr>
        <w:tc>
          <w:tcPr>
            <w:tcW w:w="8600" w:type="dxa"/>
            <w:vAlign w:val="bottom"/>
          </w:tcPr>
          <w:p>
            <w:pPr>
              <w:ind w:left="140"/>
              <w:spacing w:after="0"/>
              <w:rPr>
                <w:sz w:val="20"/>
                <w:szCs w:val="20"/>
                <w:color w:val="auto"/>
              </w:rPr>
            </w:pPr>
            <w:r>
              <w:rPr>
                <w:rFonts w:ascii="Arial" w:cs="Arial" w:eastAsia="Arial" w:hAnsi="Arial"/>
                <w:sz w:val="14"/>
                <w:szCs w:val="14"/>
                <w:color w:val="auto"/>
              </w:rPr>
              <w:t>Non-trading derivative liabilities</w:t>
            </w:r>
          </w:p>
        </w:tc>
        <w:tc>
          <w:tcPr>
            <w:tcW w:w="220" w:type="dxa"/>
            <w:vAlign w:val="bottom"/>
          </w:tcPr>
          <w:p>
            <w:pPr>
              <w:spacing w:after="0"/>
              <w:rPr>
                <w:sz w:val="16"/>
                <w:szCs w:val="16"/>
                <w:color w:val="auto"/>
              </w:rPr>
            </w:pPr>
          </w:p>
        </w:tc>
        <w:tc>
          <w:tcPr>
            <w:tcW w:w="1180" w:type="dxa"/>
            <w:vAlign w:val="bottom"/>
          </w:tcPr>
          <w:p>
            <w:pPr>
              <w:jc w:val="right"/>
              <w:ind w:right="50"/>
              <w:spacing w:after="0"/>
              <w:rPr>
                <w:sz w:val="20"/>
                <w:szCs w:val="20"/>
                <w:color w:val="auto"/>
              </w:rPr>
            </w:pPr>
            <w:r>
              <w:rPr>
                <w:rFonts w:ascii="Arial" w:cs="Arial" w:eastAsia="Arial" w:hAnsi="Arial"/>
                <w:sz w:val="14"/>
                <w:szCs w:val="14"/>
                <w:color w:val="auto"/>
              </w:rPr>
              <w:t>44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jc w:val="right"/>
              <w:ind w:right="29"/>
              <w:spacing w:after="0"/>
              <w:rPr>
                <w:sz w:val="20"/>
                <w:szCs w:val="20"/>
                <w:color w:val="auto"/>
              </w:rPr>
            </w:pPr>
            <w:r>
              <w:rPr>
                <w:rFonts w:ascii="Arial" w:cs="Arial" w:eastAsia="Arial" w:hAnsi="Arial"/>
                <w:sz w:val="14"/>
                <w:szCs w:val="14"/>
                <w:color w:val="auto"/>
              </w:rPr>
              <w:t>102</w:t>
            </w:r>
          </w:p>
        </w:tc>
      </w:tr>
      <w:tr>
        <w:trPr>
          <w:trHeight w:val="23"/>
        </w:trPr>
        <w:tc>
          <w:tcPr>
            <w:tcW w:w="8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16"/>
        </w:trPr>
        <w:tc>
          <w:tcPr>
            <w:tcW w:w="86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Other</w:t>
            </w:r>
          </w:p>
        </w:tc>
        <w:tc>
          <w:tcPr>
            <w:tcW w:w="22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143</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137</w:t>
            </w:r>
          </w:p>
        </w:tc>
      </w:tr>
      <w:tr>
        <w:trPr>
          <w:trHeight w:val="184"/>
        </w:trPr>
        <w:tc>
          <w:tcPr>
            <w:tcW w:w="8600" w:type="dxa"/>
            <w:vAlign w:val="bottom"/>
          </w:tcPr>
          <w:p>
            <w:pPr>
              <w:ind w:left="300"/>
              <w:spacing w:after="0"/>
              <w:rPr>
                <w:sz w:val="20"/>
                <w:szCs w:val="20"/>
                <w:color w:val="auto"/>
              </w:rPr>
            </w:pPr>
            <w:r>
              <w:rPr>
                <w:rFonts w:ascii="Arial" w:cs="Arial" w:eastAsia="Arial" w:hAnsi="Arial"/>
                <w:sz w:val="14"/>
                <w:szCs w:val="14"/>
                <w:color w:val="auto"/>
              </w:rPr>
              <w:t>Total current liabilities</w:t>
            </w:r>
          </w:p>
        </w:tc>
        <w:tc>
          <w:tcPr>
            <w:tcW w:w="22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jc w:val="right"/>
              <w:ind w:right="50"/>
              <w:spacing w:after="0"/>
              <w:rPr>
                <w:sz w:val="20"/>
                <w:szCs w:val="20"/>
                <w:color w:val="auto"/>
              </w:rPr>
            </w:pPr>
            <w:r>
              <w:rPr>
                <w:rFonts w:ascii="Arial" w:cs="Arial" w:eastAsia="Arial" w:hAnsi="Arial"/>
                <w:sz w:val="14"/>
                <w:szCs w:val="14"/>
                <w:color w:val="auto"/>
              </w:rPr>
              <w:t>799</w:t>
            </w:r>
          </w:p>
        </w:tc>
        <w:tc>
          <w:tcPr>
            <w:tcW w:w="10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rPr>
              <w:t>1,340</w:t>
            </w:r>
          </w:p>
        </w:tc>
      </w:tr>
      <w:tr>
        <w:trPr>
          <w:trHeight w:val="23"/>
        </w:trPr>
        <w:tc>
          <w:tcPr>
            <w:tcW w:w="86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76"/>
        </w:trPr>
        <w:tc>
          <w:tcPr>
            <w:tcW w:w="8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Other Liabilities:</w:t>
            </w:r>
          </w:p>
        </w:tc>
        <w:tc>
          <w:tcPr>
            <w:tcW w:w="22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spacing w:after="0"/>
              <w:rPr>
                <w:sz w:val="15"/>
                <w:szCs w:val="15"/>
                <w:color w:val="auto"/>
              </w:rPr>
            </w:pPr>
          </w:p>
        </w:tc>
      </w:tr>
      <w:tr>
        <w:trPr>
          <w:trHeight w:val="193"/>
        </w:trPr>
        <w:tc>
          <w:tcPr>
            <w:tcW w:w="8600" w:type="dxa"/>
            <w:vAlign w:val="bottom"/>
          </w:tcPr>
          <w:p>
            <w:pPr>
              <w:ind w:left="140"/>
              <w:spacing w:after="0"/>
              <w:rPr>
                <w:sz w:val="20"/>
                <w:szCs w:val="20"/>
                <w:color w:val="auto"/>
              </w:rPr>
            </w:pPr>
            <w:r>
              <w:rPr>
                <w:rFonts w:ascii="Arial" w:cs="Arial" w:eastAsia="Arial" w:hAnsi="Arial"/>
                <w:sz w:val="14"/>
                <w:szCs w:val="14"/>
                <w:color w:val="auto"/>
              </w:rPr>
              <w:t>Deferred income taxes, net</w:t>
            </w:r>
          </w:p>
        </w:tc>
        <w:tc>
          <w:tcPr>
            <w:tcW w:w="220" w:type="dxa"/>
            <w:vAlign w:val="bottom"/>
          </w:tcPr>
          <w:p>
            <w:pPr>
              <w:spacing w:after="0"/>
              <w:rPr>
                <w:sz w:val="16"/>
                <w:szCs w:val="16"/>
                <w:color w:val="auto"/>
              </w:rPr>
            </w:pPr>
          </w:p>
        </w:tc>
        <w:tc>
          <w:tcPr>
            <w:tcW w:w="1180" w:type="dxa"/>
            <w:vAlign w:val="bottom"/>
          </w:tcPr>
          <w:p>
            <w:pPr>
              <w:jc w:val="right"/>
              <w:ind w:right="50"/>
              <w:spacing w:after="0"/>
              <w:rPr>
                <w:sz w:val="20"/>
                <w:szCs w:val="20"/>
                <w:color w:val="auto"/>
              </w:rPr>
            </w:pPr>
            <w:r>
              <w:rPr>
                <w:rFonts w:ascii="Arial" w:cs="Arial" w:eastAsia="Arial" w:hAnsi="Arial"/>
                <w:sz w:val="14"/>
                <w:szCs w:val="14"/>
                <w:color w:val="auto"/>
              </w:rPr>
              <w:t>455</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jc w:val="right"/>
              <w:ind w:right="29"/>
              <w:spacing w:after="0"/>
              <w:rPr>
                <w:sz w:val="20"/>
                <w:szCs w:val="20"/>
                <w:color w:val="auto"/>
              </w:rPr>
            </w:pPr>
            <w:r>
              <w:rPr>
                <w:rFonts w:ascii="Arial" w:cs="Arial" w:eastAsia="Arial" w:hAnsi="Arial"/>
                <w:sz w:val="14"/>
                <w:szCs w:val="14"/>
                <w:color w:val="auto"/>
              </w:rPr>
              <w:t>406</w:t>
            </w:r>
          </w:p>
        </w:tc>
      </w:tr>
      <w:tr>
        <w:trPr>
          <w:trHeight w:val="23"/>
        </w:trPr>
        <w:tc>
          <w:tcPr>
            <w:tcW w:w="8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96"/>
        </w:trPr>
        <w:tc>
          <w:tcPr>
            <w:tcW w:w="86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Non-trading derivative liabilities</w:t>
            </w:r>
          </w:p>
        </w:tc>
        <w:tc>
          <w:tcPr>
            <w:tcW w:w="22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18</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5</w:t>
            </w:r>
          </w:p>
        </w:tc>
      </w:tr>
      <w:tr>
        <w:trPr>
          <w:trHeight w:val="193"/>
        </w:trPr>
        <w:tc>
          <w:tcPr>
            <w:tcW w:w="8600" w:type="dxa"/>
            <w:vAlign w:val="bottom"/>
          </w:tcPr>
          <w:p>
            <w:pPr>
              <w:ind w:left="140"/>
              <w:spacing w:after="0"/>
              <w:rPr>
                <w:sz w:val="20"/>
                <w:szCs w:val="20"/>
                <w:color w:val="auto"/>
              </w:rPr>
            </w:pPr>
            <w:r>
              <w:rPr>
                <w:rFonts w:ascii="Arial" w:cs="Arial" w:eastAsia="Arial" w:hAnsi="Arial"/>
                <w:sz w:val="14"/>
                <w:szCs w:val="14"/>
                <w:color w:val="auto"/>
              </w:rPr>
              <w:t>Benefit obligations</w:t>
            </w:r>
          </w:p>
        </w:tc>
        <w:tc>
          <w:tcPr>
            <w:tcW w:w="220" w:type="dxa"/>
            <w:vAlign w:val="bottom"/>
          </w:tcPr>
          <w:p>
            <w:pPr>
              <w:spacing w:after="0"/>
              <w:rPr>
                <w:sz w:val="16"/>
                <w:szCs w:val="16"/>
                <w:color w:val="auto"/>
              </w:rPr>
            </w:pPr>
          </w:p>
        </w:tc>
        <w:tc>
          <w:tcPr>
            <w:tcW w:w="1180" w:type="dxa"/>
            <w:vAlign w:val="bottom"/>
          </w:tcPr>
          <w:p>
            <w:pPr>
              <w:jc w:val="right"/>
              <w:ind w:right="50"/>
              <w:spacing w:after="0"/>
              <w:rPr>
                <w:sz w:val="20"/>
                <w:szCs w:val="20"/>
                <w:color w:val="auto"/>
              </w:rPr>
            </w:pPr>
            <w:r>
              <w:rPr>
                <w:rFonts w:ascii="Arial" w:cs="Arial" w:eastAsia="Arial" w:hAnsi="Arial"/>
                <w:sz w:val="14"/>
                <w:szCs w:val="14"/>
                <w:color w:val="auto"/>
              </w:rPr>
              <w:t>95</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jc w:val="right"/>
              <w:ind w:right="29"/>
              <w:spacing w:after="0"/>
              <w:rPr>
                <w:sz w:val="20"/>
                <w:szCs w:val="20"/>
                <w:color w:val="auto"/>
              </w:rPr>
            </w:pPr>
            <w:r>
              <w:rPr>
                <w:rFonts w:ascii="Arial" w:cs="Arial" w:eastAsia="Arial" w:hAnsi="Arial"/>
                <w:sz w:val="14"/>
                <w:szCs w:val="14"/>
                <w:color w:val="auto"/>
              </w:rPr>
              <w:t>93</w:t>
            </w:r>
          </w:p>
        </w:tc>
      </w:tr>
      <w:tr>
        <w:trPr>
          <w:trHeight w:val="23"/>
        </w:trPr>
        <w:tc>
          <w:tcPr>
            <w:tcW w:w="8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96"/>
        </w:trPr>
        <w:tc>
          <w:tcPr>
            <w:tcW w:w="86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Regulatory liabilities</w:t>
            </w:r>
          </w:p>
        </w:tc>
        <w:tc>
          <w:tcPr>
            <w:tcW w:w="22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1,221</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1,227</w:t>
            </w:r>
          </w:p>
        </w:tc>
      </w:tr>
      <w:tr>
        <w:trPr>
          <w:trHeight w:val="193"/>
        </w:trPr>
        <w:tc>
          <w:tcPr>
            <w:tcW w:w="8600" w:type="dxa"/>
            <w:vAlign w:val="bottom"/>
          </w:tcPr>
          <w:p>
            <w:pPr>
              <w:ind w:left="140"/>
              <w:spacing w:after="0"/>
              <w:rPr>
                <w:sz w:val="20"/>
                <w:szCs w:val="20"/>
                <w:color w:val="auto"/>
              </w:rPr>
            </w:pPr>
            <w:r>
              <w:rPr>
                <w:rFonts w:ascii="Arial" w:cs="Arial" w:eastAsia="Arial" w:hAnsi="Arial"/>
                <w:sz w:val="14"/>
                <w:szCs w:val="14"/>
                <w:color w:val="auto"/>
              </w:rPr>
              <w:t>Other</w:t>
            </w:r>
          </w:p>
        </w:tc>
        <w:tc>
          <w:tcPr>
            <w:tcW w:w="220" w:type="dxa"/>
            <w:vAlign w:val="bottom"/>
          </w:tcPr>
          <w:p>
            <w:pPr>
              <w:spacing w:after="0"/>
              <w:rPr>
                <w:sz w:val="16"/>
                <w:szCs w:val="16"/>
                <w:color w:val="auto"/>
              </w:rPr>
            </w:pPr>
          </w:p>
        </w:tc>
        <w:tc>
          <w:tcPr>
            <w:tcW w:w="1180" w:type="dxa"/>
            <w:vAlign w:val="bottom"/>
          </w:tcPr>
          <w:p>
            <w:pPr>
              <w:jc w:val="right"/>
              <w:ind w:right="50"/>
              <w:spacing w:after="0"/>
              <w:rPr>
                <w:sz w:val="20"/>
                <w:szCs w:val="20"/>
                <w:color w:val="auto"/>
              </w:rPr>
            </w:pPr>
            <w:r>
              <w:rPr>
                <w:rFonts w:ascii="Arial" w:cs="Arial" w:eastAsia="Arial" w:hAnsi="Arial"/>
                <w:sz w:val="14"/>
                <w:szCs w:val="14"/>
                <w:color w:val="auto"/>
              </w:rPr>
              <w:t>381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jc w:val="right"/>
              <w:ind w:right="29"/>
              <w:spacing w:after="0"/>
              <w:rPr>
                <w:sz w:val="20"/>
                <w:szCs w:val="20"/>
                <w:color w:val="auto"/>
              </w:rPr>
            </w:pPr>
            <w:r>
              <w:rPr>
                <w:rFonts w:ascii="Arial" w:cs="Arial" w:eastAsia="Arial" w:hAnsi="Arial"/>
                <w:sz w:val="14"/>
                <w:szCs w:val="14"/>
                <w:color w:val="auto"/>
              </w:rPr>
              <w:t>329</w:t>
            </w:r>
          </w:p>
        </w:tc>
      </w:tr>
      <w:tr>
        <w:trPr>
          <w:trHeight w:val="23"/>
        </w:trPr>
        <w:tc>
          <w:tcPr>
            <w:tcW w:w="86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06"/>
        </w:trPr>
        <w:tc>
          <w:tcPr>
            <w:tcW w:w="86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4"/>
                <w:szCs w:val="14"/>
                <w:color w:val="auto"/>
              </w:rPr>
              <w:t>Total other liabilities</w:t>
            </w:r>
          </w:p>
        </w:tc>
        <w:tc>
          <w:tcPr>
            <w:tcW w:w="22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2,170</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2,060</w:t>
            </w:r>
          </w:p>
        </w:tc>
      </w:tr>
      <w:tr>
        <w:trPr>
          <w:trHeight w:val="184"/>
        </w:trPr>
        <w:tc>
          <w:tcPr>
            <w:tcW w:w="8600" w:type="dxa"/>
            <w:vAlign w:val="bottom"/>
          </w:tcPr>
          <w:p>
            <w:pPr>
              <w:ind w:left="20"/>
              <w:spacing w:after="0"/>
              <w:rPr>
                <w:sz w:val="20"/>
                <w:szCs w:val="20"/>
                <w:color w:val="auto"/>
              </w:rPr>
            </w:pPr>
            <w:r>
              <w:rPr>
                <w:rFonts w:ascii="Arial" w:cs="Arial" w:eastAsia="Arial" w:hAnsi="Arial"/>
                <w:sz w:val="14"/>
                <w:szCs w:val="14"/>
                <w:b w:val="1"/>
                <w:bCs w:val="1"/>
                <w:color w:val="auto"/>
              </w:rPr>
              <w:t>Long-Term Debt</w:t>
            </w:r>
          </w:p>
        </w:tc>
        <w:tc>
          <w:tcPr>
            <w:tcW w:w="22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jc w:val="right"/>
              <w:ind w:right="50"/>
              <w:spacing w:after="0"/>
              <w:rPr>
                <w:sz w:val="20"/>
                <w:szCs w:val="20"/>
                <w:color w:val="auto"/>
              </w:rPr>
            </w:pPr>
            <w:r>
              <w:rPr>
                <w:rFonts w:ascii="Arial" w:cs="Arial" w:eastAsia="Arial" w:hAnsi="Arial"/>
                <w:sz w:val="14"/>
                <w:szCs w:val="14"/>
                <w:color w:val="auto"/>
              </w:rPr>
              <w:t>2,477</w:t>
            </w:r>
          </w:p>
        </w:tc>
        <w:tc>
          <w:tcPr>
            <w:tcW w:w="10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rPr>
              <w:t>2,371</w:t>
            </w:r>
          </w:p>
        </w:tc>
      </w:tr>
      <w:tr>
        <w:trPr>
          <w:trHeight w:val="23"/>
        </w:trPr>
        <w:tc>
          <w:tcPr>
            <w:tcW w:w="86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76"/>
        </w:trPr>
        <w:tc>
          <w:tcPr>
            <w:tcW w:w="8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Commitments and Contingencies (Note 14)</w:t>
            </w:r>
          </w:p>
        </w:tc>
        <w:tc>
          <w:tcPr>
            <w:tcW w:w="22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spacing w:after="0"/>
              <w:rPr>
                <w:sz w:val="15"/>
                <w:szCs w:val="15"/>
                <w:color w:val="auto"/>
              </w:rPr>
            </w:pPr>
          </w:p>
        </w:tc>
      </w:tr>
      <w:tr>
        <w:trPr>
          <w:trHeight w:val="193"/>
        </w:trPr>
        <w:tc>
          <w:tcPr>
            <w:tcW w:w="8600" w:type="dxa"/>
            <w:vAlign w:val="bottom"/>
          </w:tcPr>
          <w:p>
            <w:pPr>
              <w:ind w:left="20"/>
              <w:spacing w:after="0"/>
              <w:rPr>
                <w:sz w:val="20"/>
                <w:szCs w:val="20"/>
                <w:color w:val="auto"/>
              </w:rPr>
            </w:pPr>
            <w:r>
              <w:rPr>
                <w:rFonts w:ascii="Arial" w:cs="Arial" w:eastAsia="Arial" w:hAnsi="Arial"/>
                <w:sz w:val="14"/>
                <w:szCs w:val="14"/>
                <w:b w:val="1"/>
                <w:bCs w:val="1"/>
                <w:color w:val="auto"/>
              </w:rPr>
              <w:t>Stockholder’s Equity:</w:t>
            </w:r>
          </w:p>
        </w:tc>
        <w:tc>
          <w:tcPr>
            <w:tcW w:w="2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3"/>
        </w:trPr>
        <w:tc>
          <w:tcPr>
            <w:tcW w:w="8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96"/>
        </w:trPr>
        <w:tc>
          <w:tcPr>
            <w:tcW w:w="86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Common stock</w:t>
            </w:r>
          </w:p>
        </w:tc>
        <w:tc>
          <w:tcPr>
            <w:tcW w:w="22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r>
      <w:tr>
        <w:trPr>
          <w:trHeight w:val="193"/>
        </w:trPr>
        <w:tc>
          <w:tcPr>
            <w:tcW w:w="8600" w:type="dxa"/>
            <w:vAlign w:val="bottom"/>
          </w:tcPr>
          <w:p>
            <w:pPr>
              <w:ind w:left="140"/>
              <w:spacing w:after="0"/>
              <w:rPr>
                <w:sz w:val="20"/>
                <w:szCs w:val="20"/>
                <w:color w:val="auto"/>
              </w:rPr>
            </w:pPr>
            <w:r>
              <w:rPr>
                <w:rFonts w:ascii="Arial" w:cs="Arial" w:eastAsia="Arial" w:hAnsi="Arial"/>
                <w:sz w:val="14"/>
                <w:szCs w:val="14"/>
                <w:color w:val="auto"/>
              </w:rPr>
              <w:t>Additional paid-in capital</w:t>
            </w:r>
          </w:p>
        </w:tc>
        <w:tc>
          <w:tcPr>
            <w:tcW w:w="220" w:type="dxa"/>
            <w:vAlign w:val="bottom"/>
          </w:tcPr>
          <w:p>
            <w:pPr>
              <w:spacing w:after="0"/>
              <w:rPr>
                <w:sz w:val="16"/>
                <w:szCs w:val="16"/>
                <w:color w:val="auto"/>
              </w:rPr>
            </w:pPr>
          </w:p>
        </w:tc>
        <w:tc>
          <w:tcPr>
            <w:tcW w:w="1180" w:type="dxa"/>
            <w:vAlign w:val="bottom"/>
          </w:tcPr>
          <w:p>
            <w:pPr>
              <w:jc w:val="right"/>
              <w:ind w:right="50"/>
              <w:spacing w:after="0"/>
              <w:rPr>
                <w:sz w:val="20"/>
                <w:szCs w:val="20"/>
                <w:color w:val="auto"/>
              </w:rPr>
            </w:pPr>
            <w:r>
              <w:rPr>
                <w:rFonts w:ascii="Arial" w:cs="Arial" w:eastAsia="Arial" w:hAnsi="Arial"/>
                <w:sz w:val="14"/>
                <w:szCs w:val="14"/>
                <w:color w:val="auto"/>
              </w:rPr>
              <w:t>2,015</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jc w:val="right"/>
              <w:ind w:right="29"/>
              <w:spacing w:after="0"/>
              <w:rPr>
                <w:sz w:val="20"/>
                <w:szCs w:val="20"/>
                <w:color w:val="auto"/>
              </w:rPr>
            </w:pPr>
            <w:r>
              <w:rPr>
                <w:rFonts w:ascii="Arial" w:cs="Arial" w:eastAsia="Arial" w:hAnsi="Arial"/>
                <w:sz w:val="14"/>
                <w:szCs w:val="14"/>
                <w:color w:val="auto"/>
              </w:rPr>
              <w:t>2,015</w:t>
            </w:r>
          </w:p>
        </w:tc>
      </w:tr>
      <w:tr>
        <w:trPr>
          <w:trHeight w:val="23"/>
        </w:trPr>
        <w:tc>
          <w:tcPr>
            <w:tcW w:w="8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96"/>
        </w:trPr>
        <w:tc>
          <w:tcPr>
            <w:tcW w:w="86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Retained earnings</w:t>
            </w:r>
          </w:p>
        </w:tc>
        <w:tc>
          <w:tcPr>
            <w:tcW w:w="22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463</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423</w:t>
            </w:r>
          </w:p>
        </w:tc>
      </w:tr>
      <w:tr>
        <w:trPr>
          <w:trHeight w:val="193"/>
        </w:trPr>
        <w:tc>
          <w:tcPr>
            <w:tcW w:w="8600" w:type="dxa"/>
            <w:vAlign w:val="bottom"/>
          </w:tcPr>
          <w:p>
            <w:pPr>
              <w:ind w:left="140"/>
              <w:spacing w:after="0"/>
              <w:rPr>
                <w:sz w:val="20"/>
                <w:szCs w:val="20"/>
                <w:color w:val="auto"/>
              </w:rPr>
            </w:pPr>
            <w:r>
              <w:rPr>
                <w:rFonts w:ascii="Arial" w:cs="Arial" w:eastAsia="Arial" w:hAnsi="Arial"/>
                <w:sz w:val="14"/>
                <w:szCs w:val="14"/>
                <w:color w:val="auto"/>
              </w:rPr>
              <w:t>Accumulated other comprehensive income</w:t>
            </w:r>
          </w:p>
        </w:tc>
        <w:tc>
          <w:tcPr>
            <w:tcW w:w="220" w:type="dxa"/>
            <w:vAlign w:val="bottom"/>
          </w:tcPr>
          <w:p>
            <w:pPr>
              <w:spacing w:after="0"/>
              <w:rPr>
                <w:sz w:val="16"/>
                <w:szCs w:val="16"/>
                <w:color w:val="auto"/>
              </w:rPr>
            </w:pPr>
          </w:p>
        </w:tc>
        <w:tc>
          <w:tcPr>
            <w:tcW w:w="1180" w:type="dxa"/>
            <w:vAlign w:val="bottom"/>
          </w:tcPr>
          <w:p>
            <w:pPr>
              <w:jc w:val="right"/>
              <w:ind w:right="50"/>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jc w:val="right"/>
              <w:ind w:right="29"/>
              <w:spacing w:after="0"/>
              <w:rPr>
                <w:sz w:val="20"/>
                <w:szCs w:val="20"/>
                <w:color w:val="auto"/>
              </w:rPr>
            </w:pPr>
            <w:r>
              <w:rPr>
                <w:rFonts w:ascii="Arial" w:cs="Arial" w:eastAsia="Arial" w:hAnsi="Arial"/>
                <w:sz w:val="14"/>
                <w:szCs w:val="14"/>
                <w:color w:val="auto"/>
              </w:rPr>
              <w:t>5</w:t>
            </w:r>
          </w:p>
        </w:tc>
      </w:tr>
      <w:tr>
        <w:trPr>
          <w:trHeight w:val="23"/>
        </w:trPr>
        <w:tc>
          <w:tcPr>
            <w:tcW w:w="86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06"/>
        </w:trPr>
        <w:tc>
          <w:tcPr>
            <w:tcW w:w="86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4"/>
                <w:szCs w:val="14"/>
                <w:color w:val="auto"/>
              </w:rPr>
              <w:t>Total stockholder’s equity</w:t>
            </w:r>
          </w:p>
        </w:tc>
        <w:tc>
          <w:tcPr>
            <w:tcW w:w="22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2,483</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2,443</w:t>
            </w:r>
          </w:p>
        </w:tc>
      </w:tr>
      <w:tr>
        <w:trPr>
          <w:trHeight w:val="200"/>
        </w:trPr>
        <w:tc>
          <w:tcPr>
            <w:tcW w:w="8600" w:type="dxa"/>
            <w:vAlign w:val="bottom"/>
          </w:tcPr>
          <w:p>
            <w:pPr>
              <w:ind w:left="560"/>
              <w:spacing w:after="0"/>
              <w:rPr>
                <w:sz w:val="20"/>
                <w:szCs w:val="20"/>
                <w:color w:val="auto"/>
              </w:rPr>
            </w:pPr>
            <w:r>
              <w:rPr>
                <w:rFonts w:ascii="Arial" w:cs="Arial" w:eastAsia="Arial" w:hAnsi="Arial"/>
                <w:sz w:val="14"/>
                <w:szCs w:val="14"/>
                <w:b w:val="1"/>
                <w:bCs w:val="1"/>
                <w:color w:val="auto"/>
              </w:rPr>
              <w:t>Total Liabilities and Stockholder’s Equity</w:t>
            </w: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4"/>
                <w:szCs w:val="14"/>
                <w:color w:val="auto"/>
              </w:rPr>
              <w:t>7,929</w:t>
            </w:r>
          </w:p>
        </w:tc>
        <w:tc>
          <w:tcPr>
            <w:tcW w:w="10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8,214</w:t>
            </w:r>
          </w:p>
        </w:tc>
      </w:tr>
      <w:tr>
        <w:trPr>
          <w:trHeight w:val="20"/>
        </w:trPr>
        <w:tc>
          <w:tcPr>
            <w:tcW w:w="86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3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Combined Notes to Unaudited Condensed Consolidated Financial Statements</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ectPr>
          <w:pgSz w:w="11900" w:h="16838" w:orient="portrait"/>
          <w:cols w:equalWidth="0" w:num="1">
            <w:col w:w="11460"/>
          </w:cols>
          <w:pgMar w:left="220" w:top="129" w:right="219" w:bottom="1440" w:gutter="0" w:footer="0" w:header="0"/>
        </w:sectPr>
      </w:pPr>
    </w:p>
    <w:bookmarkStart w:id="26" w:name="page27"/>
    <w:bookmarkEnd w:id="26"/>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2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CENTERPOINT ENERGY RESOURCES CORP. AND SUBSIDIARIES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(AN INDIRECT, WHOLLY-OWNED SUBSIDIARY OF CENTERPOINT ENERGY,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CONDENSED STATEMENTS OF CONSOLIDATED CASH FLOWS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8600" w:type="dxa"/>
            <w:vAlign w:val="bottom"/>
          </w:tcPr>
          <w:p>
            <w:pPr>
              <w:spacing w:after="0"/>
              <w:rPr>
                <w:sz w:val="13"/>
                <w:szCs w:val="13"/>
                <w:color w:val="auto"/>
              </w:rPr>
            </w:pPr>
          </w:p>
        </w:tc>
        <w:tc>
          <w:tcPr>
            <w:tcW w:w="2400" w:type="dxa"/>
            <w:vAlign w:val="bottom"/>
            <w:tcBorders>
              <w:bottom w:val="single" w:sz="8" w:color="auto"/>
            </w:tcBorders>
            <w:gridSpan w:val="4"/>
          </w:tcPr>
          <w:p>
            <w:pPr>
              <w:jc w:val="right"/>
              <w:ind w:right="33"/>
              <w:spacing w:after="0"/>
              <w:rPr>
                <w:sz w:val="20"/>
                <w:szCs w:val="20"/>
                <w:color w:val="auto"/>
              </w:rPr>
            </w:pPr>
            <w:r>
              <w:rPr>
                <w:rFonts w:ascii="Arial" w:cs="Arial" w:eastAsia="Arial" w:hAnsi="Arial"/>
                <w:sz w:val="11"/>
                <w:szCs w:val="11"/>
                <w:b w:val="1"/>
                <w:bCs w:val="1"/>
                <w:color w:val="auto"/>
              </w:rPr>
              <w:t>Nine Months Ended September 30,</w:t>
            </w:r>
          </w:p>
        </w:tc>
        <w:tc>
          <w:tcPr>
            <w:tcW w:w="460" w:type="dxa"/>
            <w:vAlign w:val="bottom"/>
            <w:tcBorders>
              <w:bottom w:val="single" w:sz="8" w:color="auto"/>
            </w:tcBorders>
          </w:tcPr>
          <w:p>
            <w:pPr>
              <w:spacing w:after="0"/>
              <w:rPr>
                <w:sz w:val="13"/>
                <w:szCs w:val="13"/>
                <w:color w:val="auto"/>
              </w:rPr>
            </w:pPr>
          </w:p>
        </w:tc>
      </w:tr>
      <w:tr>
        <w:trPr>
          <w:trHeight w:val="206"/>
        </w:trPr>
        <w:tc>
          <w:tcPr>
            <w:tcW w:w="8600" w:type="dxa"/>
            <w:vAlign w:val="bottom"/>
          </w:tcPr>
          <w:p>
            <w:pPr>
              <w:spacing w:after="0"/>
              <w:rPr>
                <w:sz w:val="17"/>
                <w:szCs w:val="17"/>
                <w:color w:val="auto"/>
              </w:rPr>
            </w:pPr>
          </w:p>
        </w:tc>
        <w:tc>
          <w:tcPr>
            <w:tcW w:w="920" w:type="dxa"/>
            <w:vAlign w:val="bottom"/>
            <w:tcBorders>
              <w:bottom w:val="single" w:sz="8" w:color="auto"/>
            </w:tcBorders>
          </w:tcPr>
          <w:p>
            <w:pPr>
              <w:jc w:val="right"/>
              <w:ind w:right="35"/>
              <w:spacing w:after="0"/>
              <w:rPr>
                <w:sz w:val="20"/>
                <w:szCs w:val="20"/>
                <w:color w:val="auto"/>
              </w:rPr>
            </w:pPr>
            <w:r>
              <w:rPr>
                <w:rFonts w:ascii="Arial" w:cs="Arial" w:eastAsia="Arial" w:hAnsi="Arial"/>
                <w:sz w:val="11"/>
                <w:szCs w:val="11"/>
                <w:b w:val="1"/>
                <w:bCs w:val="1"/>
                <w:color w:val="auto"/>
              </w:rPr>
              <w:t>2019</w:t>
            </w:r>
          </w:p>
        </w:tc>
        <w:tc>
          <w:tcPr>
            <w:tcW w:w="4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3"/>
              <w:spacing w:after="0"/>
              <w:rPr>
                <w:sz w:val="20"/>
                <w:szCs w:val="20"/>
                <w:color w:val="auto"/>
              </w:rPr>
            </w:pPr>
            <w:r>
              <w:rPr>
                <w:rFonts w:ascii="Arial" w:cs="Arial" w:eastAsia="Arial" w:hAnsi="Arial"/>
                <w:sz w:val="11"/>
                <w:szCs w:val="11"/>
                <w:b w:val="1"/>
                <w:bCs w:val="1"/>
                <w:color w:val="auto"/>
              </w:rPr>
              <w:t>2018</w:t>
            </w:r>
          </w:p>
        </w:tc>
        <w:tc>
          <w:tcPr>
            <w:tcW w:w="460" w:type="dxa"/>
            <w:vAlign w:val="bottom"/>
            <w:tcBorders>
              <w:bottom w:val="single" w:sz="8" w:color="auto"/>
            </w:tcBorders>
          </w:tcPr>
          <w:p>
            <w:pPr>
              <w:spacing w:after="0"/>
              <w:rPr>
                <w:sz w:val="17"/>
                <w:szCs w:val="17"/>
                <w:color w:val="auto"/>
              </w:rPr>
            </w:pPr>
          </w:p>
        </w:tc>
      </w:tr>
      <w:tr>
        <w:trPr>
          <w:trHeight w:val="191"/>
        </w:trPr>
        <w:tc>
          <w:tcPr>
            <w:tcW w:w="86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80" w:type="dxa"/>
            <w:vAlign w:val="bottom"/>
            <w:gridSpan w:val="3"/>
          </w:tcPr>
          <w:p>
            <w:pPr>
              <w:jc w:val="right"/>
              <w:ind w:right="533"/>
              <w:spacing w:after="0"/>
              <w:rPr>
                <w:sz w:val="20"/>
                <w:szCs w:val="20"/>
                <w:color w:val="auto"/>
              </w:rPr>
            </w:pPr>
            <w:r>
              <w:rPr>
                <w:rFonts w:ascii="Arial" w:cs="Arial" w:eastAsia="Arial" w:hAnsi="Arial"/>
                <w:sz w:val="11"/>
                <w:szCs w:val="11"/>
                <w:b w:val="1"/>
                <w:bCs w:val="1"/>
                <w:color w:val="auto"/>
              </w:rPr>
              <w:t>(in millions)</w:t>
            </w:r>
          </w:p>
        </w:tc>
        <w:tc>
          <w:tcPr>
            <w:tcW w:w="460" w:type="dxa"/>
            <w:vAlign w:val="bottom"/>
          </w:tcPr>
          <w:p>
            <w:pPr>
              <w:spacing w:after="0"/>
              <w:rPr>
                <w:sz w:val="16"/>
                <w:szCs w:val="16"/>
                <w:color w:val="auto"/>
              </w:rPr>
            </w:pPr>
          </w:p>
        </w:tc>
      </w:tr>
      <w:tr>
        <w:trPr>
          <w:trHeight w:val="202"/>
        </w:trPr>
        <w:tc>
          <w:tcPr>
            <w:tcW w:w="8600" w:type="dxa"/>
            <w:vAlign w:val="bottom"/>
          </w:tcPr>
          <w:p>
            <w:pPr>
              <w:ind w:left="20"/>
              <w:spacing w:after="0"/>
              <w:rPr>
                <w:sz w:val="20"/>
                <w:szCs w:val="20"/>
                <w:color w:val="auto"/>
              </w:rPr>
            </w:pPr>
            <w:r>
              <w:rPr>
                <w:rFonts w:ascii="Arial" w:cs="Arial" w:eastAsia="Arial" w:hAnsi="Arial"/>
                <w:sz w:val="14"/>
                <w:szCs w:val="14"/>
                <w:b w:val="1"/>
                <w:bCs w:val="1"/>
                <w:color w:val="auto"/>
              </w:rPr>
              <w:t>Cash Flows from Operating Activities:</w:t>
            </w:r>
          </w:p>
        </w:tc>
        <w:tc>
          <w:tcPr>
            <w:tcW w:w="9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60" w:type="dxa"/>
            <w:vAlign w:val="bottom"/>
          </w:tcPr>
          <w:p>
            <w:pPr>
              <w:spacing w:after="0"/>
              <w:rPr>
                <w:sz w:val="17"/>
                <w:szCs w:val="17"/>
                <w:color w:val="auto"/>
              </w:rPr>
            </w:pPr>
          </w:p>
        </w:tc>
      </w:tr>
      <w:tr>
        <w:trPr>
          <w:trHeight w:val="23"/>
        </w:trPr>
        <w:tc>
          <w:tcPr>
            <w:tcW w:w="86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6"/>
        </w:trPr>
        <w:tc>
          <w:tcPr>
            <w:tcW w:w="86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Net income</w:t>
            </w:r>
          </w:p>
        </w:tc>
        <w:tc>
          <w:tcPr>
            <w:tcW w:w="920" w:type="dxa"/>
            <w:vAlign w:val="bottom"/>
            <w:tcBorders>
              <w:bottom w:val="single" w:sz="8" w:color="CCEEFF"/>
            </w:tcBorders>
            <w:shd w:val="clear" w:color="auto" w:fill="CCEEFF"/>
          </w:tcPr>
          <w:p>
            <w:pPr>
              <w:jc w:val="right"/>
              <w:ind w:right="755"/>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159</w:t>
            </w:r>
          </w:p>
        </w:tc>
        <w:tc>
          <w:tcPr>
            <w:tcW w:w="1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ind w:right="733"/>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175</w:t>
            </w:r>
          </w:p>
        </w:tc>
      </w:tr>
      <w:tr>
        <w:trPr>
          <w:trHeight w:val="193"/>
        </w:trPr>
        <w:tc>
          <w:tcPr>
            <w:tcW w:w="8600" w:type="dxa"/>
            <w:vAlign w:val="bottom"/>
          </w:tcPr>
          <w:p>
            <w:pPr>
              <w:ind w:left="140"/>
              <w:spacing w:after="0"/>
              <w:rPr>
                <w:sz w:val="20"/>
                <w:szCs w:val="20"/>
                <w:color w:val="auto"/>
              </w:rPr>
            </w:pPr>
            <w:r>
              <w:rPr>
                <w:rFonts w:ascii="Arial" w:cs="Arial" w:eastAsia="Arial" w:hAnsi="Arial"/>
                <w:sz w:val="14"/>
                <w:szCs w:val="14"/>
                <w:color w:val="auto"/>
              </w:rPr>
              <w:t>Less: Income from discontinued operations, net of tax</w:t>
            </w:r>
          </w:p>
        </w:tc>
        <w:tc>
          <w:tcPr>
            <w:tcW w:w="920" w:type="dxa"/>
            <w:vAlign w:val="bottom"/>
          </w:tcPr>
          <w:p>
            <w:pPr>
              <w:spacing w:after="0"/>
              <w:rPr>
                <w:sz w:val="16"/>
                <w:szCs w:val="16"/>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tcPr>
          <w:p>
            <w:pPr>
              <w:spacing w:after="0"/>
              <w:rPr>
                <w:sz w:val="16"/>
                <w:szCs w:val="16"/>
                <w:color w:val="auto"/>
              </w:rPr>
            </w:pPr>
          </w:p>
        </w:tc>
        <w:tc>
          <w:tcPr>
            <w:tcW w:w="460" w:type="dxa"/>
            <w:vAlign w:val="bottom"/>
          </w:tcPr>
          <w:p>
            <w:pPr>
              <w:jc w:val="right"/>
              <w:ind w:right="28"/>
              <w:spacing w:after="0"/>
              <w:rPr>
                <w:sz w:val="20"/>
                <w:szCs w:val="20"/>
                <w:color w:val="auto"/>
              </w:rPr>
            </w:pPr>
            <w:r>
              <w:rPr>
                <w:rFonts w:ascii="Arial" w:cs="Arial" w:eastAsia="Arial" w:hAnsi="Arial"/>
                <w:sz w:val="14"/>
                <w:szCs w:val="14"/>
                <w:color w:val="auto"/>
              </w:rPr>
              <w:t>140</w:t>
            </w:r>
          </w:p>
        </w:tc>
      </w:tr>
      <w:tr>
        <w:trPr>
          <w:trHeight w:val="23"/>
        </w:trPr>
        <w:tc>
          <w:tcPr>
            <w:tcW w:w="86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r>
      <w:tr>
        <w:trPr>
          <w:trHeight w:val="186"/>
        </w:trPr>
        <w:tc>
          <w:tcPr>
            <w:tcW w:w="86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Income from continuing operations</w:t>
            </w:r>
          </w:p>
        </w:tc>
        <w:tc>
          <w:tcPr>
            <w:tcW w:w="92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159</w:t>
            </w:r>
          </w:p>
        </w:tc>
        <w:tc>
          <w:tcPr>
            <w:tcW w:w="10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35</w:t>
            </w:r>
          </w:p>
        </w:tc>
      </w:tr>
      <w:tr>
        <w:trPr>
          <w:trHeight w:val="193"/>
        </w:trPr>
        <w:tc>
          <w:tcPr>
            <w:tcW w:w="8600" w:type="dxa"/>
            <w:vAlign w:val="bottom"/>
          </w:tcPr>
          <w:p>
            <w:pPr>
              <w:ind w:left="140"/>
              <w:spacing w:after="0"/>
              <w:rPr>
                <w:sz w:val="20"/>
                <w:szCs w:val="20"/>
                <w:color w:val="auto"/>
              </w:rPr>
            </w:pPr>
            <w:r>
              <w:rPr>
                <w:rFonts w:ascii="Arial" w:cs="Arial" w:eastAsia="Arial" w:hAnsi="Arial"/>
                <w:sz w:val="14"/>
                <w:szCs w:val="14"/>
                <w:color w:val="auto"/>
              </w:rPr>
              <w:t>Adjustments to reconcile income from continuing operations to net cash provided by operating activities:</w:t>
            </w:r>
          </w:p>
        </w:tc>
        <w:tc>
          <w:tcPr>
            <w:tcW w:w="9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60" w:type="dxa"/>
            <w:vAlign w:val="bottom"/>
          </w:tcPr>
          <w:p>
            <w:pPr>
              <w:spacing w:after="0"/>
              <w:rPr>
                <w:sz w:val="16"/>
                <w:szCs w:val="16"/>
                <w:color w:val="auto"/>
              </w:rPr>
            </w:pPr>
          </w:p>
        </w:tc>
      </w:tr>
      <w:tr>
        <w:trPr>
          <w:trHeight w:val="23"/>
        </w:trPr>
        <w:tc>
          <w:tcPr>
            <w:tcW w:w="86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6"/>
        </w:trPr>
        <w:tc>
          <w:tcPr>
            <w:tcW w:w="86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4"/>
                <w:szCs w:val="14"/>
                <w:color w:val="auto"/>
              </w:rPr>
              <w:t>Depreciation and amortization</w:t>
            </w:r>
          </w:p>
        </w:tc>
        <w:tc>
          <w:tcPr>
            <w:tcW w:w="92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228</w:t>
            </w:r>
          </w:p>
        </w:tc>
        <w:tc>
          <w:tcPr>
            <w:tcW w:w="1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222</w:t>
            </w:r>
          </w:p>
        </w:tc>
      </w:tr>
      <w:tr>
        <w:trPr>
          <w:trHeight w:val="193"/>
        </w:trPr>
        <w:tc>
          <w:tcPr>
            <w:tcW w:w="8600" w:type="dxa"/>
            <w:vAlign w:val="bottom"/>
          </w:tcPr>
          <w:p>
            <w:pPr>
              <w:ind w:left="300"/>
              <w:spacing w:after="0"/>
              <w:rPr>
                <w:sz w:val="20"/>
                <w:szCs w:val="20"/>
                <w:color w:val="auto"/>
              </w:rPr>
            </w:pPr>
            <w:r>
              <w:rPr>
                <w:rFonts w:ascii="Arial" w:cs="Arial" w:eastAsia="Arial" w:hAnsi="Arial"/>
                <w:sz w:val="14"/>
                <w:szCs w:val="14"/>
                <w:color w:val="auto"/>
              </w:rPr>
              <w:t>Amortization of deferred financing costs</w:t>
            </w:r>
          </w:p>
        </w:tc>
        <w:tc>
          <w:tcPr>
            <w:tcW w:w="920" w:type="dxa"/>
            <w:vAlign w:val="bottom"/>
          </w:tcPr>
          <w:p>
            <w:pPr>
              <w:spacing w:after="0"/>
              <w:rPr>
                <w:sz w:val="16"/>
                <w:szCs w:val="16"/>
                <w:color w:val="auto"/>
              </w:rPr>
            </w:pPr>
          </w:p>
        </w:tc>
        <w:tc>
          <w:tcPr>
            <w:tcW w:w="480" w:type="dxa"/>
            <w:vAlign w:val="bottom"/>
          </w:tcPr>
          <w:p>
            <w:pPr>
              <w:jc w:val="right"/>
              <w:ind w:right="48"/>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60" w:type="dxa"/>
            <w:vAlign w:val="bottom"/>
          </w:tcPr>
          <w:p>
            <w:pPr>
              <w:jc w:val="right"/>
              <w:ind w:right="28"/>
              <w:spacing w:after="0"/>
              <w:rPr>
                <w:sz w:val="20"/>
                <w:szCs w:val="20"/>
                <w:color w:val="auto"/>
              </w:rPr>
            </w:pPr>
            <w:r>
              <w:rPr>
                <w:rFonts w:ascii="Arial" w:cs="Arial" w:eastAsia="Arial" w:hAnsi="Arial"/>
                <w:sz w:val="14"/>
                <w:szCs w:val="14"/>
                <w:color w:val="auto"/>
              </w:rPr>
              <w:t>7</w:t>
            </w:r>
          </w:p>
        </w:tc>
      </w:tr>
      <w:tr>
        <w:trPr>
          <w:trHeight w:val="23"/>
        </w:trPr>
        <w:tc>
          <w:tcPr>
            <w:tcW w:w="86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6"/>
        </w:trPr>
        <w:tc>
          <w:tcPr>
            <w:tcW w:w="86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4"/>
                <w:szCs w:val="14"/>
                <w:color w:val="auto"/>
              </w:rPr>
              <w:t>Deferred income taxes</w:t>
            </w:r>
          </w:p>
        </w:tc>
        <w:tc>
          <w:tcPr>
            <w:tcW w:w="92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26</w:t>
            </w:r>
          </w:p>
        </w:tc>
        <w:tc>
          <w:tcPr>
            <w:tcW w:w="1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6</w:t>
            </w:r>
          </w:p>
        </w:tc>
      </w:tr>
      <w:tr>
        <w:trPr>
          <w:trHeight w:val="193"/>
        </w:trPr>
        <w:tc>
          <w:tcPr>
            <w:tcW w:w="8600" w:type="dxa"/>
            <w:vAlign w:val="bottom"/>
          </w:tcPr>
          <w:p>
            <w:pPr>
              <w:ind w:left="300"/>
              <w:spacing w:after="0"/>
              <w:rPr>
                <w:sz w:val="20"/>
                <w:szCs w:val="20"/>
                <w:color w:val="auto"/>
              </w:rPr>
            </w:pPr>
            <w:r>
              <w:rPr>
                <w:rFonts w:ascii="Arial" w:cs="Arial" w:eastAsia="Arial" w:hAnsi="Arial"/>
                <w:sz w:val="14"/>
                <w:szCs w:val="14"/>
                <w:color w:val="auto"/>
              </w:rPr>
              <w:t>Write-down of natural gas inventory</w:t>
            </w:r>
          </w:p>
        </w:tc>
        <w:tc>
          <w:tcPr>
            <w:tcW w:w="920" w:type="dxa"/>
            <w:vAlign w:val="bottom"/>
          </w:tcPr>
          <w:p>
            <w:pPr>
              <w:spacing w:after="0"/>
              <w:rPr>
                <w:sz w:val="16"/>
                <w:szCs w:val="16"/>
                <w:color w:val="auto"/>
              </w:rPr>
            </w:pPr>
          </w:p>
        </w:tc>
        <w:tc>
          <w:tcPr>
            <w:tcW w:w="480" w:type="dxa"/>
            <w:vAlign w:val="bottom"/>
          </w:tcPr>
          <w:p>
            <w:pPr>
              <w:jc w:val="right"/>
              <w:ind w:right="48"/>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60" w:type="dxa"/>
            <w:vAlign w:val="bottom"/>
          </w:tcPr>
          <w:p>
            <w:pPr>
              <w:jc w:val="right"/>
              <w:ind w:right="28"/>
              <w:spacing w:after="0"/>
              <w:rPr>
                <w:sz w:val="20"/>
                <w:szCs w:val="20"/>
                <w:color w:val="auto"/>
              </w:rPr>
            </w:pPr>
            <w:r>
              <w:rPr>
                <w:rFonts w:ascii="Arial" w:cs="Arial" w:eastAsia="Arial" w:hAnsi="Arial"/>
                <w:sz w:val="14"/>
                <w:szCs w:val="14"/>
                <w:color w:val="auto"/>
              </w:rPr>
              <w:t>2</w:t>
            </w:r>
          </w:p>
        </w:tc>
      </w:tr>
      <w:tr>
        <w:trPr>
          <w:trHeight w:val="23"/>
        </w:trPr>
        <w:tc>
          <w:tcPr>
            <w:tcW w:w="86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6"/>
        </w:trPr>
        <w:tc>
          <w:tcPr>
            <w:tcW w:w="86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4"/>
                <w:szCs w:val="14"/>
                <w:color w:val="auto"/>
              </w:rPr>
              <w:t>Changes in other assets and liabilities:</w:t>
            </w:r>
          </w:p>
        </w:tc>
        <w:tc>
          <w:tcPr>
            <w:tcW w:w="92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r>
      <w:tr>
        <w:trPr>
          <w:trHeight w:val="193"/>
        </w:trPr>
        <w:tc>
          <w:tcPr>
            <w:tcW w:w="8600" w:type="dxa"/>
            <w:vAlign w:val="bottom"/>
          </w:tcPr>
          <w:p>
            <w:pPr>
              <w:ind w:left="400"/>
              <w:spacing w:after="0"/>
              <w:rPr>
                <w:sz w:val="20"/>
                <w:szCs w:val="20"/>
                <w:color w:val="auto"/>
              </w:rPr>
            </w:pPr>
            <w:r>
              <w:rPr>
                <w:rFonts w:ascii="Arial" w:cs="Arial" w:eastAsia="Arial" w:hAnsi="Arial"/>
                <w:sz w:val="14"/>
                <w:szCs w:val="14"/>
                <w:color w:val="auto"/>
              </w:rPr>
              <w:t>Accounts receivable and unbilled revenues, net</w:t>
            </w:r>
          </w:p>
        </w:tc>
        <w:tc>
          <w:tcPr>
            <w:tcW w:w="920" w:type="dxa"/>
            <w:vAlign w:val="bottom"/>
          </w:tcPr>
          <w:p>
            <w:pPr>
              <w:spacing w:after="0"/>
              <w:rPr>
                <w:sz w:val="16"/>
                <w:szCs w:val="16"/>
                <w:color w:val="auto"/>
              </w:rPr>
            </w:pPr>
          </w:p>
        </w:tc>
        <w:tc>
          <w:tcPr>
            <w:tcW w:w="480" w:type="dxa"/>
            <w:vAlign w:val="bottom"/>
          </w:tcPr>
          <w:p>
            <w:pPr>
              <w:jc w:val="right"/>
              <w:ind w:right="48"/>
              <w:spacing w:after="0"/>
              <w:rPr>
                <w:sz w:val="20"/>
                <w:szCs w:val="20"/>
                <w:color w:val="auto"/>
              </w:rPr>
            </w:pPr>
            <w:r>
              <w:rPr>
                <w:rFonts w:ascii="Arial" w:cs="Arial" w:eastAsia="Arial" w:hAnsi="Arial"/>
                <w:sz w:val="14"/>
                <w:szCs w:val="14"/>
                <w:color w:val="auto"/>
              </w:rPr>
              <w:t>653</w:t>
            </w: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60" w:type="dxa"/>
            <w:vAlign w:val="bottom"/>
          </w:tcPr>
          <w:p>
            <w:pPr>
              <w:jc w:val="right"/>
              <w:ind w:right="28"/>
              <w:spacing w:after="0"/>
              <w:rPr>
                <w:sz w:val="20"/>
                <w:szCs w:val="20"/>
                <w:color w:val="auto"/>
              </w:rPr>
            </w:pPr>
            <w:r>
              <w:rPr>
                <w:rFonts w:ascii="Arial" w:cs="Arial" w:eastAsia="Arial" w:hAnsi="Arial"/>
                <w:sz w:val="14"/>
                <w:szCs w:val="14"/>
                <w:color w:val="auto"/>
              </w:rPr>
              <w:t>449</w:t>
            </w:r>
          </w:p>
        </w:tc>
      </w:tr>
      <w:tr>
        <w:trPr>
          <w:trHeight w:val="23"/>
        </w:trPr>
        <w:tc>
          <w:tcPr>
            <w:tcW w:w="86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6"/>
        </w:trPr>
        <w:tc>
          <w:tcPr>
            <w:tcW w:w="860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4"/>
                <w:szCs w:val="14"/>
                <w:color w:val="auto"/>
              </w:rPr>
              <w:t>Accounts receivable/payable–affiliated companies</w:t>
            </w:r>
          </w:p>
        </w:tc>
        <w:tc>
          <w:tcPr>
            <w:tcW w:w="92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(9)</w:t>
            </w:r>
          </w:p>
        </w:tc>
        <w:tc>
          <w:tcPr>
            <w:tcW w:w="1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193"/>
        </w:trPr>
        <w:tc>
          <w:tcPr>
            <w:tcW w:w="8600" w:type="dxa"/>
            <w:vAlign w:val="bottom"/>
          </w:tcPr>
          <w:p>
            <w:pPr>
              <w:ind w:left="400"/>
              <w:spacing w:after="0"/>
              <w:rPr>
                <w:sz w:val="20"/>
                <w:szCs w:val="20"/>
                <w:color w:val="auto"/>
              </w:rPr>
            </w:pPr>
            <w:r>
              <w:rPr>
                <w:rFonts w:ascii="Arial" w:cs="Arial" w:eastAsia="Arial" w:hAnsi="Arial"/>
                <w:sz w:val="14"/>
                <w:szCs w:val="14"/>
                <w:color w:val="auto"/>
              </w:rPr>
              <w:t>Inventory</w:t>
            </w:r>
          </w:p>
        </w:tc>
        <w:tc>
          <w:tcPr>
            <w:tcW w:w="920" w:type="dxa"/>
            <w:vAlign w:val="bottom"/>
          </w:tcPr>
          <w:p>
            <w:pPr>
              <w:spacing w:after="0"/>
              <w:rPr>
                <w:sz w:val="16"/>
                <w:szCs w:val="16"/>
                <w:color w:val="auto"/>
              </w:rPr>
            </w:pPr>
          </w:p>
        </w:tc>
        <w:tc>
          <w:tcPr>
            <w:tcW w:w="480" w:type="dxa"/>
            <w:vAlign w:val="bottom"/>
          </w:tcPr>
          <w:p>
            <w:pPr>
              <w:jc w:val="right"/>
              <w:ind w:right="8"/>
              <w:spacing w:after="0"/>
              <w:rPr>
                <w:sz w:val="20"/>
                <w:szCs w:val="20"/>
                <w:color w:val="auto"/>
              </w:rPr>
            </w:pPr>
            <w:r>
              <w:rPr>
                <w:rFonts w:ascii="Arial" w:cs="Arial" w:eastAsia="Arial" w:hAnsi="Arial"/>
                <w:sz w:val="14"/>
                <w:szCs w:val="14"/>
                <w:color w:val="auto"/>
              </w:rPr>
              <w:t>(47)</w:t>
            </w: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60" w:type="dxa"/>
            <w:vAlign w:val="bottom"/>
          </w:tcPr>
          <w:p>
            <w:pPr>
              <w:jc w:val="right"/>
              <w:ind w:right="28"/>
              <w:spacing w:after="0"/>
              <w:rPr>
                <w:sz w:val="20"/>
                <w:szCs w:val="20"/>
                <w:color w:val="auto"/>
              </w:rPr>
            </w:pPr>
            <w:r>
              <w:rPr>
                <w:rFonts w:ascii="Arial" w:cs="Arial" w:eastAsia="Arial" w:hAnsi="Arial"/>
                <w:sz w:val="14"/>
                <w:szCs w:val="14"/>
                <w:color w:val="auto"/>
              </w:rPr>
              <w:t>1</w:t>
            </w:r>
          </w:p>
        </w:tc>
      </w:tr>
      <w:tr>
        <w:trPr>
          <w:trHeight w:val="23"/>
        </w:trPr>
        <w:tc>
          <w:tcPr>
            <w:tcW w:w="86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6"/>
        </w:trPr>
        <w:tc>
          <w:tcPr>
            <w:tcW w:w="860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4"/>
                <w:szCs w:val="14"/>
                <w:color w:val="auto"/>
              </w:rPr>
              <w:t>Taxes receivable</w:t>
            </w:r>
          </w:p>
        </w:tc>
        <w:tc>
          <w:tcPr>
            <w:tcW w:w="92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(4)</w:t>
            </w:r>
          </w:p>
        </w:tc>
        <w:tc>
          <w:tcPr>
            <w:tcW w:w="1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193"/>
        </w:trPr>
        <w:tc>
          <w:tcPr>
            <w:tcW w:w="8600" w:type="dxa"/>
            <w:vAlign w:val="bottom"/>
          </w:tcPr>
          <w:p>
            <w:pPr>
              <w:ind w:left="400"/>
              <w:spacing w:after="0"/>
              <w:rPr>
                <w:sz w:val="20"/>
                <w:szCs w:val="20"/>
                <w:color w:val="auto"/>
              </w:rPr>
            </w:pPr>
            <w:r>
              <w:rPr>
                <w:rFonts w:ascii="Arial" w:cs="Arial" w:eastAsia="Arial" w:hAnsi="Arial"/>
                <w:sz w:val="14"/>
                <w:szCs w:val="14"/>
                <w:color w:val="auto"/>
              </w:rPr>
              <w:t>Accounts payable</w:t>
            </w:r>
          </w:p>
        </w:tc>
        <w:tc>
          <w:tcPr>
            <w:tcW w:w="920" w:type="dxa"/>
            <w:vAlign w:val="bottom"/>
          </w:tcPr>
          <w:p>
            <w:pPr>
              <w:spacing w:after="0"/>
              <w:rPr>
                <w:sz w:val="16"/>
                <w:szCs w:val="16"/>
                <w:color w:val="auto"/>
              </w:rPr>
            </w:pPr>
          </w:p>
        </w:tc>
        <w:tc>
          <w:tcPr>
            <w:tcW w:w="480" w:type="dxa"/>
            <w:vAlign w:val="bottom"/>
          </w:tcPr>
          <w:p>
            <w:pPr>
              <w:jc w:val="right"/>
              <w:ind w:right="8"/>
              <w:spacing w:after="0"/>
              <w:rPr>
                <w:sz w:val="20"/>
                <w:szCs w:val="20"/>
                <w:color w:val="auto"/>
              </w:rPr>
            </w:pPr>
            <w:r>
              <w:rPr>
                <w:rFonts w:ascii="Arial" w:cs="Arial" w:eastAsia="Arial" w:hAnsi="Arial"/>
                <w:sz w:val="14"/>
                <w:szCs w:val="14"/>
                <w:color w:val="auto"/>
              </w:rPr>
              <w:t>(458)</w:t>
            </w: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(261)</w:t>
            </w:r>
          </w:p>
        </w:tc>
      </w:tr>
      <w:tr>
        <w:trPr>
          <w:trHeight w:val="23"/>
        </w:trPr>
        <w:tc>
          <w:tcPr>
            <w:tcW w:w="86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6"/>
        </w:trPr>
        <w:tc>
          <w:tcPr>
            <w:tcW w:w="860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4"/>
                <w:szCs w:val="14"/>
                <w:color w:val="auto"/>
              </w:rPr>
              <w:t>Fuel cost recovery</w:t>
            </w:r>
          </w:p>
        </w:tc>
        <w:tc>
          <w:tcPr>
            <w:tcW w:w="92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68</w:t>
            </w:r>
          </w:p>
        </w:tc>
        <w:tc>
          <w:tcPr>
            <w:tcW w:w="1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53</w:t>
            </w:r>
          </w:p>
        </w:tc>
      </w:tr>
      <w:tr>
        <w:trPr>
          <w:trHeight w:val="193"/>
        </w:trPr>
        <w:tc>
          <w:tcPr>
            <w:tcW w:w="8600" w:type="dxa"/>
            <w:vAlign w:val="bottom"/>
          </w:tcPr>
          <w:p>
            <w:pPr>
              <w:ind w:left="400"/>
              <w:spacing w:after="0"/>
              <w:rPr>
                <w:sz w:val="20"/>
                <w:szCs w:val="20"/>
                <w:color w:val="auto"/>
              </w:rPr>
            </w:pPr>
            <w:r>
              <w:rPr>
                <w:rFonts w:ascii="Arial" w:cs="Arial" w:eastAsia="Arial" w:hAnsi="Arial"/>
                <w:sz w:val="14"/>
                <w:szCs w:val="14"/>
                <w:color w:val="auto"/>
              </w:rPr>
              <w:t>Interest and taxes accrued</w:t>
            </w:r>
          </w:p>
        </w:tc>
        <w:tc>
          <w:tcPr>
            <w:tcW w:w="920" w:type="dxa"/>
            <w:vAlign w:val="bottom"/>
          </w:tcPr>
          <w:p>
            <w:pPr>
              <w:spacing w:after="0"/>
              <w:rPr>
                <w:sz w:val="16"/>
                <w:szCs w:val="16"/>
                <w:color w:val="auto"/>
              </w:rPr>
            </w:pPr>
          </w:p>
        </w:tc>
        <w:tc>
          <w:tcPr>
            <w:tcW w:w="480" w:type="dxa"/>
            <w:vAlign w:val="bottom"/>
          </w:tcPr>
          <w:p>
            <w:pPr>
              <w:jc w:val="right"/>
              <w:ind w:right="8"/>
              <w:spacing w:after="0"/>
              <w:rPr>
                <w:sz w:val="20"/>
                <w:szCs w:val="20"/>
                <w:color w:val="auto"/>
              </w:rPr>
            </w:pPr>
            <w:r>
              <w:rPr>
                <w:rFonts w:ascii="Arial" w:cs="Arial" w:eastAsia="Arial" w:hAnsi="Arial"/>
                <w:sz w:val="14"/>
                <w:szCs w:val="14"/>
                <w:color w:val="auto"/>
              </w:rPr>
              <w:t>(23)</w:t>
            </w: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(9)</w:t>
            </w:r>
          </w:p>
        </w:tc>
      </w:tr>
      <w:tr>
        <w:trPr>
          <w:trHeight w:val="23"/>
        </w:trPr>
        <w:tc>
          <w:tcPr>
            <w:tcW w:w="86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6"/>
        </w:trPr>
        <w:tc>
          <w:tcPr>
            <w:tcW w:w="860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4"/>
                <w:szCs w:val="14"/>
                <w:color w:val="auto"/>
              </w:rPr>
              <w:t>Non-trading derivatives, net</w:t>
            </w:r>
          </w:p>
        </w:tc>
        <w:tc>
          <w:tcPr>
            <w:tcW w:w="92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(60)</w:t>
            </w:r>
          </w:p>
        </w:tc>
        <w:tc>
          <w:tcPr>
            <w:tcW w:w="1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60</w:t>
            </w:r>
          </w:p>
        </w:tc>
      </w:tr>
      <w:tr>
        <w:trPr>
          <w:trHeight w:val="193"/>
        </w:trPr>
        <w:tc>
          <w:tcPr>
            <w:tcW w:w="8600" w:type="dxa"/>
            <w:vAlign w:val="bottom"/>
          </w:tcPr>
          <w:p>
            <w:pPr>
              <w:ind w:left="400"/>
              <w:spacing w:after="0"/>
              <w:rPr>
                <w:sz w:val="20"/>
                <w:szCs w:val="20"/>
                <w:color w:val="auto"/>
              </w:rPr>
            </w:pPr>
            <w:r>
              <w:rPr>
                <w:rFonts w:ascii="Arial" w:cs="Arial" w:eastAsia="Arial" w:hAnsi="Arial"/>
                <w:sz w:val="14"/>
                <w:szCs w:val="14"/>
                <w:color w:val="auto"/>
              </w:rPr>
              <w:t>Margin deposits, net</w:t>
            </w:r>
          </w:p>
        </w:tc>
        <w:tc>
          <w:tcPr>
            <w:tcW w:w="920" w:type="dxa"/>
            <w:vAlign w:val="bottom"/>
          </w:tcPr>
          <w:p>
            <w:pPr>
              <w:spacing w:after="0"/>
              <w:rPr>
                <w:sz w:val="16"/>
                <w:szCs w:val="16"/>
                <w:color w:val="auto"/>
              </w:rPr>
            </w:pPr>
          </w:p>
        </w:tc>
        <w:tc>
          <w:tcPr>
            <w:tcW w:w="480" w:type="dxa"/>
            <w:vAlign w:val="bottom"/>
          </w:tcPr>
          <w:p>
            <w:pPr>
              <w:jc w:val="right"/>
              <w:ind w:right="8"/>
              <w:spacing w:after="0"/>
              <w:rPr>
                <w:sz w:val="20"/>
                <w:szCs w:val="20"/>
                <w:color w:val="auto"/>
              </w:rPr>
            </w:pPr>
            <w:r>
              <w:rPr>
                <w:rFonts w:ascii="Arial" w:cs="Arial" w:eastAsia="Arial" w:hAnsi="Arial"/>
                <w:sz w:val="14"/>
                <w:szCs w:val="14"/>
                <w:color w:val="auto"/>
              </w:rPr>
              <w:t>(33)</w:t>
            </w: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60" w:type="dxa"/>
            <w:vAlign w:val="bottom"/>
          </w:tcPr>
          <w:p>
            <w:pPr>
              <w:jc w:val="right"/>
              <w:ind w:right="28"/>
              <w:spacing w:after="0"/>
              <w:rPr>
                <w:sz w:val="20"/>
                <w:szCs w:val="20"/>
                <w:color w:val="auto"/>
              </w:rPr>
            </w:pPr>
            <w:r>
              <w:rPr>
                <w:rFonts w:ascii="Arial" w:cs="Arial" w:eastAsia="Arial" w:hAnsi="Arial"/>
                <w:sz w:val="14"/>
                <w:szCs w:val="14"/>
                <w:color w:val="auto"/>
              </w:rPr>
              <w:t>2</w:t>
            </w:r>
          </w:p>
        </w:tc>
      </w:tr>
      <w:tr>
        <w:trPr>
          <w:trHeight w:val="23"/>
        </w:trPr>
        <w:tc>
          <w:tcPr>
            <w:tcW w:w="86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6"/>
        </w:trPr>
        <w:tc>
          <w:tcPr>
            <w:tcW w:w="860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4"/>
                <w:szCs w:val="14"/>
                <w:color w:val="auto"/>
              </w:rPr>
              <w:t>Net regulatory assets and liabilities</w:t>
            </w:r>
          </w:p>
        </w:tc>
        <w:tc>
          <w:tcPr>
            <w:tcW w:w="92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73</w:t>
            </w:r>
          </w:p>
        </w:tc>
      </w:tr>
      <w:tr>
        <w:trPr>
          <w:trHeight w:val="193"/>
        </w:trPr>
        <w:tc>
          <w:tcPr>
            <w:tcW w:w="8600" w:type="dxa"/>
            <w:vAlign w:val="bottom"/>
          </w:tcPr>
          <w:p>
            <w:pPr>
              <w:ind w:left="400"/>
              <w:spacing w:after="0"/>
              <w:rPr>
                <w:sz w:val="20"/>
                <w:szCs w:val="20"/>
                <w:color w:val="auto"/>
              </w:rPr>
            </w:pPr>
            <w:r>
              <w:rPr>
                <w:rFonts w:ascii="Arial" w:cs="Arial" w:eastAsia="Arial" w:hAnsi="Arial"/>
                <w:sz w:val="14"/>
                <w:szCs w:val="14"/>
                <w:color w:val="auto"/>
              </w:rPr>
              <w:t>Other current assets</w:t>
            </w:r>
          </w:p>
        </w:tc>
        <w:tc>
          <w:tcPr>
            <w:tcW w:w="920" w:type="dxa"/>
            <w:vAlign w:val="bottom"/>
          </w:tcPr>
          <w:p>
            <w:pPr>
              <w:spacing w:after="0"/>
              <w:rPr>
                <w:sz w:val="16"/>
                <w:szCs w:val="16"/>
                <w:color w:val="auto"/>
              </w:rPr>
            </w:pPr>
          </w:p>
        </w:tc>
        <w:tc>
          <w:tcPr>
            <w:tcW w:w="480" w:type="dxa"/>
            <w:vAlign w:val="bottom"/>
          </w:tcPr>
          <w:p>
            <w:pPr>
              <w:jc w:val="right"/>
              <w:ind w:right="48"/>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60" w:type="dxa"/>
            <w:vAlign w:val="bottom"/>
          </w:tcPr>
          <w:p>
            <w:pPr>
              <w:jc w:val="right"/>
              <w:ind w:right="28"/>
              <w:spacing w:after="0"/>
              <w:rPr>
                <w:sz w:val="20"/>
                <w:szCs w:val="20"/>
                <w:color w:val="auto"/>
              </w:rPr>
            </w:pPr>
            <w:r>
              <w:rPr>
                <w:rFonts w:ascii="Arial" w:cs="Arial" w:eastAsia="Arial" w:hAnsi="Arial"/>
                <w:sz w:val="14"/>
                <w:szCs w:val="14"/>
                <w:color w:val="auto"/>
              </w:rPr>
              <w:t>7</w:t>
            </w:r>
          </w:p>
        </w:tc>
      </w:tr>
      <w:tr>
        <w:trPr>
          <w:trHeight w:val="23"/>
        </w:trPr>
        <w:tc>
          <w:tcPr>
            <w:tcW w:w="86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6"/>
        </w:trPr>
        <w:tc>
          <w:tcPr>
            <w:tcW w:w="860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4"/>
                <w:szCs w:val="14"/>
                <w:color w:val="auto"/>
              </w:rPr>
              <w:t>Other current liabilities</w:t>
            </w:r>
          </w:p>
        </w:tc>
        <w:tc>
          <w:tcPr>
            <w:tcW w:w="92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(9)</w:t>
            </w:r>
          </w:p>
        </w:tc>
        <w:tc>
          <w:tcPr>
            <w:tcW w:w="1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24</w:t>
            </w:r>
          </w:p>
        </w:tc>
      </w:tr>
      <w:tr>
        <w:trPr>
          <w:trHeight w:val="193"/>
        </w:trPr>
        <w:tc>
          <w:tcPr>
            <w:tcW w:w="8600" w:type="dxa"/>
            <w:vAlign w:val="bottom"/>
          </w:tcPr>
          <w:p>
            <w:pPr>
              <w:ind w:left="400"/>
              <w:spacing w:after="0"/>
              <w:rPr>
                <w:sz w:val="20"/>
                <w:szCs w:val="20"/>
                <w:color w:val="auto"/>
              </w:rPr>
            </w:pPr>
            <w:r>
              <w:rPr>
                <w:rFonts w:ascii="Arial" w:cs="Arial" w:eastAsia="Arial" w:hAnsi="Arial"/>
                <w:sz w:val="14"/>
                <w:szCs w:val="14"/>
                <w:color w:val="auto"/>
              </w:rPr>
              <w:t>Other assets</w:t>
            </w:r>
          </w:p>
        </w:tc>
        <w:tc>
          <w:tcPr>
            <w:tcW w:w="920" w:type="dxa"/>
            <w:vAlign w:val="bottom"/>
          </w:tcPr>
          <w:p>
            <w:pPr>
              <w:spacing w:after="0"/>
              <w:rPr>
                <w:sz w:val="16"/>
                <w:szCs w:val="16"/>
                <w:color w:val="auto"/>
              </w:rPr>
            </w:pPr>
          </w:p>
        </w:tc>
        <w:tc>
          <w:tcPr>
            <w:tcW w:w="480" w:type="dxa"/>
            <w:vAlign w:val="bottom"/>
          </w:tcPr>
          <w:p>
            <w:pPr>
              <w:jc w:val="right"/>
              <w:ind w:right="8"/>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60" w:type="dxa"/>
            <w:vAlign w:val="bottom"/>
          </w:tcPr>
          <w:p>
            <w:pPr>
              <w:jc w:val="right"/>
              <w:ind w:right="28"/>
              <w:spacing w:after="0"/>
              <w:rPr>
                <w:sz w:val="20"/>
                <w:szCs w:val="20"/>
                <w:color w:val="auto"/>
              </w:rPr>
            </w:pPr>
            <w:r>
              <w:rPr>
                <w:rFonts w:ascii="Arial" w:cs="Arial" w:eastAsia="Arial" w:hAnsi="Arial"/>
                <w:sz w:val="14"/>
                <w:szCs w:val="14"/>
                <w:color w:val="auto"/>
              </w:rPr>
              <w:t>5</w:t>
            </w:r>
          </w:p>
        </w:tc>
      </w:tr>
      <w:tr>
        <w:trPr>
          <w:trHeight w:val="23"/>
        </w:trPr>
        <w:tc>
          <w:tcPr>
            <w:tcW w:w="86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16"/>
        </w:trPr>
        <w:tc>
          <w:tcPr>
            <w:tcW w:w="860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4"/>
                <w:szCs w:val="14"/>
                <w:color w:val="auto"/>
              </w:rPr>
              <w:t>Other liabilities</w:t>
            </w:r>
          </w:p>
        </w:tc>
        <w:tc>
          <w:tcPr>
            <w:tcW w:w="92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2</w:t>
            </w:r>
          </w:p>
        </w:tc>
        <w:tc>
          <w:tcPr>
            <w:tcW w:w="1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w:t>
            </w:r>
          </w:p>
        </w:tc>
      </w:tr>
      <w:tr>
        <w:trPr>
          <w:trHeight w:val="184"/>
        </w:trPr>
        <w:tc>
          <w:tcPr>
            <w:tcW w:w="8600" w:type="dxa"/>
            <w:vAlign w:val="bottom"/>
          </w:tcPr>
          <w:p>
            <w:pPr>
              <w:ind w:left="560"/>
              <w:spacing w:after="0"/>
              <w:rPr>
                <w:sz w:val="20"/>
                <w:szCs w:val="20"/>
                <w:color w:val="auto"/>
              </w:rPr>
            </w:pPr>
            <w:r>
              <w:rPr>
                <w:rFonts w:ascii="Arial" w:cs="Arial" w:eastAsia="Arial" w:hAnsi="Arial"/>
                <w:sz w:val="14"/>
                <w:szCs w:val="14"/>
                <w:color w:val="auto"/>
              </w:rPr>
              <w:t>Net cash provided by operating activities from continuing operations</w:t>
            </w:r>
          </w:p>
        </w:tc>
        <w:tc>
          <w:tcPr>
            <w:tcW w:w="92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513</w:t>
            </w:r>
          </w:p>
        </w:tc>
        <w:tc>
          <w:tcPr>
            <w:tcW w:w="100" w:type="dxa"/>
            <w:vAlign w:val="bottom"/>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674</w:t>
            </w:r>
          </w:p>
        </w:tc>
      </w:tr>
      <w:tr>
        <w:trPr>
          <w:trHeight w:val="23"/>
        </w:trPr>
        <w:tc>
          <w:tcPr>
            <w:tcW w:w="86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16"/>
        </w:trPr>
        <w:tc>
          <w:tcPr>
            <w:tcW w:w="860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4"/>
                <w:szCs w:val="14"/>
                <w:color w:val="auto"/>
              </w:rPr>
              <w:t>Net cash provided by operating activities from discontinued operations</w:t>
            </w:r>
          </w:p>
        </w:tc>
        <w:tc>
          <w:tcPr>
            <w:tcW w:w="92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176</w:t>
            </w:r>
          </w:p>
        </w:tc>
      </w:tr>
      <w:tr>
        <w:trPr>
          <w:trHeight w:val="184"/>
        </w:trPr>
        <w:tc>
          <w:tcPr>
            <w:tcW w:w="8600" w:type="dxa"/>
            <w:vAlign w:val="bottom"/>
          </w:tcPr>
          <w:p>
            <w:pPr>
              <w:ind w:left="560"/>
              <w:spacing w:after="0"/>
              <w:rPr>
                <w:sz w:val="20"/>
                <w:szCs w:val="20"/>
                <w:color w:val="auto"/>
              </w:rPr>
            </w:pPr>
            <w:r>
              <w:rPr>
                <w:rFonts w:ascii="Arial" w:cs="Arial" w:eastAsia="Arial" w:hAnsi="Arial"/>
                <w:sz w:val="14"/>
                <w:szCs w:val="14"/>
                <w:color w:val="auto"/>
              </w:rPr>
              <w:t>Net cash provided by operating activities</w:t>
            </w:r>
          </w:p>
        </w:tc>
        <w:tc>
          <w:tcPr>
            <w:tcW w:w="92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513</w:t>
            </w:r>
          </w:p>
        </w:tc>
        <w:tc>
          <w:tcPr>
            <w:tcW w:w="100" w:type="dxa"/>
            <w:vAlign w:val="bottom"/>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850</w:t>
            </w:r>
          </w:p>
        </w:tc>
      </w:tr>
      <w:tr>
        <w:trPr>
          <w:trHeight w:val="23"/>
        </w:trPr>
        <w:tc>
          <w:tcPr>
            <w:tcW w:w="86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r>
      <w:tr>
        <w:trPr>
          <w:trHeight w:val="186"/>
        </w:trPr>
        <w:tc>
          <w:tcPr>
            <w:tcW w:w="8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Investing Activities:</w:t>
            </w:r>
          </w:p>
        </w:tc>
        <w:tc>
          <w:tcPr>
            <w:tcW w:w="92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r>
      <w:tr>
        <w:trPr>
          <w:trHeight w:val="193"/>
        </w:trPr>
        <w:tc>
          <w:tcPr>
            <w:tcW w:w="8600" w:type="dxa"/>
            <w:vAlign w:val="bottom"/>
          </w:tcPr>
          <w:p>
            <w:pPr>
              <w:ind w:left="140"/>
              <w:spacing w:after="0"/>
              <w:rPr>
                <w:sz w:val="20"/>
                <w:szCs w:val="20"/>
                <w:color w:val="auto"/>
              </w:rPr>
            </w:pPr>
            <w:r>
              <w:rPr>
                <w:rFonts w:ascii="Arial" w:cs="Arial" w:eastAsia="Arial" w:hAnsi="Arial"/>
                <w:sz w:val="14"/>
                <w:szCs w:val="14"/>
                <w:color w:val="auto"/>
              </w:rPr>
              <w:t>Capital expenditures</w:t>
            </w:r>
          </w:p>
        </w:tc>
        <w:tc>
          <w:tcPr>
            <w:tcW w:w="920" w:type="dxa"/>
            <w:vAlign w:val="bottom"/>
          </w:tcPr>
          <w:p>
            <w:pPr>
              <w:spacing w:after="0"/>
              <w:rPr>
                <w:sz w:val="16"/>
                <w:szCs w:val="16"/>
                <w:color w:val="auto"/>
              </w:rPr>
            </w:pPr>
          </w:p>
        </w:tc>
        <w:tc>
          <w:tcPr>
            <w:tcW w:w="480" w:type="dxa"/>
            <w:vAlign w:val="bottom"/>
          </w:tcPr>
          <w:p>
            <w:pPr>
              <w:jc w:val="right"/>
              <w:ind w:right="8"/>
              <w:spacing w:after="0"/>
              <w:rPr>
                <w:sz w:val="20"/>
                <w:szCs w:val="20"/>
                <w:color w:val="auto"/>
              </w:rPr>
            </w:pPr>
            <w:r>
              <w:rPr>
                <w:rFonts w:ascii="Arial" w:cs="Arial" w:eastAsia="Arial" w:hAnsi="Arial"/>
                <w:sz w:val="14"/>
                <w:szCs w:val="14"/>
                <w:color w:val="auto"/>
              </w:rPr>
              <w:t>(546)</w:t>
            </w: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(411)</w:t>
            </w:r>
          </w:p>
        </w:tc>
      </w:tr>
      <w:tr>
        <w:trPr>
          <w:trHeight w:val="23"/>
        </w:trPr>
        <w:tc>
          <w:tcPr>
            <w:tcW w:w="86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6"/>
        </w:trPr>
        <w:tc>
          <w:tcPr>
            <w:tcW w:w="86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Decrease in notes receivable–affiliated companies</w:t>
            </w:r>
          </w:p>
        </w:tc>
        <w:tc>
          <w:tcPr>
            <w:tcW w:w="92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27</w:t>
            </w:r>
          </w:p>
        </w:tc>
        <w:tc>
          <w:tcPr>
            <w:tcW w:w="1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193"/>
        </w:trPr>
        <w:tc>
          <w:tcPr>
            <w:tcW w:w="8600" w:type="dxa"/>
            <w:vAlign w:val="bottom"/>
          </w:tcPr>
          <w:p>
            <w:pPr>
              <w:ind w:left="140"/>
              <w:spacing w:after="0"/>
              <w:rPr>
                <w:sz w:val="20"/>
                <w:szCs w:val="20"/>
                <w:color w:val="auto"/>
              </w:rPr>
            </w:pPr>
            <w:r>
              <w:rPr>
                <w:rFonts w:ascii="Arial" w:cs="Arial" w:eastAsia="Arial" w:hAnsi="Arial"/>
                <w:sz w:val="14"/>
                <w:szCs w:val="14"/>
                <w:color w:val="auto"/>
              </w:rPr>
              <w:t>Other investing activities, net</w:t>
            </w:r>
          </w:p>
        </w:tc>
        <w:tc>
          <w:tcPr>
            <w:tcW w:w="920" w:type="dxa"/>
            <w:vAlign w:val="bottom"/>
          </w:tcPr>
          <w:p>
            <w:pPr>
              <w:spacing w:after="0"/>
              <w:rPr>
                <w:sz w:val="16"/>
                <w:szCs w:val="16"/>
                <w:color w:val="auto"/>
              </w:rPr>
            </w:pPr>
          </w:p>
        </w:tc>
        <w:tc>
          <w:tcPr>
            <w:tcW w:w="480" w:type="dxa"/>
            <w:vAlign w:val="bottom"/>
          </w:tcPr>
          <w:p>
            <w:pPr>
              <w:jc w:val="right"/>
              <w:ind w:right="48"/>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60" w:type="dxa"/>
            <w:vAlign w:val="bottom"/>
          </w:tcPr>
          <w:p>
            <w:pPr>
              <w:jc w:val="right"/>
              <w:ind w:right="28"/>
              <w:spacing w:after="0"/>
              <w:rPr>
                <w:sz w:val="20"/>
                <w:szCs w:val="20"/>
                <w:color w:val="auto"/>
              </w:rPr>
            </w:pPr>
            <w:r>
              <w:rPr>
                <w:rFonts w:ascii="Arial" w:cs="Arial" w:eastAsia="Arial" w:hAnsi="Arial"/>
                <w:sz w:val="14"/>
                <w:szCs w:val="14"/>
                <w:color w:val="auto"/>
              </w:rPr>
              <w:t>5</w:t>
            </w:r>
          </w:p>
        </w:tc>
      </w:tr>
      <w:tr>
        <w:trPr>
          <w:trHeight w:val="23"/>
        </w:trPr>
        <w:tc>
          <w:tcPr>
            <w:tcW w:w="86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r>
      <w:tr>
        <w:trPr>
          <w:trHeight w:val="186"/>
        </w:trPr>
        <w:tc>
          <w:tcPr>
            <w:tcW w:w="860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4"/>
                <w:szCs w:val="14"/>
                <w:color w:val="auto"/>
              </w:rPr>
              <w:t>Net cash used in investing activities from continuing operations</w:t>
            </w:r>
          </w:p>
        </w:tc>
        <w:tc>
          <w:tcPr>
            <w:tcW w:w="92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(515)</w:t>
            </w:r>
          </w:p>
        </w:tc>
        <w:tc>
          <w:tcPr>
            <w:tcW w:w="10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(406)</w:t>
            </w:r>
          </w:p>
        </w:tc>
      </w:tr>
      <w:tr>
        <w:trPr>
          <w:trHeight w:val="193"/>
        </w:trPr>
        <w:tc>
          <w:tcPr>
            <w:tcW w:w="8600" w:type="dxa"/>
            <w:vAlign w:val="bottom"/>
          </w:tcPr>
          <w:p>
            <w:pPr>
              <w:ind w:left="560"/>
              <w:spacing w:after="0"/>
              <w:rPr>
                <w:sz w:val="20"/>
                <w:szCs w:val="20"/>
                <w:color w:val="auto"/>
              </w:rPr>
            </w:pPr>
            <w:r>
              <w:rPr>
                <w:rFonts w:ascii="Arial" w:cs="Arial" w:eastAsia="Arial" w:hAnsi="Arial"/>
                <w:sz w:val="14"/>
                <w:szCs w:val="14"/>
                <w:color w:val="auto"/>
              </w:rPr>
              <w:t>Net cash provided by investing activities from discontinued operations</w:t>
            </w:r>
          </w:p>
        </w:tc>
        <w:tc>
          <w:tcPr>
            <w:tcW w:w="920" w:type="dxa"/>
            <w:vAlign w:val="bottom"/>
          </w:tcPr>
          <w:p>
            <w:pPr>
              <w:spacing w:after="0"/>
              <w:rPr>
                <w:sz w:val="16"/>
                <w:szCs w:val="16"/>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tcPr>
          <w:p>
            <w:pPr>
              <w:spacing w:after="0"/>
              <w:rPr>
                <w:sz w:val="16"/>
                <w:szCs w:val="16"/>
                <w:color w:val="auto"/>
              </w:rPr>
            </w:pPr>
          </w:p>
        </w:tc>
        <w:tc>
          <w:tcPr>
            <w:tcW w:w="460" w:type="dxa"/>
            <w:vAlign w:val="bottom"/>
          </w:tcPr>
          <w:p>
            <w:pPr>
              <w:jc w:val="right"/>
              <w:ind w:right="28"/>
              <w:spacing w:after="0"/>
              <w:rPr>
                <w:sz w:val="20"/>
                <w:szCs w:val="20"/>
                <w:color w:val="auto"/>
              </w:rPr>
            </w:pPr>
            <w:r>
              <w:rPr>
                <w:rFonts w:ascii="Arial" w:cs="Arial" w:eastAsia="Arial" w:hAnsi="Arial"/>
                <w:sz w:val="14"/>
                <w:szCs w:val="14"/>
                <w:color w:val="auto"/>
              </w:rPr>
              <w:t>47</w:t>
            </w:r>
          </w:p>
        </w:tc>
      </w:tr>
      <w:tr>
        <w:trPr>
          <w:trHeight w:val="23"/>
        </w:trPr>
        <w:tc>
          <w:tcPr>
            <w:tcW w:w="86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r>
      <w:tr>
        <w:trPr>
          <w:trHeight w:val="206"/>
        </w:trPr>
        <w:tc>
          <w:tcPr>
            <w:tcW w:w="860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4"/>
                <w:szCs w:val="14"/>
                <w:color w:val="auto"/>
              </w:rPr>
              <w:t>Net cash used in investing activities</w:t>
            </w:r>
          </w:p>
        </w:tc>
        <w:tc>
          <w:tcPr>
            <w:tcW w:w="92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(515)</w:t>
            </w:r>
          </w:p>
        </w:tc>
        <w:tc>
          <w:tcPr>
            <w:tcW w:w="1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(359)</w:t>
            </w:r>
          </w:p>
        </w:tc>
      </w:tr>
      <w:tr>
        <w:trPr>
          <w:trHeight w:val="184"/>
        </w:trPr>
        <w:tc>
          <w:tcPr>
            <w:tcW w:w="8600" w:type="dxa"/>
            <w:vAlign w:val="bottom"/>
          </w:tcPr>
          <w:p>
            <w:pPr>
              <w:ind w:left="20"/>
              <w:spacing w:after="0"/>
              <w:rPr>
                <w:sz w:val="20"/>
                <w:szCs w:val="20"/>
                <w:color w:val="auto"/>
              </w:rPr>
            </w:pPr>
            <w:r>
              <w:rPr>
                <w:rFonts w:ascii="Arial" w:cs="Arial" w:eastAsia="Arial" w:hAnsi="Arial"/>
                <w:sz w:val="14"/>
                <w:szCs w:val="14"/>
                <w:b w:val="1"/>
                <w:bCs w:val="1"/>
                <w:color w:val="auto"/>
              </w:rPr>
              <w:t>Cash Flows from Financing Activities:</w:t>
            </w:r>
          </w:p>
        </w:tc>
        <w:tc>
          <w:tcPr>
            <w:tcW w:w="92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r>
      <w:tr>
        <w:trPr>
          <w:trHeight w:val="23"/>
        </w:trPr>
        <w:tc>
          <w:tcPr>
            <w:tcW w:w="86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6"/>
        </w:trPr>
        <w:tc>
          <w:tcPr>
            <w:tcW w:w="86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Decrease in short-term borrowings, net</w:t>
            </w:r>
          </w:p>
        </w:tc>
        <w:tc>
          <w:tcPr>
            <w:tcW w:w="92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(39)</w:t>
            </w:r>
          </w:p>
        </w:tc>
      </w:tr>
      <w:tr>
        <w:trPr>
          <w:trHeight w:val="193"/>
        </w:trPr>
        <w:tc>
          <w:tcPr>
            <w:tcW w:w="8600" w:type="dxa"/>
            <w:vAlign w:val="bottom"/>
          </w:tcPr>
          <w:p>
            <w:pPr>
              <w:ind w:left="140"/>
              <w:spacing w:after="0"/>
              <w:rPr>
                <w:sz w:val="20"/>
                <w:szCs w:val="20"/>
                <w:color w:val="auto"/>
              </w:rPr>
            </w:pPr>
            <w:r>
              <w:rPr>
                <w:rFonts w:ascii="Arial" w:cs="Arial" w:eastAsia="Arial" w:hAnsi="Arial"/>
                <w:sz w:val="14"/>
                <w:szCs w:val="14"/>
                <w:color w:val="auto"/>
              </w:rPr>
              <w:t>Proceeds from (payments of) commercial paper, net</w:t>
            </w:r>
          </w:p>
        </w:tc>
        <w:tc>
          <w:tcPr>
            <w:tcW w:w="920" w:type="dxa"/>
            <w:vAlign w:val="bottom"/>
          </w:tcPr>
          <w:p>
            <w:pPr>
              <w:spacing w:after="0"/>
              <w:rPr>
                <w:sz w:val="16"/>
                <w:szCs w:val="16"/>
                <w:color w:val="auto"/>
              </w:rPr>
            </w:pPr>
          </w:p>
        </w:tc>
        <w:tc>
          <w:tcPr>
            <w:tcW w:w="480" w:type="dxa"/>
            <w:vAlign w:val="bottom"/>
          </w:tcPr>
          <w:p>
            <w:pPr>
              <w:jc w:val="right"/>
              <w:ind w:right="48"/>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(800)</w:t>
            </w:r>
          </w:p>
        </w:tc>
      </w:tr>
      <w:tr>
        <w:trPr>
          <w:trHeight w:val="23"/>
        </w:trPr>
        <w:tc>
          <w:tcPr>
            <w:tcW w:w="86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6"/>
        </w:trPr>
        <w:tc>
          <w:tcPr>
            <w:tcW w:w="86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Proceeds from long-term debt</w:t>
            </w:r>
          </w:p>
        </w:tc>
        <w:tc>
          <w:tcPr>
            <w:tcW w:w="92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599</w:t>
            </w:r>
          </w:p>
        </w:tc>
      </w:tr>
      <w:tr>
        <w:trPr>
          <w:trHeight w:val="193"/>
        </w:trPr>
        <w:tc>
          <w:tcPr>
            <w:tcW w:w="8600" w:type="dxa"/>
            <w:vAlign w:val="bottom"/>
          </w:tcPr>
          <w:p>
            <w:pPr>
              <w:ind w:left="140"/>
              <w:spacing w:after="0"/>
              <w:rPr>
                <w:sz w:val="20"/>
                <w:szCs w:val="20"/>
                <w:color w:val="auto"/>
              </w:rPr>
            </w:pPr>
            <w:r>
              <w:rPr>
                <w:rFonts w:ascii="Arial" w:cs="Arial" w:eastAsia="Arial" w:hAnsi="Arial"/>
                <w:sz w:val="14"/>
                <w:szCs w:val="14"/>
                <w:color w:val="auto"/>
              </w:rPr>
              <w:t>Dividends to parent</w:t>
            </w:r>
          </w:p>
        </w:tc>
        <w:tc>
          <w:tcPr>
            <w:tcW w:w="920" w:type="dxa"/>
            <w:vAlign w:val="bottom"/>
          </w:tcPr>
          <w:p>
            <w:pPr>
              <w:spacing w:after="0"/>
              <w:rPr>
                <w:sz w:val="16"/>
                <w:szCs w:val="16"/>
                <w:color w:val="auto"/>
              </w:rPr>
            </w:pPr>
          </w:p>
        </w:tc>
        <w:tc>
          <w:tcPr>
            <w:tcW w:w="480" w:type="dxa"/>
            <w:vAlign w:val="bottom"/>
          </w:tcPr>
          <w:p>
            <w:pPr>
              <w:jc w:val="right"/>
              <w:ind w:right="8"/>
              <w:spacing w:after="0"/>
              <w:rPr>
                <w:sz w:val="20"/>
                <w:szCs w:val="20"/>
                <w:color w:val="auto"/>
              </w:rPr>
            </w:pPr>
            <w:r>
              <w:rPr>
                <w:rFonts w:ascii="Arial" w:cs="Arial" w:eastAsia="Arial" w:hAnsi="Arial"/>
                <w:sz w:val="14"/>
                <w:szCs w:val="14"/>
                <w:color w:val="auto"/>
              </w:rPr>
              <w:t>(119)</w:t>
            </w: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(286)</w:t>
            </w:r>
          </w:p>
        </w:tc>
      </w:tr>
      <w:tr>
        <w:trPr>
          <w:trHeight w:val="23"/>
        </w:trPr>
        <w:tc>
          <w:tcPr>
            <w:tcW w:w="86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6"/>
        </w:trPr>
        <w:tc>
          <w:tcPr>
            <w:tcW w:w="86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Debt issuance costs</w:t>
            </w:r>
          </w:p>
        </w:tc>
        <w:tc>
          <w:tcPr>
            <w:tcW w:w="92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w:t>
            </w:r>
          </w:p>
        </w:tc>
      </w:tr>
      <w:tr>
        <w:trPr>
          <w:trHeight w:val="193"/>
        </w:trPr>
        <w:tc>
          <w:tcPr>
            <w:tcW w:w="8600" w:type="dxa"/>
            <w:vAlign w:val="bottom"/>
          </w:tcPr>
          <w:p>
            <w:pPr>
              <w:ind w:left="140"/>
              <w:spacing w:after="0"/>
              <w:rPr>
                <w:sz w:val="20"/>
                <w:szCs w:val="20"/>
                <w:color w:val="auto"/>
              </w:rPr>
            </w:pPr>
            <w:r>
              <w:rPr>
                <w:rFonts w:ascii="Arial" w:cs="Arial" w:eastAsia="Arial" w:hAnsi="Arial"/>
                <w:sz w:val="14"/>
                <w:szCs w:val="14"/>
                <w:color w:val="auto"/>
              </w:rPr>
              <w:t>Decrease in notes payable–affiliated companies</w:t>
            </w:r>
          </w:p>
        </w:tc>
        <w:tc>
          <w:tcPr>
            <w:tcW w:w="920" w:type="dxa"/>
            <w:vAlign w:val="bottom"/>
          </w:tcPr>
          <w:p>
            <w:pPr>
              <w:spacing w:after="0"/>
              <w:rPr>
                <w:sz w:val="16"/>
                <w:szCs w:val="16"/>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(570)</w:t>
            </w:r>
          </w:p>
        </w:tc>
      </w:tr>
      <w:tr>
        <w:trPr>
          <w:trHeight w:val="23"/>
        </w:trPr>
        <w:tc>
          <w:tcPr>
            <w:tcW w:w="86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6"/>
        </w:trPr>
        <w:tc>
          <w:tcPr>
            <w:tcW w:w="86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Contribution from parent</w:t>
            </w:r>
          </w:p>
        </w:tc>
        <w:tc>
          <w:tcPr>
            <w:tcW w:w="92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600</w:t>
            </w:r>
          </w:p>
        </w:tc>
      </w:tr>
      <w:tr>
        <w:trPr>
          <w:trHeight w:val="193"/>
        </w:trPr>
        <w:tc>
          <w:tcPr>
            <w:tcW w:w="8600" w:type="dxa"/>
            <w:vAlign w:val="bottom"/>
          </w:tcPr>
          <w:p>
            <w:pPr>
              <w:ind w:left="140"/>
              <w:spacing w:after="0"/>
              <w:rPr>
                <w:sz w:val="20"/>
                <w:szCs w:val="20"/>
                <w:color w:val="auto"/>
              </w:rPr>
            </w:pPr>
            <w:r>
              <w:rPr>
                <w:rFonts w:ascii="Arial" w:cs="Arial" w:eastAsia="Arial" w:hAnsi="Arial"/>
                <w:sz w:val="14"/>
                <w:szCs w:val="14"/>
                <w:color w:val="auto"/>
              </w:rPr>
              <w:t>Other financing activities, net</w:t>
            </w:r>
          </w:p>
        </w:tc>
        <w:tc>
          <w:tcPr>
            <w:tcW w:w="920" w:type="dxa"/>
            <w:vAlign w:val="bottom"/>
          </w:tcPr>
          <w:p>
            <w:pPr>
              <w:spacing w:after="0"/>
              <w:rPr>
                <w:sz w:val="16"/>
                <w:szCs w:val="16"/>
                <w:color w:val="auto"/>
              </w:rPr>
            </w:pPr>
          </w:p>
        </w:tc>
        <w:tc>
          <w:tcPr>
            <w:tcW w:w="480" w:type="dxa"/>
            <w:vAlign w:val="bottom"/>
          </w:tcPr>
          <w:p>
            <w:pPr>
              <w:jc w:val="right"/>
              <w:ind w:right="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(1)</w:t>
            </w:r>
          </w:p>
        </w:tc>
      </w:tr>
      <w:tr>
        <w:trPr>
          <w:trHeight w:val="23"/>
        </w:trPr>
        <w:tc>
          <w:tcPr>
            <w:tcW w:w="86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r>
      <w:tr>
        <w:trPr>
          <w:trHeight w:val="186"/>
        </w:trPr>
        <w:tc>
          <w:tcPr>
            <w:tcW w:w="860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4"/>
                <w:szCs w:val="14"/>
                <w:color w:val="auto"/>
              </w:rPr>
              <w:t>Net cash used in financing activities from continuing operations</w:t>
            </w:r>
          </w:p>
        </w:tc>
        <w:tc>
          <w:tcPr>
            <w:tcW w:w="92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(21)</w:t>
            </w:r>
          </w:p>
        </w:tc>
        <w:tc>
          <w:tcPr>
            <w:tcW w:w="10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(502)</w:t>
            </w:r>
          </w:p>
        </w:tc>
      </w:tr>
      <w:tr>
        <w:trPr>
          <w:trHeight w:val="193"/>
        </w:trPr>
        <w:tc>
          <w:tcPr>
            <w:tcW w:w="8600" w:type="dxa"/>
            <w:vAlign w:val="bottom"/>
          </w:tcPr>
          <w:p>
            <w:pPr>
              <w:ind w:left="560"/>
              <w:spacing w:after="0"/>
              <w:rPr>
                <w:sz w:val="20"/>
                <w:szCs w:val="20"/>
                <w:color w:val="auto"/>
              </w:rPr>
            </w:pPr>
            <w:r>
              <w:rPr>
                <w:rFonts w:ascii="Arial" w:cs="Arial" w:eastAsia="Arial" w:hAnsi="Arial"/>
                <w:sz w:val="14"/>
                <w:szCs w:val="14"/>
                <w:color w:val="auto"/>
              </w:rPr>
              <w:t>Net cash provided by financing activities from discontinued operations</w:t>
            </w:r>
          </w:p>
        </w:tc>
        <w:tc>
          <w:tcPr>
            <w:tcW w:w="920" w:type="dxa"/>
            <w:vAlign w:val="bottom"/>
          </w:tcPr>
          <w:p>
            <w:pPr>
              <w:spacing w:after="0"/>
              <w:rPr>
                <w:sz w:val="16"/>
                <w:szCs w:val="16"/>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tcPr>
          <w:p>
            <w:pPr>
              <w:spacing w:after="0"/>
              <w:rPr>
                <w:sz w:val="16"/>
                <w:szCs w:val="16"/>
                <w:color w:val="auto"/>
              </w:rPr>
            </w:pPr>
          </w:p>
        </w:tc>
        <w:tc>
          <w:tcPr>
            <w:tcW w:w="4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3"/>
        </w:trPr>
        <w:tc>
          <w:tcPr>
            <w:tcW w:w="86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r>
      <w:tr>
        <w:trPr>
          <w:trHeight w:val="206"/>
        </w:trPr>
        <w:tc>
          <w:tcPr>
            <w:tcW w:w="860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4"/>
                <w:szCs w:val="14"/>
                <w:color w:val="auto"/>
              </w:rPr>
              <w:t>Net cash used in financing activities</w:t>
            </w:r>
          </w:p>
        </w:tc>
        <w:tc>
          <w:tcPr>
            <w:tcW w:w="92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(21)</w:t>
            </w:r>
          </w:p>
        </w:tc>
        <w:tc>
          <w:tcPr>
            <w:tcW w:w="1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(502)</w:t>
            </w:r>
          </w:p>
        </w:tc>
      </w:tr>
      <w:tr>
        <w:trPr>
          <w:trHeight w:val="184"/>
        </w:trPr>
        <w:tc>
          <w:tcPr>
            <w:tcW w:w="8600" w:type="dxa"/>
            <w:vAlign w:val="bottom"/>
          </w:tcPr>
          <w:p>
            <w:pPr>
              <w:ind w:left="20"/>
              <w:spacing w:after="0"/>
              <w:rPr>
                <w:sz w:val="20"/>
                <w:szCs w:val="20"/>
                <w:color w:val="auto"/>
              </w:rPr>
            </w:pPr>
            <w:r>
              <w:rPr>
                <w:rFonts w:ascii="Arial" w:cs="Arial" w:eastAsia="Arial" w:hAnsi="Arial"/>
                <w:sz w:val="14"/>
                <w:szCs w:val="14"/>
                <w:b w:val="1"/>
                <w:bCs w:val="1"/>
                <w:color w:val="auto"/>
              </w:rPr>
              <w:t>Net Decrease in Cash, Cash Equivalents and Restricted Cash</w:t>
            </w:r>
          </w:p>
        </w:tc>
        <w:tc>
          <w:tcPr>
            <w:tcW w:w="92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(23)</w:t>
            </w:r>
          </w:p>
        </w:tc>
        <w:tc>
          <w:tcPr>
            <w:tcW w:w="100" w:type="dxa"/>
            <w:vAlign w:val="bottom"/>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w:t>
            </w:r>
          </w:p>
        </w:tc>
      </w:tr>
      <w:tr>
        <w:trPr>
          <w:trHeight w:val="23"/>
        </w:trPr>
        <w:tc>
          <w:tcPr>
            <w:tcW w:w="86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16"/>
        </w:trPr>
        <w:tc>
          <w:tcPr>
            <w:tcW w:w="8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Cash, Cash Equivalents and Restricted Cash at Beginning of Period</w:t>
            </w:r>
          </w:p>
        </w:tc>
        <w:tc>
          <w:tcPr>
            <w:tcW w:w="92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25</w:t>
            </w:r>
          </w:p>
        </w:tc>
        <w:tc>
          <w:tcPr>
            <w:tcW w:w="1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12</w:t>
            </w:r>
          </w:p>
        </w:tc>
      </w:tr>
      <w:tr>
        <w:trPr>
          <w:trHeight w:val="200"/>
        </w:trPr>
        <w:tc>
          <w:tcPr>
            <w:tcW w:w="8600" w:type="dxa"/>
            <w:vAlign w:val="bottom"/>
          </w:tcPr>
          <w:p>
            <w:pPr>
              <w:ind w:left="20"/>
              <w:spacing w:after="0"/>
              <w:rPr>
                <w:sz w:val="20"/>
                <w:szCs w:val="20"/>
                <w:color w:val="auto"/>
              </w:rPr>
            </w:pPr>
            <w:r>
              <w:rPr>
                <w:rFonts w:ascii="Arial" w:cs="Arial" w:eastAsia="Arial" w:hAnsi="Arial"/>
                <w:sz w:val="14"/>
                <w:szCs w:val="14"/>
                <w:b w:val="1"/>
                <w:bCs w:val="1"/>
                <w:color w:val="auto"/>
              </w:rPr>
              <w:t>Cash, Cash Equivalents and Restricted Cash at End of Period</w:t>
            </w:r>
          </w:p>
        </w:tc>
        <w:tc>
          <w:tcPr>
            <w:tcW w:w="920" w:type="dxa"/>
            <w:vAlign w:val="bottom"/>
            <w:tcBorders>
              <w:top w:val="single" w:sz="8" w:color="auto"/>
              <w:bottom w:val="single" w:sz="8" w:color="auto"/>
            </w:tcBorders>
          </w:tcPr>
          <w:p>
            <w:pPr>
              <w:jc w:val="right"/>
              <w:ind w:right="755"/>
              <w:spacing w:after="0"/>
              <w:rPr>
                <w:sz w:val="20"/>
                <w:szCs w:val="20"/>
                <w:color w:val="auto"/>
              </w:rPr>
            </w:pPr>
            <w:r>
              <w:rPr>
                <w:rFonts w:ascii="Arial" w:cs="Arial" w:eastAsia="Arial" w:hAnsi="Arial"/>
                <w:sz w:val="14"/>
                <w:szCs w:val="14"/>
                <w:color w:val="auto"/>
              </w:rPr>
              <w:t>$</w:t>
            </w:r>
          </w:p>
        </w:tc>
        <w:tc>
          <w:tcPr>
            <w:tcW w:w="4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7"/>
                <w:szCs w:val="17"/>
                <w:color w:val="auto"/>
              </w:rPr>
            </w:pPr>
          </w:p>
        </w:tc>
        <w:tc>
          <w:tcPr>
            <w:tcW w:w="900" w:type="dxa"/>
            <w:vAlign w:val="bottom"/>
            <w:tcBorders>
              <w:top w:val="single" w:sz="8" w:color="auto"/>
              <w:bottom w:val="single" w:sz="8" w:color="auto"/>
            </w:tcBorders>
          </w:tcPr>
          <w:p>
            <w:pPr>
              <w:jc w:val="right"/>
              <w:ind w:right="733"/>
              <w:spacing w:after="0"/>
              <w:rPr>
                <w:sz w:val="20"/>
                <w:szCs w:val="20"/>
                <w:color w:val="auto"/>
              </w:rPr>
            </w:pPr>
            <w:r>
              <w:rPr>
                <w:rFonts w:ascii="Arial" w:cs="Arial" w:eastAsia="Arial" w:hAnsi="Arial"/>
                <w:sz w:val="14"/>
                <w:szCs w:val="14"/>
                <w:color w:val="auto"/>
              </w:rPr>
              <w:t>$</w:t>
            </w:r>
          </w:p>
        </w:tc>
        <w:tc>
          <w:tcPr>
            <w:tcW w:w="4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w:t>
            </w:r>
          </w:p>
        </w:tc>
      </w:tr>
      <w:tr>
        <w:trPr>
          <w:trHeight w:val="20"/>
        </w:trPr>
        <w:tc>
          <w:tcPr>
            <w:tcW w:w="86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r>
    </w:tbl>
    <w:p>
      <w:pPr>
        <w:spacing w:after="0" w:line="16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Combined Notes to Unaudited Condensed Consolidated Financial Statements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ectPr>
          <w:pgSz w:w="11900" w:h="16838" w:orient="portrait"/>
          <w:cols w:equalWidth="0" w:num="1">
            <w:col w:w="11460"/>
          </w:cols>
          <w:pgMar w:left="220" w:top="129" w:right="219" w:bottom="1440" w:gutter="0" w:footer="0" w:header="0"/>
        </w:sectPr>
      </w:pPr>
    </w:p>
    <w:bookmarkStart w:id="27" w:name="page28"/>
    <w:bookmarkEnd w:id="27"/>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2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CENTERPOINT ENERGY RESOURCES CORP. AND SUBSIDIARIES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(AN INDIRECT, WHOLLY-OWNED SUBSIDIARY OF CENTERPOINT ENERGY,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CONDENSED STATEMENTS OF CONSOLIDATED CHANGES IN EQUITY</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4260" w:type="dxa"/>
            <w:vAlign w:val="bottom"/>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000" w:type="dxa"/>
            <w:vAlign w:val="bottom"/>
            <w:tcBorders>
              <w:bottom w:val="single" w:sz="8" w:color="auto"/>
            </w:tcBorders>
            <w:gridSpan w:val="7"/>
          </w:tcPr>
          <w:p>
            <w:pPr>
              <w:jc w:val="right"/>
              <w:ind w:right="163"/>
              <w:spacing w:after="0"/>
              <w:rPr>
                <w:sz w:val="20"/>
                <w:szCs w:val="20"/>
                <w:color w:val="auto"/>
              </w:rPr>
            </w:pPr>
            <w:r>
              <w:rPr>
                <w:rFonts w:ascii="Arial" w:cs="Arial" w:eastAsia="Arial" w:hAnsi="Arial"/>
                <w:sz w:val="11"/>
                <w:szCs w:val="11"/>
                <w:b w:val="1"/>
                <w:bCs w:val="1"/>
                <w:color w:val="auto"/>
                <w:w w:val="94"/>
              </w:rPr>
              <w:t>Three Months Ended September 30,</w:t>
            </w:r>
          </w:p>
        </w:tc>
        <w:tc>
          <w:tcPr>
            <w:tcW w:w="68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040" w:type="dxa"/>
            <w:vAlign w:val="bottom"/>
            <w:tcBorders>
              <w:bottom w:val="single" w:sz="8" w:color="auto"/>
            </w:tcBorders>
            <w:gridSpan w:val="8"/>
          </w:tcPr>
          <w:p>
            <w:pPr>
              <w:jc w:val="right"/>
              <w:ind w:right="183"/>
              <w:spacing w:after="0"/>
              <w:rPr>
                <w:sz w:val="20"/>
                <w:szCs w:val="20"/>
                <w:color w:val="auto"/>
              </w:rPr>
            </w:pPr>
            <w:r>
              <w:rPr>
                <w:rFonts w:ascii="Arial" w:cs="Arial" w:eastAsia="Arial" w:hAnsi="Arial"/>
                <w:sz w:val="11"/>
                <w:szCs w:val="11"/>
                <w:b w:val="1"/>
                <w:bCs w:val="1"/>
                <w:color w:val="auto"/>
                <w:w w:val="98"/>
              </w:rPr>
              <w:t>Nine Months Ended September 30,</w:t>
            </w:r>
          </w:p>
        </w:tc>
        <w:tc>
          <w:tcPr>
            <w:tcW w:w="640" w:type="dxa"/>
            <w:vAlign w:val="bottom"/>
            <w:tcBorders>
              <w:bottom w:val="single" w:sz="8" w:color="auto"/>
            </w:tcBorders>
          </w:tcPr>
          <w:p>
            <w:pPr>
              <w:spacing w:after="0"/>
              <w:rPr>
                <w:sz w:val="13"/>
                <w:szCs w:val="13"/>
                <w:color w:val="auto"/>
              </w:rPr>
            </w:pPr>
          </w:p>
        </w:tc>
      </w:tr>
      <w:tr>
        <w:trPr>
          <w:trHeight w:val="206"/>
        </w:trPr>
        <w:tc>
          <w:tcPr>
            <w:tcW w:w="4260" w:type="dxa"/>
            <w:vAlign w:val="bottom"/>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gridSpan w:val="3"/>
          </w:tcPr>
          <w:p>
            <w:pPr>
              <w:jc w:val="right"/>
              <w:ind w:right="3"/>
              <w:spacing w:after="0"/>
              <w:rPr>
                <w:sz w:val="20"/>
                <w:szCs w:val="20"/>
                <w:color w:val="auto"/>
              </w:rPr>
            </w:pPr>
            <w:r>
              <w:rPr>
                <w:rFonts w:ascii="Arial" w:cs="Arial" w:eastAsia="Arial" w:hAnsi="Arial"/>
                <w:sz w:val="11"/>
                <w:szCs w:val="11"/>
                <w:b w:val="1"/>
                <w:bCs w:val="1"/>
                <w:color w:val="auto"/>
              </w:rPr>
              <w:t>2019</w:t>
            </w:r>
          </w:p>
        </w:tc>
        <w:tc>
          <w:tcPr>
            <w:tcW w:w="6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gridSpan w:val="3"/>
          </w:tcPr>
          <w:p>
            <w:pPr>
              <w:jc w:val="right"/>
              <w:ind w:right="3"/>
              <w:spacing w:after="0"/>
              <w:rPr>
                <w:sz w:val="20"/>
                <w:szCs w:val="20"/>
                <w:color w:val="auto"/>
              </w:rPr>
            </w:pPr>
            <w:r>
              <w:rPr>
                <w:rFonts w:ascii="Arial" w:cs="Arial" w:eastAsia="Arial" w:hAnsi="Arial"/>
                <w:sz w:val="11"/>
                <w:szCs w:val="11"/>
                <w:b w:val="1"/>
                <w:bCs w:val="1"/>
                <w:color w:val="auto"/>
              </w:rPr>
              <w:t>2018</w:t>
            </w:r>
          </w:p>
        </w:tc>
        <w:tc>
          <w:tcPr>
            <w:tcW w:w="6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gridSpan w:val="3"/>
          </w:tcPr>
          <w:p>
            <w:pPr>
              <w:jc w:val="right"/>
              <w:ind w:right="3"/>
              <w:spacing w:after="0"/>
              <w:rPr>
                <w:sz w:val="20"/>
                <w:szCs w:val="20"/>
                <w:color w:val="auto"/>
              </w:rPr>
            </w:pPr>
            <w:r>
              <w:rPr>
                <w:rFonts w:ascii="Arial" w:cs="Arial" w:eastAsia="Arial" w:hAnsi="Arial"/>
                <w:sz w:val="11"/>
                <w:szCs w:val="11"/>
                <w:b w:val="1"/>
                <w:bCs w:val="1"/>
                <w:color w:val="auto"/>
                <w:w w:val="89"/>
              </w:rPr>
              <w:t>2019</w:t>
            </w:r>
          </w:p>
        </w:tc>
        <w:tc>
          <w:tcPr>
            <w:tcW w:w="6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gridSpan w:val="3"/>
          </w:tcPr>
          <w:p>
            <w:pPr>
              <w:jc w:val="right"/>
              <w:ind w:right="23"/>
              <w:spacing w:after="0"/>
              <w:rPr>
                <w:sz w:val="20"/>
                <w:szCs w:val="20"/>
                <w:color w:val="auto"/>
              </w:rPr>
            </w:pPr>
            <w:r>
              <w:rPr>
                <w:rFonts w:ascii="Arial" w:cs="Arial" w:eastAsia="Arial" w:hAnsi="Arial"/>
                <w:sz w:val="11"/>
                <w:szCs w:val="11"/>
                <w:b w:val="1"/>
                <w:bCs w:val="1"/>
                <w:color w:val="auto"/>
                <w:w w:val="97"/>
              </w:rPr>
              <w:t>2018</w:t>
            </w:r>
          </w:p>
        </w:tc>
        <w:tc>
          <w:tcPr>
            <w:tcW w:w="640" w:type="dxa"/>
            <w:vAlign w:val="bottom"/>
            <w:tcBorders>
              <w:bottom w:val="single" w:sz="8" w:color="auto"/>
            </w:tcBorders>
          </w:tcPr>
          <w:p>
            <w:pPr>
              <w:spacing w:after="0"/>
              <w:rPr>
                <w:sz w:val="17"/>
                <w:szCs w:val="17"/>
                <w:color w:val="auto"/>
              </w:rPr>
            </w:pPr>
          </w:p>
        </w:tc>
      </w:tr>
      <w:tr>
        <w:trPr>
          <w:trHeight w:val="206"/>
        </w:trPr>
        <w:tc>
          <w:tcPr>
            <w:tcW w:w="4260" w:type="dxa"/>
            <w:vAlign w:val="bottom"/>
          </w:tcPr>
          <w:p>
            <w:pPr>
              <w:spacing w:after="0"/>
              <w:rPr>
                <w:sz w:val="17"/>
                <w:szCs w:val="17"/>
                <w:color w:val="auto"/>
              </w:rPr>
            </w:pPr>
          </w:p>
        </w:tc>
        <w:tc>
          <w:tcPr>
            <w:tcW w:w="72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b w:val="1"/>
                <w:bCs w:val="1"/>
                <w:color w:val="auto"/>
              </w:rPr>
              <w:t>Shares</w:t>
            </w: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63"/>
              <w:spacing w:after="0"/>
              <w:rPr>
                <w:sz w:val="20"/>
                <w:szCs w:val="20"/>
                <w:color w:val="auto"/>
              </w:rPr>
            </w:pPr>
            <w:r>
              <w:rPr>
                <w:rFonts w:ascii="Arial" w:cs="Arial" w:eastAsia="Arial" w:hAnsi="Arial"/>
                <w:sz w:val="11"/>
                <w:szCs w:val="11"/>
                <w:b w:val="1"/>
                <w:bCs w:val="1"/>
                <w:color w:val="auto"/>
              </w:rPr>
              <w:t>Amount</w:t>
            </w: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b w:val="1"/>
                <w:bCs w:val="1"/>
                <w:color w:val="auto"/>
              </w:rPr>
              <w:t>Shares</w:t>
            </w: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43"/>
              <w:spacing w:after="0"/>
              <w:rPr>
                <w:sz w:val="20"/>
                <w:szCs w:val="20"/>
                <w:color w:val="auto"/>
              </w:rPr>
            </w:pPr>
            <w:r>
              <w:rPr>
                <w:rFonts w:ascii="Arial" w:cs="Arial" w:eastAsia="Arial" w:hAnsi="Arial"/>
                <w:sz w:val="11"/>
                <w:szCs w:val="11"/>
                <w:b w:val="1"/>
                <w:bCs w:val="1"/>
                <w:color w:val="auto"/>
              </w:rPr>
              <w:t>Amount</w:t>
            </w: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23"/>
              <w:spacing w:after="0"/>
              <w:rPr>
                <w:sz w:val="20"/>
                <w:szCs w:val="20"/>
                <w:color w:val="auto"/>
              </w:rPr>
            </w:pPr>
            <w:r>
              <w:rPr>
                <w:rFonts w:ascii="Arial" w:cs="Arial" w:eastAsia="Arial" w:hAnsi="Arial"/>
                <w:sz w:val="11"/>
                <w:szCs w:val="11"/>
                <w:b w:val="1"/>
                <w:bCs w:val="1"/>
                <w:color w:val="auto"/>
              </w:rPr>
              <w:t>Shares</w:t>
            </w: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43"/>
              <w:spacing w:after="0"/>
              <w:rPr>
                <w:sz w:val="20"/>
                <w:szCs w:val="20"/>
                <w:color w:val="auto"/>
              </w:rPr>
            </w:pPr>
            <w:r>
              <w:rPr>
                <w:rFonts w:ascii="Arial" w:cs="Arial" w:eastAsia="Arial" w:hAnsi="Arial"/>
                <w:sz w:val="11"/>
                <w:szCs w:val="11"/>
                <w:b w:val="1"/>
                <w:bCs w:val="1"/>
                <w:color w:val="auto"/>
              </w:rPr>
              <w:t>Amount</w:t>
            </w:r>
          </w:p>
        </w:tc>
        <w:tc>
          <w:tcPr>
            <w:tcW w:w="1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b w:val="1"/>
                <w:bCs w:val="1"/>
                <w:color w:val="auto"/>
              </w:rPr>
              <w:t>Shares</w:t>
            </w: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43"/>
              <w:spacing w:after="0"/>
              <w:rPr>
                <w:sz w:val="20"/>
                <w:szCs w:val="20"/>
                <w:color w:val="auto"/>
              </w:rPr>
            </w:pPr>
            <w:r>
              <w:rPr>
                <w:rFonts w:ascii="Arial" w:cs="Arial" w:eastAsia="Arial" w:hAnsi="Arial"/>
                <w:sz w:val="11"/>
                <w:szCs w:val="11"/>
                <w:b w:val="1"/>
                <w:bCs w:val="1"/>
                <w:color w:val="auto"/>
              </w:rPr>
              <w:t>Amount</w:t>
            </w:r>
          </w:p>
        </w:tc>
      </w:tr>
      <w:tr>
        <w:trPr>
          <w:trHeight w:val="148"/>
        </w:trPr>
        <w:tc>
          <w:tcPr>
            <w:tcW w:w="4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0" w:type="dxa"/>
            <w:vAlign w:val="bottom"/>
            <w:gridSpan w:val="5"/>
          </w:tcPr>
          <w:p>
            <w:pPr>
              <w:jc w:val="right"/>
              <w:spacing w:after="0"/>
              <w:rPr>
                <w:sz w:val="20"/>
                <w:szCs w:val="20"/>
                <w:color w:val="auto"/>
              </w:rPr>
            </w:pPr>
            <w:r>
              <w:rPr>
                <w:rFonts w:ascii="Arial" w:cs="Arial" w:eastAsia="Arial" w:hAnsi="Arial"/>
                <w:sz w:val="11"/>
                <w:szCs w:val="11"/>
                <w:b w:val="1"/>
                <w:bCs w:val="1"/>
                <w:color w:val="auto"/>
                <w:w w:val="96"/>
              </w:rPr>
              <w:t>(in millions, except share amounts)</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r>
      <w:tr>
        <w:trPr>
          <w:trHeight w:val="220"/>
        </w:trPr>
        <w:tc>
          <w:tcPr>
            <w:tcW w:w="4260" w:type="dxa"/>
            <w:vAlign w:val="bottom"/>
          </w:tcPr>
          <w:p>
            <w:pPr>
              <w:ind w:left="20"/>
              <w:spacing w:after="0"/>
              <w:rPr>
                <w:sz w:val="20"/>
                <w:szCs w:val="20"/>
                <w:color w:val="auto"/>
              </w:rPr>
            </w:pPr>
            <w:r>
              <w:rPr>
                <w:rFonts w:ascii="Arial" w:cs="Arial" w:eastAsia="Arial" w:hAnsi="Arial"/>
                <w:sz w:val="11"/>
                <w:szCs w:val="11"/>
                <w:b w:val="1"/>
                <w:bCs w:val="1"/>
                <w:color w:val="auto"/>
              </w:rPr>
              <w:t>Common Stock</w:t>
            </w: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16"/>
        </w:trPr>
        <w:tc>
          <w:tcPr>
            <w:tcW w:w="4260" w:type="dxa"/>
            <w:vAlign w:val="bottom"/>
            <w:shd w:val="clear" w:color="auto" w:fill="CCEEFF"/>
          </w:tcPr>
          <w:p>
            <w:pPr>
              <w:ind w:left="140"/>
              <w:spacing w:after="0"/>
              <w:rPr>
                <w:sz w:val="20"/>
                <w:szCs w:val="20"/>
                <w:color w:val="auto"/>
              </w:rPr>
            </w:pPr>
            <w:r>
              <w:rPr>
                <w:rFonts w:ascii="Arial" w:cs="Arial" w:eastAsia="Arial" w:hAnsi="Arial"/>
                <w:sz w:val="11"/>
                <w:szCs w:val="11"/>
                <w:color w:val="auto"/>
              </w:rPr>
              <w:t>Balance, beginning of period</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1,000</w:t>
            </w:r>
          </w:p>
        </w:tc>
        <w:tc>
          <w:tcPr>
            <w:tcW w:w="8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w w:val="97"/>
              </w:rPr>
              <w:t>$</w:t>
            </w:r>
          </w:p>
        </w:tc>
        <w:tc>
          <w:tcPr>
            <w:tcW w:w="68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1,000</w:t>
            </w:r>
          </w:p>
        </w:tc>
        <w:tc>
          <w:tcPr>
            <w:tcW w:w="8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w w:val="97"/>
              </w:rPr>
              <w:t>$</w:t>
            </w:r>
          </w:p>
        </w:tc>
        <w:tc>
          <w:tcPr>
            <w:tcW w:w="68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1,000</w:t>
            </w:r>
          </w:p>
        </w:tc>
        <w:tc>
          <w:tcPr>
            <w:tcW w:w="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w w:val="97"/>
              </w:rPr>
              <w:t>$</w:t>
            </w:r>
          </w:p>
        </w:tc>
        <w:tc>
          <w:tcPr>
            <w:tcW w:w="66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1,000</w:t>
            </w:r>
          </w:p>
        </w:tc>
        <w:tc>
          <w:tcPr>
            <w:tcW w:w="8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w w:val="97"/>
              </w:rPr>
              <w:t>$</w:t>
            </w:r>
          </w:p>
        </w:tc>
        <w:tc>
          <w:tcPr>
            <w:tcW w:w="64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1"/>
                <w:szCs w:val="11"/>
                <w:color w:val="auto"/>
              </w:rPr>
              <w:t>—</w:t>
            </w:r>
          </w:p>
        </w:tc>
      </w:tr>
      <w:tr>
        <w:trPr>
          <w:trHeight w:val="196"/>
        </w:trPr>
        <w:tc>
          <w:tcPr>
            <w:tcW w:w="4260" w:type="dxa"/>
            <w:vAlign w:val="bottom"/>
          </w:tcPr>
          <w:p>
            <w:pPr>
              <w:ind w:left="140"/>
              <w:spacing w:after="0"/>
              <w:rPr>
                <w:sz w:val="20"/>
                <w:szCs w:val="20"/>
                <w:color w:val="auto"/>
              </w:rPr>
            </w:pPr>
            <w:r>
              <w:rPr>
                <w:rFonts w:ascii="Arial" w:cs="Arial" w:eastAsia="Arial" w:hAnsi="Arial"/>
                <w:sz w:val="11"/>
                <w:szCs w:val="11"/>
                <w:color w:val="auto"/>
              </w:rPr>
              <w:t>Balance, end of period</w:t>
            </w:r>
          </w:p>
        </w:tc>
        <w:tc>
          <w:tcPr>
            <w:tcW w:w="720" w:type="dxa"/>
            <w:vAlign w:val="bottom"/>
          </w:tcPr>
          <w:p>
            <w:pPr>
              <w:jc w:val="right"/>
              <w:spacing w:after="0"/>
              <w:rPr>
                <w:sz w:val="20"/>
                <w:szCs w:val="20"/>
                <w:color w:val="auto"/>
              </w:rPr>
            </w:pPr>
            <w:r>
              <w:rPr>
                <w:rFonts w:ascii="Arial" w:cs="Arial" w:eastAsia="Arial" w:hAnsi="Arial"/>
                <w:sz w:val="11"/>
                <w:szCs w:val="11"/>
                <w:color w:val="auto"/>
              </w:rPr>
              <w:t>1,000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ind w:right="63"/>
              <w:spacing w:after="0"/>
              <w:rPr>
                <w:sz w:val="20"/>
                <w:szCs w:val="20"/>
                <w:color w:val="auto"/>
              </w:rPr>
            </w:pPr>
            <w:r>
              <w:rPr>
                <w:rFonts w:ascii="Arial" w:cs="Arial" w:eastAsia="Arial" w:hAnsi="Arial"/>
                <w:sz w:val="11"/>
                <w:szCs w:val="11"/>
                <w:color w:val="auto"/>
              </w:rPr>
              <w:t>—</w:t>
            </w:r>
          </w:p>
        </w:tc>
        <w:tc>
          <w:tcPr>
            <w:tcW w:w="840" w:type="dxa"/>
            <w:vAlign w:val="bottom"/>
            <w:gridSpan w:val="2"/>
          </w:tcPr>
          <w:p>
            <w:pPr>
              <w:jc w:val="right"/>
              <w:spacing w:after="0"/>
              <w:rPr>
                <w:sz w:val="20"/>
                <w:szCs w:val="20"/>
                <w:color w:val="auto"/>
              </w:rPr>
            </w:pPr>
            <w:r>
              <w:rPr>
                <w:rFonts w:ascii="Arial" w:cs="Arial" w:eastAsia="Arial" w:hAnsi="Arial"/>
                <w:sz w:val="11"/>
                <w:szCs w:val="11"/>
                <w:color w:val="auto"/>
              </w:rPr>
              <w:t>1,000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ind w:right="63"/>
              <w:spacing w:after="0"/>
              <w:rPr>
                <w:sz w:val="20"/>
                <w:szCs w:val="20"/>
                <w:color w:val="auto"/>
              </w:rPr>
            </w:pPr>
            <w:r>
              <w:rPr>
                <w:rFonts w:ascii="Arial" w:cs="Arial" w:eastAsia="Arial" w:hAnsi="Arial"/>
                <w:sz w:val="11"/>
                <w:szCs w:val="11"/>
                <w:color w:val="auto"/>
              </w:rPr>
              <w:t>—</w:t>
            </w:r>
          </w:p>
        </w:tc>
        <w:tc>
          <w:tcPr>
            <w:tcW w:w="860" w:type="dxa"/>
            <w:vAlign w:val="bottom"/>
            <w:gridSpan w:val="2"/>
          </w:tcPr>
          <w:p>
            <w:pPr>
              <w:jc w:val="right"/>
              <w:spacing w:after="0"/>
              <w:rPr>
                <w:sz w:val="20"/>
                <w:szCs w:val="20"/>
                <w:color w:val="auto"/>
              </w:rPr>
            </w:pPr>
            <w:r>
              <w:rPr>
                <w:rFonts w:ascii="Arial" w:cs="Arial" w:eastAsia="Arial" w:hAnsi="Arial"/>
                <w:sz w:val="11"/>
                <w:szCs w:val="11"/>
                <w:color w:val="auto"/>
              </w:rPr>
              <w:t>1,000</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jc w:val="right"/>
              <w:ind w:right="63"/>
              <w:spacing w:after="0"/>
              <w:rPr>
                <w:sz w:val="20"/>
                <w:szCs w:val="20"/>
                <w:color w:val="auto"/>
              </w:rPr>
            </w:pPr>
            <w:r>
              <w:rPr>
                <w:rFonts w:ascii="Arial" w:cs="Arial" w:eastAsia="Arial" w:hAnsi="Arial"/>
                <w:sz w:val="11"/>
                <w:szCs w:val="11"/>
                <w:color w:val="auto"/>
              </w:rPr>
              <w:t>—</w:t>
            </w:r>
          </w:p>
        </w:tc>
        <w:tc>
          <w:tcPr>
            <w:tcW w:w="800" w:type="dxa"/>
            <w:vAlign w:val="bottom"/>
            <w:gridSpan w:val="2"/>
          </w:tcPr>
          <w:p>
            <w:pPr>
              <w:jc w:val="right"/>
              <w:spacing w:after="0"/>
              <w:rPr>
                <w:sz w:val="20"/>
                <w:szCs w:val="20"/>
                <w:color w:val="auto"/>
              </w:rPr>
            </w:pPr>
            <w:r>
              <w:rPr>
                <w:rFonts w:ascii="Arial" w:cs="Arial" w:eastAsia="Arial" w:hAnsi="Arial"/>
                <w:sz w:val="11"/>
                <w:szCs w:val="11"/>
                <w:color w:val="auto"/>
              </w:rPr>
              <w:t>1,000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ind w:right="43"/>
              <w:spacing w:after="0"/>
              <w:rPr>
                <w:sz w:val="20"/>
                <w:szCs w:val="20"/>
                <w:color w:val="auto"/>
              </w:rPr>
            </w:pPr>
            <w:r>
              <w:rPr>
                <w:rFonts w:ascii="Arial" w:cs="Arial" w:eastAsia="Arial" w:hAnsi="Arial"/>
                <w:sz w:val="11"/>
                <w:szCs w:val="11"/>
                <w:color w:val="auto"/>
              </w:rPr>
              <w:t>—</w:t>
            </w:r>
          </w:p>
        </w:tc>
      </w:tr>
      <w:tr>
        <w:trPr>
          <w:trHeight w:val="211"/>
        </w:trPr>
        <w:tc>
          <w:tcPr>
            <w:tcW w:w="4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Additional Paid-in-Capital</w:t>
            </w:r>
          </w:p>
        </w:tc>
        <w:tc>
          <w:tcPr>
            <w:tcW w:w="7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r>
      <w:tr>
        <w:trPr>
          <w:trHeight w:val="211"/>
        </w:trPr>
        <w:tc>
          <w:tcPr>
            <w:tcW w:w="4260" w:type="dxa"/>
            <w:vAlign w:val="bottom"/>
          </w:tcPr>
          <w:p>
            <w:pPr>
              <w:ind w:left="140"/>
              <w:spacing w:after="0"/>
              <w:rPr>
                <w:sz w:val="20"/>
                <w:szCs w:val="20"/>
                <w:color w:val="auto"/>
              </w:rPr>
            </w:pPr>
            <w:r>
              <w:rPr>
                <w:rFonts w:ascii="Arial" w:cs="Arial" w:eastAsia="Arial" w:hAnsi="Arial"/>
                <w:sz w:val="11"/>
                <w:szCs w:val="11"/>
                <w:color w:val="auto"/>
              </w:rPr>
              <w:t>Balance, beginning of period</w:t>
            </w: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ind w:right="63"/>
              <w:spacing w:after="0"/>
              <w:rPr>
                <w:sz w:val="20"/>
                <w:szCs w:val="20"/>
                <w:color w:val="auto"/>
              </w:rPr>
            </w:pPr>
            <w:r>
              <w:rPr>
                <w:rFonts w:ascii="Arial" w:cs="Arial" w:eastAsia="Arial" w:hAnsi="Arial"/>
                <w:sz w:val="11"/>
                <w:szCs w:val="11"/>
                <w:color w:val="auto"/>
              </w:rPr>
              <w:t>2,015</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ind w:right="63"/>
              <w:spacing w:after="0"/>
              <w:rPr>
                <w:sz w:val="20"/>
                <w:szCs w:val="20"/>
                <w:color w:val="auto"/>
              </w:rPr>
            </w:pPr>
            <w:r>
              <w:rPr>
                <w:rFonts w:ascii="Arial" w:cs="Arial" w:eastAsia="Arial" w:hAnsi="Arial"/>
                <w:sz w:val="11"/>
                <w:szCs w:val="11"/>
                <w:color w:val="auto"/>
              </w:rPr>
              <w:t>2,528</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ind w:right="63"/>
              <w:spacing w:after="0"/>
              <w:rPr>
                <w:sz w:val="20"/>
                <w:szCs w:val="20"/>
                <w:color w:val="auto"/>
              </w:rPr>
            </w:pPr>
            <w:r>
              <w:rPr>
                <w:rFonts w:ascii="Arial" w:cs="Arial" w:eastAsia="Arial" w:hAnsi="Arial"/>
                <w:sz w:val="11"/>
                <w:szCs w:val="11"/>
                <w:color w:val="auto"/>
              </w:rPr>
              <w:t>2,015</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ind w:right="43"/>
              <w:spacing w:after="0"/>
              <w:rPr>
                <w:sz w:val="20"/>
                <w:szCs w:val="20"/>
                <w:color w:val="auto"/>
              </w:rPr>
            </w:pPr>
            <w:r>
              <w:rPr>
                <w:rFonts w:ascii="Arial" w:cs="Arial" w:eastAsia="Arial" w:hAnsi="Arial"/>
                <w:sz w:val="11"/>
                <w:szCs w:val="11"/>
                <w:color w:val="auto"/>
              </w:rPr>
              <w:t>2,528</w:t>
            </w:r>
          </w:p>
        </w:tc>
      </w:tr>
      <w:tr>
        <w:trPr>
          <w:trHeight w:val="220"/>
        </w:trPr>
        <w:tc>
          <w:tcPr>
            <w:tcW w:w="4260" w:type="dxa"/>
            <w:vAlign w:val="bottom"/>
            <w:shd w:val="clear" w:color="auto" w:fill="CCEEFF"/>
          </w:tcPr>
          <w:p>
            <w:pPr>
              <w:ind w:left="140"/>
              <w:spacing w:after="0"/>
              <w:rPr>
                <w:sz w:val="20"/>
                <w:szCs w:val="20"/>
                <w:color w:val="auto"/>
              </w:rPr>
            </w:pPr>
            <w:r>
              <w:rPr>
                <w:rFonts w:ascii="Arial" w:cs="Arial" w:eastAsia="Arial" w:hAnsi="Arial"/>
                <w:sz w:val="11"/>
                <w:szCs w:val="11"/>
                <w:color w:val="auto"/>
              </w:rPr>
              <w:t>Dividends related to CNP Midstream</w:t>
            </w: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(1,460)</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(1,460)</w:t>
            </w:r>
          </w:p>
        </w:tc>
      </w:tr>
      <w:tr>
        <w:trPr>
          <w:trHeight w:val="211"/>
        </w:trPr>
        <w:tc>
          <w:tcPr>
            <w:tcW w:w="4260" w:type="dxa"/>
            <w:vAlign w:val="bottom"/>
            <w:tcBorders>
              <w:bottom w:val="single" w:sz="8" w:color="CCEEFF"/>
            </w:tcBorders>
          </w:tcPr>
          <w:p>
            <w:pPr>
              <w:ind w:left="140"/>
              <w:spacing w:after="0"/>
              <w:rPr>
                <w:sz w:val="20"/>
                <w:szCs w:val="20"/>
                <w:color w:val="auto"/>
              </w:rPr>
            </w:pPr>
            <w:r>
              <w:rPr>
                <w:rFonts w:ascii="Arial" w:cs="Arial" w:eastAsia="Arial" w:hAnsi="Arial"/>
                <w:sz w:val="11"/>
                <w:szCs w:val="11"/>
                <w:color w:val="auto"/>
              </w:rPr>
              <w:t>Contribution from parent</w:t>
            </w:r>
          </w:p>
        </w:tc>
        <w:tc>
          <w:tcPr>
            <w:tcW w:w="7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tcPr>
          <w:p>
            <w:pPr>
              <w:spacing w:after="0"/>
              <w:rPr>
                <w:sz w:val="18"/>
                <w:szCs w:val="18"/>
                <w:color w:val="auto"/>
              </w:rPr>
            </w:pPr>
          </w:p>
        </w:tc>
        <w:tc>
          <w:tcPr>
            <w:tcW w:w="7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color w:val="auto"/>
              </w:rPr>
              <w:t>600</w:t>
            </w:r>
          </w:p>
        </w:tc>
        <w:tc>
          <w:tcPr>
            <w:tcW w:w="120" w:type="dxa"/>
            <w:vAlign w:val="bottom"/>
            <w:tcBorders>
              <w:bottom w:val="single" w:sz="8" w:color="CCEEFF"/>
            </w:tcBorders>
          </w:tcPr>
          <w:p>
            <w:pPr>
              <w:spacing w:after="0"/>
              <w:rPr>
                <w:sz w:val="18"/>
                <w:szCs w:val="18"/>
                <w:color w:val="auto"/>
              </w:rPr>
            </w:pPr>
          </w:p>
        </w:tc>
        <w:tc>
          <w:tcPr>
            <w:tcW w:w="7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tcPr>
          <w:p>
            <w:pPr>
              <w:spacing w:after="0"/>
              <w:rPr>
                <w:sz w:val="18"/>
                <w:szCs w:val="18"/>
                <w:color w:val="auto"/>
              </w:rPr>
            </w:pPr>
          </w:p>
        </w:tc>
        <w:tc>
          <w:tcPr>
            <w:tcW w:w="7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auto"/>
              </w:rPr>
              <w:t>600</w:t>
            </w:r>
          </w:p>
        </w:tc>
      </w:tr>
      <w:tr>
        <w:trPr>
          <w:trHeight w:val="200"/>
        </w:trPr>
        <w:tc>
          <w:tcPr>
            <w:tcW w:w="4260" w:type="dxa"/>
            <w:vAlign w:val="bottom"/>
            <w:shd w:val="clear" w:color="auto" w:fill="CCEEFF"/>
          </w:tcPr>
          <w:p>
            <w:pPr>
              <w:ind w:left="140"/>
              <w:spacing w:after="0"/>
              <w:rPr>
                <w:sz w:val="20"/>
                <w:szCs w:val="20"/>
                <w:color w:val="auto"/>
              </w:rPr>
            </w:pPr>
            <w:r>
              <w:rPr>
                <w:rFonts w:ascii="Arial" w:cs="Arial" w:eastAsia="Arial" w:hAnsi="Arial"/>
                <w:sz w:val="11"/>
                <w:szCs w:val="11"/>
                <w:color w:val="auto"/>
              </w:rPr>
              <w:t>Balance, end of period</w:t>
            </w: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color w:val="auto"/>
              </w:rPr>
              <w:t>2,015</w:t>
            </w: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color w:val="auto"/>
              </w:rPr>
              <w:t>1,668</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color w:val="auto"/>
              </w:rPr>
              <w:t>2,015</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1"/>
                <w:szCs w:val="11"/>
                <w:color w:val="auto"/>
              </w:rPr>
              <w:t>1,668</w:t>
            </w:r>
          </w:p>
        </w:tc>
      </w:tr>
      <w:tr>
        <w:trPr>
          <w:trHeight w:val="191"/>
        </w:trPr>
        <w:tc>
          <w:tcPr>
            <w:tcW w:w="4260" w:type="dxa"/>
            <w:vAlign w:val="bottom"/>
          </w:tcPr>
          <w:p>
            <w:pPr>
              <w:ind w:left="20"/>
              <w:spacing w:after="0"/>
              <w:rPr>
                <w:sz w:val="20"/>
                <w:szCs w:val="20"/>
                <w:color w:val="auto"/>
              </w:rPr>
            </w:pPr>
            <w:r>
              <w:rPr>
                <w:rFonts w:ascii="Arial" w:cs="Arial" w:eastAsia="Arial" w:hAnsi="Arial"/>
                <w:sz w:val="11"/>
                <w:szCs w:val="11"/>
                <w:b w:val="1"/>
                <w:bCs w:val="1"/>
                <w:color w:val="auto"/>
              </w:rPr>
              <w:t>Retained Earnings</w:t>
            </w: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220"/>
        </w:trPr>
        <w:tc>
          <w:tcPr>
            <w:tcW w:w="4260" w:type="dxa"/>
            <w:vAlign w:val="bottom"/>
            <w:shd w:val="clear" w:color="auto" w:fill="CCEEFF"/>
          </w:tcPr>
          <w:p>
            <w:pPr>
              <w:ind w:left="140"/>
              <w:spacing w:after="0"/>
              <w:rPr>
                <w:sz w:val="20"/>
                <w:szCs w:val="20"/>
                <w:color w:val="auto"/>
              </w:rPr>
            </w:pPr>
            <w:r>
              <w:rPr>
                <w:rFonts w:ascii="Arial" w:cs="Arial" w:eastAsia="Arial" w:hAnsi="Arial"/>
                <w:sz w:val="11"/>
                <w:szCs w:val="11"/>
                <w:color w:val="auto"/>
              </w:rPr>
              <w:t>Balance, beginning of period</w:t>
            </w: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486</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529</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423</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574</w:t>
            </w:r>
          </w:p>
        </w:tc>
      </w:tr>
      <w:tr>
        <w:trPr>
          <w:trHeight w:val="211"/>
        </w:trPr>
        <w:tc>
          <w:tcPr>
            <w:tcW w:w="4260" w:type="dxa"/>
            <w:vAlign w:val="bottom"/>
          </w:tcPr>
          <w:p>
            <w:pPr>
              <w:ind w:left="140"/>
              <w:spacing w:after="0"/>
              <w:rPr>
                <w:sz w:val="20"/>
                <w:szCs w:val="20"/>
                <w:color w:val="auto"/>
              </w:rPr>
            </w:pPr>
            <w:r>
              <w:rPr>
                <w:rFonts w:ascii="Arial" w:cs="Arial" w:eastAsia="Arial" w:hAnsi="Arial"/>
                <w:sz w:val="11"/>
                <w:szCs w:val="11"/>
                <w:color w:val="auto"/>
              </w:rPr>
              <w:t>Net income</w:t>
            </w: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ind w:right="23"/>
              <w:spacing w:after="0"/>
              <w:rPr>
                <w:sz w:val="20"/>
                <w:szCs w:val="20"/>
                <w:color w:val="auto"/>
              </w:rPr>
            </w:pPr>
            <w:r>
              <w:rPr>
                <w:rFonts w:ascii="Arial" w:cs="Arial" w:eastAsia="Arial" w:hAnsi="Arial"/>
                <w:sz w:val="11"/>
                <w:szCs w:val="11"/>
                <w:color w:val="auto"/>
              </w:rPr>
              <w:t>(7)</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ind w:right="63"/>
              <w:spacing w:after="0"/>
              <w:rPr>
                <w:sz w:val="20"/>
                <w:szCs w:val="20"/>
                <w:color w:val="auto"/>
              </w:rPr>
            </w:pPr>
            <w:r>
              <w:rPr>
                <w:rFonts w:ascii="Arial" w:cs="Arial" w:eastAsia="Arial" w:hAnsi="Arial"/>
                <w:sz w:val="11"/>
                <w:szCs w:val="11"/>
                <w:color w:val="auto"/>
              </w:rPr>
              <w:t>9</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ind w:right="63"/>
              <w:spacing w:after="0"/>
              <w:rPr>
                <w:sz w:val="20"/>
                <w:szCs w:val="20"/>
                <w:color w:val="auto"/>
              </w:rPr>
            </w:pPr>
            <w:r>
              <w:rPr>
                <w:rFonts w:ascii="Arial" w:cs="Arial" w:eastAsia="Arial" w:hAnsi="Arial"/>
                <w:sz w:val="11"/>
                <w:szCs w:val="11"/>
                <w:color w:val="auto"/>
              </w:rPr>
              <w:t>159</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ind w:right="43"/>
              <w:spacing w:after="0"/>
              <w:rPr>
                <w:sz w:val="20"/>
                <w:szCs w:val="20"/>
                <w:color w:val="auto"/>
              </w:rPr>
            </w:pPr>
            <w:r>
              <w:rPr>
                <w:rFonts w:ascii="Arial" w:cs="Arial" w:eastAsia="Arial" w:hAnsi="Arial"/>
                <w:sz w:val="11"/>
                <w:szCs w:val="11"/>
                <w:color w:val="auto"/>
              </w:rPr>
              <w:t>175</w:t>
            </w:r>
          </w:p>
        </w:tc>
      </w:tr>
      <w:tr>
        <w:trPr>
          <w:trHeight w:val="216"/>
        </w:trPr>
        <w:tc>
          <w:tcPr>
            <w:tcW w:w="4260" w:type="dxa"/>
            <w:vAlign w:val="bottom"/>
            <w:shd w:val="clear" w:color="auto" w:fill="CCEEFF"/>
          </w:tcPr>
          <w:p>
            <w:pPr>
              <w:ind w:left="140"/>
              <w:spacing w:after="0"/>
              <w:rPr>
                <w:sz w:val="20"/>
                <w:szCs w:val="20"/>
                <w:color w:val="auto"/>
              </w:rPr>
            </w:pPr>
            <w:r>
              <w:rPr>
                <w:rFonts w:ascii="Arial" w:cs="Arial" w:eastAsia="Arial" w:hAnsi="Arial"/>
                <w:sz w:val="11"/>
                <w:szCs w:val="11"/>
                <w:color w:val="auto"/>
              </w:rPr>
              <w:t>Dividend to parent</w:t>
            </w: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1"/>
                <w:szCs w:val="11"/>
                <w:color w:val="auto"/>
              </w:rPr>
              <w:t>(16)</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1"/>
                <w:szCs w:val="11"/>
                <w:color w:val="auto"/>
              </w:rPr>
              <w:t>(75)</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1"/>
                <w:szCs w:val="11"/>
                <w:color w:val="auto"/>
              </w:rPr>
              <w:t>(119)</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(286)</w:t>
            </w:r>
          </w:p>
        </w:tc>
      </w:tr>
      <w:tr>
        <w:trPr>
          <w:trHeight w:val="196"/>
        </w:trPr>
        <w:tc>
          <w:tcPr>
            <w:tcW w:w="4260" w:type="dxa"/>
            <w:vAlign w:val="bottom"/>
            <w:tcBorders>
              <w:bottom w:val="single" w:sz="8" w:color="CCEEFF"/>
            </w:tcBorders>
          </w:tcPr>
          <w:p>
            <w:pPr>
              <w:ind w:left="140"/>
              <w:spacing w:after="0"/>
              <w:rPr>
                <w:sz w:val="20"/>
                <w:szCs w:val="20"/>
                <w:color w:val="auto"/>
              </w:rPr>
            </w:pPr>
            <w:r>
              <w:rPr>
                <w:rFonts w:ascii="Arial" w:cs="Arial" w:eastAsia="Arial" w:hAnsi="Arial"/>
                <w:sz w:val="11"/>
                <w:szCs w:val="11"/>
                <w:color w:val="auto"/>
              </w:rPr>
              <w:t>Balance, end of period</w:t>
            </w:r>
          </w:p>
        </w:tc>
        <w:tc>
          <w:tcPr>
            <w:tcW w:w="7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color w:val="auto"/>
              </w:rPr>
              <w:t>463</w:t>
            </w:r>
          </w:p>
        </w:tc>
        <w:tc>
          <w:tcPr>
            <w:tcW w:w="120" w:type="dxa"/>
            <w:vAlign w:val="bottom"/>
            <w:tcBorders>
              <w:bottom w:val="single" w:sz="8" w:color="CCEEFF"/>
            </w:tcBorders>
          </w:tcPr>
          <w:p>
            <w:pPr>
              <w:spacing w:after="0"/>
              <w:rPr>
                <w:sz w:val="17"/>
                <w:szCs w:val="17"/>
                <w:color w:val="auto"/>
              </w:rPr>
            </w:pPr>
          </w:p>
        </w:tc>
        <w:tc>
          <w:tcPr>
            <w:tcW w:w="7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color w:val="auto"/>
              </w:rPr>
              <w:t>463</w:t>
            </w:r>
          </w:p>
        </w:tc>
        <w:tc>
          <w:tcPr>
            <w:tcW w:w="120" w:type="dxa"/>
            <w:vAlign w:val="bottom"/>
            <w:tcBorders>
              <w:bottom w:val="single" w:sz="8" w:color="CCEEFF"/>
            </w:tcBorders>
          </w:tcPr>
          <w:p>
            <w:pPr>
              <w:spacing w:after="0"/>
              <w:rPr>
                <w:sz w:val="17"/>
                <w:szCs w:val="17"/>
                <w:color w:val="auto"/>
              </w:rPr>
            </w:pPr>
          </w:p>
        </w:tc>
        <w:tc>
          <w:tcPr>
            <w:tcW w:w="74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color w:val="auto"/>
              </w:rPr>
              <w:t>463</w:t>
            </w:r>
          </w:p>
        </w:tc>
        <w:tc>
          <w:tcPr>
            <w:tcW w:w="100" w:type="dxa"/>
            <w:vAlign w:val="bottom"/>
            <w:tcBorders>
              <w:bottom w:val="single" w:sz="8" w:color="CCEEFF"/>
            </w:tcBorders>
          </w:tcPr>
          <w:p>
            <w:pPr>
              <w:spacing w:after="0"/>
              <w:rPr>
                <w:sz w:val="17"/>
                <w:szCs w:val="17"/>
                <w:color w:val="auto"/>
              </w:rPr>
            </w:pPr>
          </w:p>
        </w:tc>
        <w:tc>
          <w:tcPr>
            <w:tcW w:w="70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auto"/>
              </w:rPr>
              <w:t>463</w:t>
            </w:r>
          </w:p>
        </w:tc>
      </w:tr>
      <w:tr>
        <w:trPr>
          <w:trHeight w:val="200"/>
        </w:trPr>
        <w:tc>
          <w:tcPr>
            <w:tcW w:w="426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Accumulated Other Comprehensive Income</w:t>
            </w: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r>
      <w:tr>
        <w:trPr>
          <w:trHeight w:val="211"/>
        </w:trPr>
        <w:tc>
          <w:tcPr>
            <w:tcW w:w="4260" w:type="dxa"/>
            <w:vAlign w:val="bottom"/>
            <w:tcBorders>
              <w:bottom w:val="single" w:sz="8" w:color="CCEEFF"/>
            </w:tcBorders>
          </w:tcPr>
          <w:p>
            <w:pPr>
              <w:ind w:left="140"/>
              <w:spacing w:after="0"/>
              <w:rPr>
                <w:sz w:val="20"/>
                <w:szCs w:val="20"/>
                <w:color w:val="auto"/>
              </w:rPr>
            </w:pPr>
            <w:r>
              <w:rPr>
                <w:rFonts w:ascii="Arial" w:cs="Arial" w:eastAsia="Arial" w:hAnsi="Arial"/>
                <w:sz w:val="11"/>
                <w:szCs w:val="11"/>
                <w:color w:val="auto"/>
              </w:rPr>
              <w:t>Balance, beginning of period</w:t>
            </w:r>
          </w:p>
        </w:tc>
        <w:tc>
          <w:tcPr>
            <w:tcW w:w="7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color w:val="auto"/>
              </w:rPr>
              <w:t>5</w:t>
            </w:r>
          </w:p>
        </w:tc>
        <w:tc>
          <w:tcPr>
            <w:tcW w:w="120" w:type="dxa"/>
            <w:vAlign w:val="bottom"/>
            <w:tcBorders>
              <w:bottom w:val="single" w:sz="8" w:color="CCEEFF"/>
            </w:tcBorders>
          </w:tcPr>
          <w:p>
            <w:pPr>
              <w:spacing w:after="0"/>
              <w:rPr>
                <w:sz w:val="18"/>
                <w:szCs w:val="18"/>
                <w:color w:val="auto"/>
              </w:rPr>
            </w:pPr>
          </w:p>
        </w:tc>
        <w:tc>
          <w:tcPr>
            <w:tcW w:w="7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color w:val="auto"/>
              </w:rPr>
              <w:t>6</w:t>
            </w:r>
          </w:p>
        </w:tc>
        <w:tc>
          <w:tcPr>
            <w:tcW w:w="120" w:type="dxa"/>
            <w:vAlign w:val="bottom"/>
            <w:tcBorders>
              <w:bottom w:val="single" w:sz="8" w:color="CCEEFF"/>
            </w:tcBorders>
          </w:tcPr>
          <w:p>
            <w:pPr>
              <w:spacing w:after="0"/>
              <w:rPr>
                <w:sz w:val="18"/>
                <w:szCs w:val="18"/>
                <w:color w:val="auto"/>
              </w:rPr>
            </w:pPr>
          </w:p>
        </w:tc>
        <w:tc>
          <w:tcPr>
            <w:tcW w:w="7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color w:val="auto"/>
              </w:rPr>
              <w:t>5</w:t>
            </w:r>
          </w:p>
        </w:tc>
        <w:tc>
          <w:tcPr>
            <w:tcW w:w="100" w:type="dxa"/>
            <w:vAlign w:val="bottom"/>
            <w:tcBorders>
              <w:bottom w:val="single" w:sz="8" w:color="CCEEFF"/>
            </w:tcBorders>
          </w:tcPr>
          <w:p>
            <w:pPr>
              <w:spacing w:after="0"/>
              <w:rPr>
                <w:sz w:val="18"/>
                <w:szCs w:val="18"/>
                <w:color w:val="auto"/>
              </w:rPr>
            </w:pPr>
          </w:p>
        </w:tc>
        <w:tc>
          <w:tcPr>
            <w:tcW w:w="7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auto"/>
              </w:rPr>
              <w:t>6</w:t>
            </w:r>
          </w:p>
        </w:tc>
      </w:tr>
      <w:tr>
        <w:trPr>
          <w:trHeight w:val="196"/>
        </w:trPr>
        <w:tc>
          <w:tcPr>
            <w:tcW w:w="4260" w:type="dxa"/>
            <w:vAlign w:val="bottom"/>
            <w:shd w:val="clear" w:color="auto" w:fill="CCEEFF"/>
          </w:tcPr>
          <w:p>
            <w:pPr>
              <w:ind w:left="140"/>
              <w:spacing w:after="0"/>
              <w:rPr>
                <w:sz w:val="20"/>
                <w:szCs w:val="20"/>
                <w:color w:val="auto"/>
              </w:rPr>
            </w:pPr>
            <w:r>
              <w:rPr>
                <w:rFonts w:ascii="Arial" w:cs="Arial" w:eastAsia="Arial" w:hAnsi="Arial"/>
                <w:sz w:val="11"/>
                <w:szCs w:val="11"/>
                <w:color w:val="auto"/>
              </w:rPr>
              <w:t>Balance, end of period</w:t>
            </w: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color w:val="auto"/>
              </w:rPr>
              <w:t>5</w:t>
            </w: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color w:val="auto"/>
              </w:rPr>
              <w:t>6</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color w:val="auto"/>
              </w:rPr>
              <w:t>5</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1"/>
                <w:szCs w:val="11"/>
                <w:color w:val="auto"/>
              </w:rPr>
              <w:t>6</w:t>
            </w:r>
          </w:p>
        </w:tc>
      </w:tr>
      <w:tr>
        <w:trPr>
          <w:trHeight w:val="189"/>
        </w:trPr>
        <w:tc>
          <w:tcPr>
            <w:tcW w:w="4260" w:type="dxa"/>
            <w:vAlign w:val="bottom"/>
          </w:tcPr>
          <w:p>
            <w:pPr>
              <w:ind w:left="20"/>
              <w:spacing w:after="0"/>
              <w:rPr>
                <w:sz w:val="20"/>
                <w:szCs w:val="20"/>
                <w:color w:val="auto"/>
              </w:rPr>
            </w:pPr>
            <w:r>
              <w:rPr>
                <w:rFonts w:ascii="Arial" w:cs="Arial" w:eastAsia="Arial" w:hAnsi="Arial"/>
                <w:sz w:val="11"/>
                <w:szCs w:val="11"/>
                <w:b w:val="1"/>
                <w:bCs w:val="1"/>
                <w:color w:val="auto"/>
              </w:rPr>
              <w:t>Total Stockholder’s Equity</w:t>
            </w:r>
          </w:p>
        </w:tc>
        <w:tc>
          <w:tcPr>
            <w:tcW w:w="720" w:type="dxa"/>
            <w:vAlign w:val="bottom"/>
          </w:tcPr>
          <w:p>
            <w:pPr>
              <w:spacing w:after="0"/>
              <w:rPr>
                <w:sz w:val="16"/>
                <w:szCs w:val="16"/>
                <w:color w:val="auto"/>
              </w:rPr>
            </w:pPr>
          </w:p>
        </w:tc>
        <w:tc>
          <w:tcPr>
            <w:tcW w:w="340" w:type="dxa"/>
            <w:vAlign w:val="bottom"/>
            <w:gridSpan w:val="3"/>
          </w:tcPr>
          <w:p>
            <w:pPr>
              <w:jc w:val="right"/>
              <w:ind w:right="3"/>
              <w:spacing w:after="0"/>
              <w:rPr>
                <w:sz w:val="20"/>
                <w:szCs w:val="20"/>
                <w:color w:val="auto"/>
              </w:rPr>
            </w:pPr>
            <w:r>
              <w:rPr>
                <w:rFonts w:ascii="Arial" w:cs="Arial" w:eastAsia="Arial" w:hAnsi="Arial"/>
                <w:sz w:val="11"/>
                <w:szCs w:val="11"/>
                <w:color w:val="auto"/>
              </w:rPr>
              <w:t>$</w:t>
            </w:r>
          </w:p>
        </w:tc>
        <w:tc>
          <w:tcPr>
            <w:tcW w:w="680" w:type="dxa"/>
            <w:vAlign w:val="bottom"/>
          </w:tcPr>
          <w:p>
            <w:pPr>
              <w:jc w:val="right"/>
              <w:ind w:right="63"/>
              <w:spacing w:after="0"/>
              <w:rPr>
                <w:sz w:val="20"/>
                <w:szCs w:val="20"/>
                <w:color w:val="auto"/>
              </w:rPr>
            </w:pPr>
            <w:r>
              <w:rPr>
                <w:rFonts w:ascii="Arial" w:cs="Arial" w:eastAsia="Arial" w:hAnsi="Arial"/>
                <w:sz w:val="11"/>
                <w:szCs w:val="11"/>
                <w:color w:val="auto"/>
              </w:rPr>
              <w:t>2,483</w:t>
            </w: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40" w:type="dxa"/>
            <w:vAlign w:val="bottom"/>
            <w:gridSpan w:val="3"/>
          </w:tcPr>
          <w:p>
            <w:pPr>
              <w:jc w:val="right"/>
              <w:ind w:right="3"/>
              <w:spacing w:after="0"/>
              <w:rPr>
                <w:sz w:val="20"/>
                <w:szCs w:val="20"/>
                <w:color w:val="auto"/>
              </w:rPr>
            </w:pPr>
            <w:r>
              <w:rPr>
                <w:rFonts w:ascii="Arial" w:cs="Arial" w:eastAsia="Arial" w:hAnsi="Arial"/>
                <w:sz w:val="11"/>
                <w:szCs w:val="11"/>
                <w:color w:val="auto"/>
              </w:rPr>
              <w:t>$</w:t>
            </w:r>
          </w:p>
        </w:tc>
        <w:tc>
          <w:tcPr>
            <w:tcW w:w="680" w:type="dxa"/>
            <w:vAlign w:val="bottom"/>
          </w:tcPr>
          <w:p>
            <w:pPr>
              <w:jc w:val="right"/>
              <w:ind w:right="63"/>
              <w:spacing w:after="0"/>
              <w:rPr>
                <w:sz w:val="20"/>
                <w:szCs w:val="20"/>
                <w:color w:val="auto"/>
              </w:rPr>
            </w:pPr>
            <w:r>
              <w:rPr>
                <w:rFonts w:ascii="Arial" w:cs="Arial" w:eastAsia="Arial" w:hAnsi="Arial"/>
                <w:sz w:val="11"/>
                <w:szCs w:val="11"/>
                <w:color w:val="auto"/>
              </w:rPr>
              <w:t>2,137</w:t>
            </w: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00" w:type="dxa"/>
            <w:vAlign w:val="bottom"/>
            <w:gridSpan w:val="3"/>
          </w:tcPr>
          <w:p>
            <w:pPr>
              <w:jc w:val="right"/>
              <w:ind w:right="3"/>
              <w:spacing w:after="0"/>
              <w:rPr>
                <w:sz w:val="20"/>
                <w:szCs w:val="20"/>
                <w:color w:val="auto"/>
              </w:rPr>
            </w:pPr>
            <w:r>
              <w:rPr>
                <w:rFonts w:ascii="Arial" w:cs="Arial" w:eastAsia="Arial" w:hAnsi="Arial"/>
                <w:sz w:val="11"/>
                <w:szCs w:val="11"/>
                <w:color w:val="auto"/>
              </w:rPr>
              <w:t>$</w:t>
            </w:r>
          </w:p>
        </w:tc>
        <w:tc>
          <w:tcPr>
            <w:tcW w:w="660" w:type="dxa"/>
            <w:vAlign w:val="bottom"/>
          </w:tcPr>
          <w:p>
            <w:pPr>
              <w:jc w:val="right"/>
              <w:ind w:right="63"/>
              <w:spacing w:after="0"/>
              <w:rPr>
                <w:sz w:val="20"/>
                <w:szCs w:val="20"/>
                <w:color w:val="auto"/>
              </w:rPr>
            </w:pPr>
            <w:r>
              <w:rPr>
                <w:rFonts w:ascii="Arial" w:cs="Arial" w:eastAsia="Arial" w:hAnsi="Arial"/>
                <w:sz w:val="11"/>
                <w:szCs w:val="11"/>
                <w:color w:val="auto"/>
              </w:rPr>
              <w:t>2,483</w:t>
            </w: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40" w:type="dxa"/>
            <w:vAlign w:val="bottom"/>
            <w:gridSpan w:val="3"/>
          </w:tcPr>
          <w:p>
            <w:pPr>
              <w:jc w:val="right"/>
              <w:ind w:right="3"/>
              <w:spacing w:after="0"/>
              <w:rPr>
                <w:sz w:val="20"/>
                <w:szCs w:val="20"/>
                <w:color w:val="auto"/>
              </w:rPr>
            </w:pPr>
            <w:r>
              <w:rPr>
                <w:rFonts w:ascii="Arial" w:cs="Arial" w:eastAsia="Arial" w:hAnsi="Arial"/>
                <w:sz w:val="11"/>
                <w:szCs w:val="11"/>
                <w:color w:val="auto"/>
              </w:rPr>
              <w:t>$</w:t>
            </w:r>
          </w:p>
        </w:tc>
        <w:tc>
          <w:tcPr>
            <w:tcW w:w="640" w:type="dxa"/>
            <w:vAlign w:val="bottom"/>
          </w:tcPr>
          <w:p>
            <w:pPr>
              <w:jc w:val="right"/>
              <w:ind w:right="43"/>
              <w:spacing w:after="0"/>
              <w:rPr>
                <w:sz w:val="20"/>
                <w:szCs w:val="20"/>
                <w:color w:val="auto"/>
              </w:rPr>
            </w:pPr>
            <w:r>
              <w:rPr>
                <w:rFonts w:ascii="Arial" w:cs="Arial" w:eastAsia="Arial" w:hAnsi="Arial"/>
                <w:sz w:val="11"/>
                <w:szCs w:val="11"/>
                <w:color w:val="auto"/>
              </w:rPr>
              <w:t>2,137</w:t>
            </w:r>
          </w:p>
        </w:tc>
      </w:tr>
      <w:tr>
        <w:trPr>
          <w:trHeight w:val="20"/>
        </w:trPr>
        <w:tc>
          <w:tcPr>
            <w:tcW w:w="4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r>
    </w:tbl>
    <w:p>
      <w:pPr>
        <w:spacing w:after="0" w:line="16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Combined Notes to Unaudited Condensed Consolidated Financial Statements</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ectPr>
          <w:pgSz w:w="11900" w:h="16838" w:orient="portrait"/>
          <w:cols w:equalWidth="0" w:num="1">
            <w:col w:w="11460"/>
          </w:cols>
          <w:pgMar w:left="220" w:top="129" w:right="219" w:bottom="1440" w:gutter="0" w:footer="0" w:header="0"/>
        </w:sectPr>
      </w:pPr>
    </w:p>
    <w:bookmarkStart w:id="28" w:name="page29"/>
    <w:bookmarkEnd w:id="28"/>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37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CENTERPOINT ENERGY, INC. AND SUBSIDIARIES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CENTERPOINT ENERGY HOUSTON ELECTRIC, LLC AND SUBSIDIARIES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CENTERPOINT ENERGY RESOURCES CORP. AND SUBSIDIARIES</w:t>
      </w:r>
    </w:p>
    <w:p>
      <w:pPr>
        <w:spacing w:after="0" w:line="170" w:lineRule="exact"/>
        <w:rPr>
          <w:sz w:val="20"/>
          <w:szCs w:val="20"/>
          <w:color w:val="auto"/>
        </w:rPr>
      </w:pPr>
    </w:p>
    <w:p>
      <w:pPr>
        <w:ind w:left="2500"/>
        <w:spacing w:after="0"/>
        <w:rPr>
          <w:sz w:val="20"/>
          <w:szCs w:val="20"/>
          <w:color w:val="auto"/>
        </w:rPr>
      </w:pPr>
      <w:r>
        <w:rPr>
          <w:rFonts w:ascii="Arial" w:cs="Arial" w:eastAsia="Arial" w:hAnsi="Arial"/>
          <w:sz w:val="14"/>
          <w:szCs w:val="14"/>
          <w:b w:val="1"/>
          <w:bCs w:val="1"/>
          <w:color w:val="auto"/>
        </w:rPr>
        <w:t>COMBINED NOTES TO UNAUDITED CONDENSED CONSOLIDATED FINANCIAL STATEMENTS</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 Background and Basis of Presentation</w:t>
      </w:r>
    </w:p>
    <w:p>
      <w:pPr>
        <w:spacing w:after="0" w:line="188" w:lineRule="exact"/>
        <w:rPr>
          <w:sz w:val="20"/>
          <w:szCs w:val="20"/>
          <w:color w:val="auto"/>
        </w:rPr>
      </w:pPr>
    </w:p>
    <w:p>
      <w:pPr>
        <w:jc w:val="both"/>
        <w:ind w:firstLine="259"/>
        <w:spacing w:after="0" w:line="272" w:lineRule="auto"/>
        <w:rPr>
          <w:sz w:val="20"/>
          <w:szCs w:val="20"/>
          <w:color w:val="auto"/>
        </w:rPr>
      </w:pPr>
      <w:r>
        <w:rPr>
          <w:rFonts w:ascii="Arial" w:cs="Arial" w:eastAsia="Arial" w:hAnsi="Arial"/>
          <w:sz w:val="14"/>
          <w:szCs w:val="14"/>
          <w:i w:val="1"/>
          <w:iCs w:val="1"/>
          <w:color w:val="auto"/>
        </w:rPr>
        <w:t xml:space="preserve">General. </w:t>
      </w:r>
      <w:r>
        <w:rPr>
          <w:rFonts w:ascii="Arial" w:cs="Arial" w:eastAsia="Arial" w:hAnsi="Arial"/>
          <w:sz w:val="14"/>
          <w:szCs w:val="14"/>
          <w:color w:val="auto"/>
        </w:rPr>
        <w:t>This combined Form 10-Q is filed separately by three registrants: CenterPoint Energy, Inc., CenterPoint Energy Houston Electric, LLC and CenterPoint Energy Resources Corp.</w:t>
      </w:r>
      <w:r>
        <w:rPr>
          <w:rFonts w:ascii="Arial" w:cs="Arial" w:eastAsia="Arial" w:hAnsi="Arial"/>
          <w:sz w:val="14"/>
          <w:szCs w:val="14"/>
          <w:i w:val="1"/>
          <w:iCs w:val="1"/>
          <w:color w:val="auto"/>
        </w:rPr>
        <w:t xml:space="preserve"> </w:t>
      </w:r>
      <w:r>
        <w:rPr>
          <w:rFonts w:ascii="Arial" w:cs="Arial" w:eastAsia="Arial" w:hAnsi="Arial"/>
          <w:sz w:val="14"/>
          <w:szCs w:val="14"/>
          <w:color w:val="auto"/>
        </w:rPr>
        <w:t>Information contained herein relating to any individual registrant is filed by such registrant solely on its own behalf. Each registrant makes no representation as to information relating exclusively to the other Registrants or the subsidiaries of CenterPoint Energy other than itself or its subsidiaries.</w:t>
      </w:r>
    </w:p>
    <w:p>
      <w:pPr>
        <w:spacing w:after="0" w:line="142" w:lineRule="exact"/>
        <w:rPr>
          <w:sz w:val="20"/>
          <w:szCs w:val="20"/>
          <w:color w:val="auto"/>
        </w:rPr>
      </w:pPr>
    </w:p>
    <w:p>
      <w:pPr>
        <w:jc w:val="both"/>
        <w:ind w:firstLine="259"/>
        <w:spacing w:after="0" w:line="272" w:lineRule="auto"/>
        <w:rPr>
          <w:sz w:val="20"/>
          <w:szCs w:val="20"/>
          <w:color w:val="auto"/>
        </w:rPr>
      </w:pPr>
      <w:r>
        <w:rPr>
          <w:rFonts w:ascii="Arial" w:cs="Arial" w:eastAsia="Arial" w:hAnsi="Arial"/>
          <w:sz w:val="14"/>
          <w:szCs w:val="14"/>
          <w:color w:val="auto"/>
        </w:rPr>
        <w:t>Except as discussed in the last paragraph in Note 12 to the Registrants’ Condensed Consolidated Financial Statements, no registrant has an obligation in respect of any other Registrant’s debt securities, and holders of such debt securities should not consider the financial resources or results of operations of any Registrant other than the obligor in making a decision with respect to such securities.</w:t>
      </w:r>
    </w:p>
    <w:p>
      <w:pPr>
        <w:spacing w:after="0" w:line="142" w:lineRule="exact"/>
        <w:rPr>
          <w:sz w:val="20"/>
          <w:szCs w:val="20"/>
          <w:color w:val="auto"/>
        </w:rPr>
      </w:pPr>
    </w:p>
    <w:p>
      <w:pPr>
        <w:jc w:val="both"/>
        <w:ind w:firstLine="259"/>
        <w:spacing w:after="0" w:line="267" w:lineRule="auto"/>
        <w:rPr>
          <w:sz w:val="20"/>
          <w:szCs w:val="20"/>
          <w:color w:val="auto"/>
        </w:rPr>
      </w:pPr>
      <w:r>
        <w:rPr>
          <w:rFonts w:ascii="Arial" w:cs="Arial" w:eastAsia="Arial" w:hAnsi="Arial"/>
          <w:sz w:val="14"/>
          <w:szCs w:val="14"/>
          <w:color w:val="auto"/>
        </w:rPr>
        <w:t>Included in this combined Form 10-Q are the Interim Condensed Financial Statements of CenterPoint Energy, Houston Electric and CERC, which are referred to collectively as the Registrants. The Combined Notes to the Unaudited Condensed Consolidated Financial Statements apply to all Registrants and specific references to Houston Electric and CERC herein also pertain to CenterPoint Energy, unless otherwise indicated. The Interim Condensed Financial Statements are unaudited, omit certain financial statement disclosures and should be read with the Registrants’ combined 2018 Form 10-K.</w:t>
      </w:r>
    </w:p>
    <w:p>
      <w:pPr>
        <w:spacing w:after="0" w:line="146" w:lineRule="exact"/>
        <w:rPr>
          <w:sz w:val="20"/>
          <w:szCs w:val="20"/>
          <w:color w:val="auto"/>
        </w:rPr>
      </w:pPr>
    </w:p>
    <w:p>
      <w:pPr>
        <w:jc w:val="both"/>
        <w:ind w:firstLine="259"/>
        <w:spacing w:after="0" w:line="272" w:lineRule="auto"/>
        <w:rPr>
          <w:sz w:val="20"/>
          <w:szCs w:val="20"/>
          <w:color w:val="auto"/>
        </w:rPr>
      </w:pPr>
      <w:r>
        <w:rPr>
          <w:rFonts w:ascii="Arial" w:cs="Arial" w:eastAsia="Arial" w:hAnsi="Arial"/>
          <w:sz w:val="14"/>
          <w:szCs w:val="14"/>
          <w:i w:val="1"/>
          <w:iCs w:val="1"/>
          <w:color w:val="auto"/>
        </w:rPr>
        <w:t xml:space="preserve">Background. </w:t>
      </w:r>
      <w:r>
        <w:rPr>
          <w:rFonts w:ascii="Arial" w:cs="Arial" w:eastAsia="Arial" w:hAnsi="Arial"/>
          <w:sz w:val="14"/>
          <w:szCs w:val="14"/>
          <w:color w:val="auto"/>
        </w:rPr>
        <w:t>CenterPoint Energy, Inc. is a public utility holding company and owns interests in Enable as described below. On the Merger Date, pursuant to the Merger Agreement, CenterPoint</w:t>
      </w:r>
      <w:r>
        <w:rPr>
          <w:rFonts w:ascii="Arial" w:cs="Arial" w:eastAsia="Arial" w:hAnsi="Arial"/>
          <w:sz w:val="14"/>
          <w:szCs w:val="14"/>
          <w:i w:val="1"/>
          <w:iCs w:val="1"/>
          <w:color w:val="auto"/>
        </w:rPr>
        <w:t xml:space="preserve"> </w:t>
      </w:r>
      <w:r>
        <w:rPr>
          <w:rFonts w:ascii="Arial" w:cs="Arial" w:eastAsia="Arial" w:hAnsi="Arial"/>
          <w:sz w:val="14"/>
          <w:szCs w:val="14"/>
          <w:color w:val="auto"/>
        </w:rPr>
        <w:t>Energy consummated the previously announced Merger and acquired Vectren for approximately $6 billion in cash. On the Merger Date, Vectren became a wholly-owned subsidiary of CenterPoint Energy.</w:t>
      </w:r>
    </w:p>
    <w:p>
      <w:pPr>
        <w:spacing w:after="0" w:line="142" w:lineRule="exact"/>
        <w:rPr>
          <w:sz w:val="20"/>
          <w:szCs w:val="20"/>
          <w:color w:val="auto"/>
        </w:rPr>
      </w:pPr>
    </w:p>
    <w:p>
      <w:pPr>
        <w:ind w:left="260"/>
        <w:spacing w:after="0"/>
        <w:rPr>
          <w:sz w:val="20"/>
          <w:szCs w:val="20"/>
          <w:color w:val="auto"/>
        </w:rPr>
      </w:pPr>
      <w:r>
        <w:rPr>
          <w:rFonts w:ascii="Arial" w:cs="Arial" w:eastAsia="Arial" w:hAnsi="Arial"/>
          <w:sz w:val="14"/>
          <w:szCs w:val="14"/>
          <w:color w:val="auto"/>
        </w:rPr>
        <w:t>As of September 30, 2019, CenterPoint Energy’s operating subsidiaries were as follows:</w:t>
      </w:r>
    </w:p>
    <w:p>
      <w:pPr>
        <w:spacing w:after="0" w:line="184" w:lineRule="exact"/>
        <w:rPr>
          <w:sz w:val="20"/>
          <w:szCs w:val="20"/>
          <w:color w:val="auto"/>
        </w:rPr>
      </w:pPr>
    </w:p>
    <w:p>
      <w:pPr>
        <w:ind w:left="520" w:hanging="255"/>
        <w:spacing w:after="0"/>
        <w:tabs>
          <w:tab w:leader="none" w:pos="520" w:val="left"/>
        </w:tabs>
        <w:numPr>
          <w:ilvl w:val="0"/>
          <w:numId w:val="6"/>
        </w:numPr>
        <w:rPr>
          <w:rFonts w:ascii="Arial" w:cs="Arial" w:eastAsia="Arial" w:hAnsi="Arial"/>
          <w:sz w:val="14"/>
          <w:szCs w:val="14"/>
          <w:color w:val="auto"/>
        </w:rPr>
      </w:pPr>
      <w:r>
        <w:rPr>
          <w:rFonts w:ascii="Arial" w:cs="Arial" w:eastAsia="Arial" w:hAnsi="Arial"/>
          <w:sz w:val="14"/>
          <w:szCs w:val="14"/>
          <w:color w:val="auto"/>
        </w:rPr>
        <w:t>Houston Electric owns and operates electric transmission and distribution facilities in the Texas Gulf Coast area that includes the city of Houston; and</w:t>
      </w:r>
    </w:p>
    <w:p>
      <w:pPr>
        <w:spacing w:after="0" w:line="183" w:lineRule="exact"/>
        <w:rPr>
          <w:rFonts w:ascii="Arial" w:cs="Arial" w:eastAsia="Arial" w:hAnsi="Arial"/>
          <w:sz w:val="14"/>
          <w:szCs w:val="14"/>
          <w:color w:val="auto"/>
        </w:rPr>
      </w:pPr>
    </w:p>
    <w:p>
      <w:pPr>
        <w:ind w:left="520" w:hanging="255"/>
        <w:spacing w:after="0" w:line="288" w:lineRule="auto"/>
        <w:tabs>
          <w:tab w:leader="none" w:pos="520" w:val="left"/>
        </w:tabs>
        <w:numPr>
          <w:ilvl w:val="0"/>
          <w:numId w:val="6"/>
        </w:numPr>
        <w:rPr>
          <w:rFonts w:ascii="Arial" w:cs="Arial" w:eastAsia="Arial" w:hAnsi="Arial"/>
          <w:sz w:val="14"/>
          <w:szCs w:val="14"/>
          <w:color w:val="auto"/>
        </w:rPr>
      </w:pPr>
      <w:r>
        <w:rPr>
          <w:rFonts w:ascii="Arial" w:cs="Arial" w:eastAsia="Arial" w:hAnsi="Arial"/>
          <w:sz w:val="14"/>
          <w:szCs w:val="14"/>
          <w:color w:val="auto"/>
        </w:rPr>
        <w:t>CERC (i) owns and operates natural gas distribution systems in six states and (ii) obtains and offers competitive variable and fixed-price physical natural gas supplies and services primarily to commercial and industrial customers and electric and natural gas utilities in over 30 states through its wholly-owned subsidiary, CES.</w:t>
      </w:r>
    </w:p>
    <w:p>
      <w:pPr>
        <w:spacing w:after="0" w:line="130" w:lineRule="exact"/>
        <w:rPr>
          <w:rFonts w:ascii="Arial" w:cs="Arial" w:eastAsia="Arial" w:hAnsi="Arial"/>
          <w:sz w:val="14"/>
          <w:szCs w:val="14"/>
          <w:color w:val="auto"/>
        </w:rPr>
      </w:pPr>
    </w:p>
    <w:p>
      <w:pPr>
        <w:ind w:left="520" w:hanging="255"/>
        <w:spacing w:after="0"/>
        <w:tabs>
          <w:tab w:leader="none" w:pos="520" w:val="left"/>
        </w:tabs>
        <w:numPr>
          <w:ilvl w:val="0"/>
          <w:numId w:val="6"/>
        </w:numPr>
        <w:rPr>
          <w:rFonts w:ascii="Arial" w:cs="Arial" w:eastAsia="Arial" w:hAnsi="Arial"/>
          <w:sz w:val="14"/>
          <w:szCs w:val="14"/>
          <w:color w:val="auto"/>
        </w:rPr>
      </w:pPr>
      <w:r>
        <w:rPr>
          <w:rFonts w:ascii="Arial" w:cs="Arial" w:eastAsia="Arial" w:hAnsi="Arial"/>
          <w:sz w:val="14"/>
          <w:szCs w:val="14"/>
          <w:color w:val="auto"/>
        </w:rPr>
        <w:t>Vectren holds three public utilities through its wholly-owned subsidiary, VUHI, a public utility holding company:</w:t>
      </w:r>
    </w:p>
    <w:p>
      <w:pPr>
        <w:spacing w:after="0" w:line="183" w:lineRule="exact"/>
        <w:rPr>
          <w:rFonts w:ascii="Arial" w:cs="Arial" w:eastAsia="Arial" w:hAnsi="Arial"/>
          <w:sz w:val="14"/>
          <w:szCs w:val="14"/>
          <w:color w:val="auto"/>
        </w:rPr>
      </w:pPr>
    </w:p>
    <w:p>
      <w:pPr>
        <w:ind w:left="1040" w:hanging="258"/>
        <w:spacing w:after="0"/>
        <w:tabs>
          <w:tab w:leader="none" w:pos="1040" w:val="left"/>
        </w:tabs>
        <w:numPr>
          <w:ilvl w:val="1"/>
          <w:numId w:val="6"/>
        </w:numPr>
        <w:rPr>
          <w:rFonts w:ascii="Arial" w:cs="Arial" w:eastAsia="Arial" w:hAnsi="Arial"/>
          <w:sz w:val="14"/>
          <w:szCs w:val="14"/>
          <w:color w:val="auto"/>
        </w:rPr>
      </w:pPr>
      <w:r>
        <w:rPr>
          <w:rFonts w:ascii="Arial" w:cs="Arial" w:eastAsia="Arial" w:hAnsi="Arial"/>
          <w:sz w:val="14"/>
          <w:szCs w:val="14"/>
          <w:color w:val="auto"/>
        </w:rPr>
        <w:t>Indiana Gas provides energy delivery services to natural gas customers located in central and southern Indiana;</w:t>
      </w:r>
    </w:p>
    <w:p>
      <w:pPr>
        <w:spacing w:after="0" w:line="183" w:lineRule="exact"/>
        <w:rPr>
          <w:rFonts w:ascii="Arial" w:cs="Arial" w:eastAsia="Arial" w:hAnsi="Arial"/>
          <w:sz w:val="14"/>
          <w:szCs w:val="14"/>
          <w:color w:val="auto"/>
        </w:rPr>
      </w:pPr>
    </w:p>
    <w:p>
      <w:pPr>
        <w:ind w:left="1040" w:hanging="258"/>
        <w:spacing w:after="0" w:line="288" w:lineRule="auto"/>
        <w:tabs>
          <w:tab w:leader="none" w:pos="1040" w:val="left"/>
        </w:tabs>
        <w:numPr>
          <w:ilvl w:val="1"/>
          <w:numId w:val="6"/>
        </w:numPr>
        <w:rPr>
          <w:rFonts w:ascii="Arial" w:cs="Arial" w:eastAsia="Arial" w:hAnsi="Arial"/>
          <w:sz w:val="14"/>
          <w:szCs w:val="14"/>
          <w:color w:val="auto"/>
        </w:rPr>
      </w:pPr>
      <w:r>
        <w:rPr>
          <w:rFonts w:ascii="Arial" w:cs="Arial" w:eastAsia="Arial" w:hAnsi="Arial"/>
          <w:sz w:val="14"/>
          <w:szCs w:val="14"/>
          <w:color w:val="auto"/>
        </w:rPr>
        <w:t>SIGECO provides energy delivery services to electric and natural gas customers located near Evansville in southwestern Indiana and owns and operates electric generation assets to serve its electric customers and optimizes those assets in the wholesale power market; and</w:t>
      </w:r>
    </w:p>
    <w:p>
      <w:pPr>
        <w:spacing w:after="0" w:line="130" w:lineRule="exact"/>
        <w:rPr>
          <w:rFonts w:ascii="Arial" w:cs="Arial" w:eastAsia="Arial" w:hAnsi="Arial"/>
          <w:sz w:val="14"/>
          <w:szCs w:val="14"/>
          <w:color w:val="auto"/>
        </w:rPr>
      </w:pPr>
    </w:p>
    <w:p>
      <w:pPr>
        <w:ind w:left="1040" w:hanging="258"/>
        <w:spacing w:after="0"/>
        <w:tabs>
          <w:tab w:leader="none" w:pos="1040" w:val="left"/>
        </w:tabs>
        <w:numPr>
          <w:ilvl w:val="1"/>
          <w:numId w:val="6"/>
        </w:numPr>
        <w:rPr>
          <w:rFonts w:ascii="Arial" w:cs="Arial" w:eastAsia="Arial" w:hAnsi="Arial"/>
          <w:sz w:val="14"/>
          <w:szCs w:val="14"/>
          <w:color w:val="auto"/>
        </w:rPr>
      </w:pPr>
      <w:r>
        <w:rPr>
          <w:rFonts w:ascii="Arial" w:cs="Arial" w:eastAsia="Arial" w:hAnsi="Arial"/>
          <w:sz w:val="14"/>
          <w:szCs w:val="14"/>
          <w:color w:val="auto"/>
        </w:rPr>
        <w:t>VEDO provides energy delivery services to natural gas customers located near Dayton in west-central Ohio.</w:t>
      </w:r>
    </w:p>
    <w:p>
      <w:pPr>
        <w:spacing w:after="0" w:line="183" w:lineRule="exact"/>
        <w:rPr>
          <w:rFonts w:ascii="Arial" w:cs="Arial" w:eastAsia="Arial" w:hAnsi="Arial"/>
          <w:sz w:val="14"/>
          <w:szCs w:val="14"/>
          <w:color w:val="auto"/>
        </w:rPr>
      </w:pPr>
    </w:p>
    <w:p>
      <w:pPr>
        <w:ind w:left="520" w:hanging="255"/>
        <w:spacing w:after="0"/>
        <w:tabs>
          <w:tab w:leader="none" w:pos="520" w:val="left"/>
        </w:tabs>
        <w:numPr>
          <w:ilvl w:val="0"/>
          <w:numId w:val="6"/>
        </w:numPr>
        <w:rPr>
          <w:rFonts w:ascii="Arial" w:cs="Arial" w:eastAsia="Arial" w:hAnsi="Arial"/>
          <w:sz w:val="14"/>
          <w:szCs w:val="14"/>
          <w:color w:val="auto"/>
        </w:rPr>
      </w:pPr>
      <w:r>
        <w:rPr>
          <w:rFonts w:ascii="Arial" w:cs="Arial" w:eastAsia="Arial" w:hAnsi="Arial"/>
          <w:sz w:val="14"/>
          <w:szCs w:val="14"/>
          <w:color w:val="auto"/>
        </w:rPr>
        <w:t>Vectren performs non-utility activities through:</w:t>
      </w:r>
    </w:p>
    <w:p>
      <w:pPr>
        <w:spacing w:after="0" w:line="183" w:lineRule="exact"/>
        <w:rPr>
          <w:rFonts w:ascii="Arial" w:cs="Arial" w:eastAsia="Arial" w:hAnsi="Arial"/>
          <w:sz w:val="14"/>
          <w:szCs w:val="14"/>
          <w:color w:val="auto"/>
        </w:rPr>
      </w:pPr>
    </w:p>
    <w:p>
      <w:pPr>
        <w:jc w:val="both"/>
        <w:ind w:left="1040" w:hanging="258"/>
        <w:spacing w:after="0" w:line="272" w:lineRule="auto"/>
        <w:tabs>
          <w:tab w:leader="none" w:pos="1040" w:val="left"/>
        </w:tabs>
        <w:numPr>
          <w:ilvl w:val="1"/>
          <w:numId w:val="6"/>
        </w:numPr>
        <w:rPr>
          <w:rFonts w:ascii="Arial" w:cs="Arial" w:eastAsia="Arial" w:hAnsi="Arial"/>
          <w:sz w:val="14"/>
          <w:szCs w:val="14"/>
          <w:color w:val="auto"/>
        </w:rPr>
      </w:pPr>
      <w:r>
        <w:rPr>
          <w:rFonts w:ascii="Arial" w:cs="Arial" w:eastAsia="Arial" w:hAnsi="Arial"/>
          <w:sz w:val="14"/>
          <w:szCs w:val="14"/>
          <w:color w:val="auto"/>
        </w:rPr>
        <w:t>Infrastructure Services, which provides underground pipeline construction and repair services through wholly-owned subsidiaries Miller Pipeline, LLC and Minnesota Limited, LLC and serves natural gas utilities across the United States, focusing on recurring integrity, station and maintenance work and opportunities for large transmission pipeline construction projects; and</w:t>
      </w:r>
    </w:p>
    <w:p>
      <w:pPr>
        <w:spacing w:after="0" w:line="142" w:lineRule="exact"/>
        <w:rPr>
          <w:rFonts w:ascii="Arial" w:cs="Arial" w:eastAsia="Arial" w:hAnsi="Arial"/>
          <w:sz w:val="14"/>
          <w:szCs w:val="14"/>
          <w:color w:val="auto"/>
        </w:rPr>
      </w:pPr>
    </w:p>
    <w:p>
      <w:pPr>
        <w:ind w:left="1040" w:hanging="258"/>
        <w:spacing w:after="0"/>
        <w:tabs>
          <w:tab w:leader="none" w:pos="1040" w:val="left"/>
        </w:tabs>
        <w:numPr>
          <w:ilvl w:val="1"/>
          <w:numId w:val="6"/>
        </w:numPr>
        <w:rPr>
          <w:rFonts w:ascii="Arial" w:cs="Arial" w:eastAsia="Arial" w:hAnsi="Arial"/>
          <w:sz w:val="13"/>
          <w:szCs w:val="13"/>
          <w:color w:val="auto"/>
        </w:rPr>
      </w:pPr>
      <w:r>
        <w:rPr>
          <w:rFonts w:ascii="Arial" w:cs="Arial" w:eastAsia="Arial" w:hAnsi="Arial"/>
          <w:sz w:val="13"/>
          <w:szCs w:val="13"/>
          <w:color w:val="auto"/>
        </w:rPr>
        <w:t>ESG, which provides energy performance contracting and sustainable infrastructure services, such as renewables, distributed generation and combined heat and power projects.</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ectPr>
          <w:pgSz w:w="11900" w:h="16838" w:orient="portrait"/>
          <w:cols w:equalWidth="0" w:num="1">
            <w:col w:w="11460"/>
          </w:cols>
          <w:pgMar w:left="220" w:top="129" w:right="219" w:bottom="1440" w:gutter="0" w:footer="0" w:header="0"/>
        </w:sectPr>
      </w:pPr>
    </w:p>
    <w:bookmarkStart w:id="29" w:name="page30"/>
    <w:bookmarkEnd w:id="29"/>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205" w:lineRule="exact"/>
        <w:rPr>
          <w:sz w:val="20"/>
          <w:szCs w:val="20"/>
          <w:color w:val="auto"/>
        </w:rPr>
      </w:pPr>
    </w:p>
    <w:p>
      <w:pPr>
        <w:jc w:val="both"/>
        <w:ind w:firstLine="259"/>
        <w:spacing w:after="0" w:line="272" w:lineRule="auto"/>
        <w:rPr>
          <w:sz w:val="20"/>
          <w:szCs w:val="20"/>
          <w:color w:val="auto"/>
        </w:rPr>
      </w:pPr>
      <w:r>
        <w:rPr>
          <w:rFonts w:ascii="Arial" w:cs="Arial" w:eastAsia="Arial" w:hAnsi="Arial"/>
          <w:sz w:val="14"/>
          <w:szCs w:val="14"/>
          <w:color w:val="auto"/>
        </w:rPr>
        <w:t>As of September 30, 2019, CenterPoint Energy, indirectly through CNP Midstream, owned approximately 53.7% of the common units representing limited partner interests in Enable, 50% of the management rights and 40% of the incentive distribution rights in Enable GP and also directly owned an aggregate of 14,520,000 Enable Series A Preferred Units. Enable owns, operates and develops natural gas and crude oil infrastructure assets.</w:t>
      </w:r>
    </w:p>
    <w:p>
      <w:pPr>
        <w:spacing w:after="0" w:line="142" w:lineRule="exact"/>
        <w:rPr>
          <w:sz w:val="20"/>
          <w:szCs w:val="20"/>
          <w:color w:val="auto"/>
        </w:rPr>
      </w:pPr>
    </w:p>
    <w:p>
      <w:pPr>
        <w:jc w:val="both"/>
        <w:ind w:firstLine="259"/>
        <w:spacing w:after="0" w:line="267" w:lineRule="auto"/>
        <w:rPr>
          <w:sz w:val="20"/>
          <w:szCs w:val="20"/>
          <w:color w:val="auto"/>
        </w:rPr>
      </w:pPr>
      <w:r>
        <w:rPr>
          <w:rFonts w:ascii="Arial" w:cs="Arial" w:eastAsia="Arial" w:hAnsi="Arial"/>
          <w:sz w:val="14"/>
          <w:szCs w:val="14"/>
          <w:color w:val="auto"/>
        </w:rPr>
        <w:t>As of September 30, 2019, CenterPoint Energy and Houston Electric had VIEs consisting of the Bond Companies, which are consolidated. The consolidated VIEs are wholly-owned, bankruptcy-remote, special purpose entities that were formed solely for the purpose of securitizing transition and system restoration-related property. Creditors of CenterPoint Energy and Houston Electric have no recourse to any assets or revenues of the Bond Companies. The bonds issued by these VIEs are payable only from and secured by transition and system restoration property, and the bondholders have no recourse to the general credit of CenterPoint Energy or Houston Electric.</w:t>
      </w:r>
    </w:p>
    <w:p>
      <w:pPr>
        <w:spacing w:after="0" w:line="146" w:lineRule="exact"/>
        <w:rPr>
          <w:sz w:val="20"/>
          <w:szCs w:val="20"/>
          <w:color w:val="auto"/>
        </w:rPr>
      </w:pPr>
    </w:p>
    <w:p>
      <w:pPr>
        <w:jc w:val="both"/>
        <w:ind w:firstLine="259"/>
        <w:spacing w:after="0" w:line="272" w:lineRule="auto"/>
        <w:rPr>
          <w:sz w:val="20"/>
          <w:szCs w:val="20"/>
          <w:color w:val="auto"/>
        </w:rPr>
      </w:pPr>
      <w:r>
        <w:rPr>
          <w:rFonts w:ascii="Arial" w:cs="Arial" w:eastAsia="Arial" w:hAnsi="Arial"/>
          <w:sz w:val="14"/>
          <w:szCs w:val="14"/>
          <w:i w:val="1"/>
          <w:iCs w:val="1"/>
          <w:color w:val="auto"/>
        </w:rPr>
        <w:t xml:space="preserve">Basis of Presentation. </w:t>
      </w:r>
      <w:r>
        <w:rPr>
          <w:rFonts w:ascii="Arial" w:cs="Arial" w:eastAsia="Arial" w:hAnsi="Arial"/>
          <w:sz w:val="14"/>
          <w:szCs w:val="14"/>
          <w:color w:val="auto"/>
        </w:rPr>
        <w:t>The preparation of financial statements in conformity with generally accepted accounting principles requires management to make estimates and assumptions that affect the</w:t>
      </w:r>
      <w:r>
        <w:rPr>
          <w:rFonts w:ascii="Arial" w:cs="Arial" w:eastAsia="Arial" w:hAnsi="Arial"/>
          <w:sz w:val="14"/>
          <w:szCs w:val="14"/>
          <w:i w:val="1"/>
          <w:iCs w:val="1"/>
          <w:color w:val="auto"/>
        </w:rPr>
        <w:t xml:space="preserve"> </w:t>
      </w:r>
      <w:r>
        <w:rPr>
          <w:rFonts w:ascii="Arial" w:cs="Arial" w:eastAsia="Arial" w:hAnsi="Arial"/>
          <w:sz w:val="14"/>
          <w:szCs w:val="14"/>
          <w:color w:val="auto"/>
        </w:rPr>
        <w:t>reported amounts of assets and liabilities, disclosure of contingent assets and liabilities at the date of the financial statements, and the reported amounts of revenues and expenses during the reporting period. Actual results could differ from those estimates.</w:t>
      </w:r>
    </w:p>
    <w:p>
      <w:pPr>
        <w:spacing w:after="0" w:line="142" w:lineRule="exact"/>
        <w:rPr>
          <w:sz w:val="20"/>
          <w:szCs w:val="20"/>
          <w:color w:val="auto"/>
        </w:rPr>
      </w:pPr>
    </w:p>
    <w:p>
      <w:pPr>
        <w:jc w:val="both"/>
        <w:ind w:firstLine="259"/>
        <w:spacing w:after="0" w:line="264" w:lineRule="auto"/>
        <w:rPr>
          <w:sz w:val="20"/>
          <w:szCs w:val="20"/>
          <w:color w:val="auto"/>
        </w:rPr>
      </w:pPr>
      <w:r>
        <w:rPr>
          <w:rFonts w:ascii="Arial" w:cs="Arial" w:eastAsia="Arial" w:hAnsi="Arial"/>
          <w:sz w:val="14"/>
          <w:szCs w:val="14"/>
          <w:color w:val="auto"/>
        </w:rPr>
        <w:t>The Interim Condensed Financial Statements reflect all normal recurring adjustments that are, in the opinion of management, necessary to present fairly the financial position, results of operations and cash flows for the respective periods. Amounts reported in the Condensed Statements of Consolidated Income are not necessarily indicative of amounts expected for a full-year period due to the effects of, among other things, (a) seasonal fluctuations in demand for energy and energy services, (b) changes in energy commodity prices, (c) timing of maintenance and other expenditures and (d) acquisitions and dispositions of businesses, assets and other interests. Certain prior year amounts have been reclassified to conform to the current year presentation. See Note 9 for further discussion.</w:t>
      </w:r>
    </w:p>
    <w:p>
      <w:pPr>
        <w:spacing w:after="0" w:line="149" w:lineRule="exact"/>
        <w:rPr>
          <w:sz w:val="20"/>
          <w:szCs w:val="20"/>
          <w:color w:val="auto"/>
        </w:rPr>
      </w:pPr>
    </w:p>
    <w:p>
      <w:pPr>
        <w:jc w:val="both"/>
        <w:ind w:firstLine="259"/>
        <w:spacing w:after="0" w:line="267" w:lineRule="auto"/>
        <w:rPr>
          <w:sz w:val="20"/>
          <w:szCs w:val="20"/>
          <w:color w:val="auto"/>
        </w:rPr>
      </w:pPr>
      <w:r>
        <w:rPr>
          <w:rFonts w:ascii="Arial" w:cs="Arial" w:eastAsia="Arial" w:hAnsi="Arial"/>
          <w:sz w:val="14"/>
          <w:szCs w:val="14"/>
          <w:color w:val="auto"/>
        </w:rPr>
        <w:t>Concurrent with the completion of the Merger, CenterPoint Energy added two new reportable segments, Indiana Electric Integrated and Infrastructure Services, to its five reportable segments disclosed in the Registrants’ combined 2018 Form 10-K. Additionally, CenterPoint Energy’s Natural Gas Distribution reportable segment now includes the gas operations of SIGECO (Indiana South), Indiana Gas and VEDO and CenterPoint Energy’s Corporate and Other reportable segment now includes ESG. Houston Electric’s and CERC’s reportable segments were not impacted by the Merger. For a description of the Registrants’ reportable segments, see Note 16.</w:t>
      </w:r>
    </w:p>
    <w:p>
      <w:pPr>
        <w:spacing w:after="0" w:line="146" w:lineRule="exact"/>
        <w:rPr>
          <w:sz w:val="20"/>
          <w:szCs w:val="20"/>
          <w:color w:val="auto"/>
        </w:rPr>
      </w:pPr>
    </w:p>
    <w:p>
      <w:pPr>
        <w:jc w:val="both"/>
        <w:ind w:firstLine="259"/>
        <w:spacing w:after="0" w:line="288" w:lineRule="auto"/>
        <w:rPr>
          <w:sz w:val="20"/>
          <w:szCs w:val="20"/>
          <w:color w:val="auto"/>
        </w:rPr>
      </w:pPr>
      <w:r>
        <w:rPr>
          <w:rFonts w:ascii="Arial" w:cs="Arial" w:eastAsia="Arial" w:hAnsi="Arial"/>
          <w:sz w:val="14"/>
          <w:szCs w:val="14"/>
          <w:i w:val="1"/>
          <w:iCs w:val="1"/>
          <w:color w:val="auto"/>
        </w:rPr>
        <w:t xml:space="preserve">Significant Accounting Policies. </w:t>
      </w:r>
      <w:r>
        <w:rPr>
          <w:rFonts w:ascii="Arial" w:cs="Arial" w:eastAsia="Arial" w:hAnsi="Arial"/>
          <w:sz w:val="14"/>
          <w:szCs w:val="14"/>
          <w:color w:val="auto"/>
        </w:rPr>
        <w:t>In addition to the significant accounting policies disclosed in the Registrants’ combined 2018 Form 10-K, CenterPoint Energy has adopted the following new or</w:t>
      </w:r>
      <w:r>
        <w:rPr>
          <w:rFonts w:ascii="Arial" w:cs="Arial" w:eastAsia="Arial" w:hAnsi="Arial"/>
          <w:sz w:val="14"/>
          <w:szCs w:val="14"/>
          <w:i w:val="1"/>
          <w:iCs w:val="1"/>
          <w:color w:val="auto"/>
        </w:rPr>
        <w:t xml:space="preserve"> </w:t>
      </w:r>
      <w:r>
        <w:rPr>
          <w:rFonts w:ascii="Arial" w:cs="Arial" w:eastAsia="Arial" w:hAnsi="Arial"/>
          <w:sz w:val="14"/>
          <w:szCs w:val="14"/>
          <w:color w:val="auto"/>
        </w:rPr>
        <w:t>enhanced significant accounting policies subsequent to the consummation of the Merger:</w:t>
      </w:r>
    </w:p>
    <w:p>
      <w:pPr>
        <w:spacing w:after="0" w:line="131" w:lineRule="exact"/>
        <w:rPr>
          <w:sz w:val="20"/>
          <w:szCs w:val="20"/>
          <w:color w:val="auto"/>
        </w:rPr>
      </w:pPr>
    </w:p>
    <w:p>
      <w:pPr>
        <w:jc w:val="both"/>
        <w:ind w:firstLine="259"/>
        <w:spacing w:after="0" w:line="272" w:lineRule="auto"/>
        <w:rPr>
          <w:sz w:val="20"/>
          <w:szCs w:val="20"/>
          <w:color w:val="auto"/>
        </w:rPr>
      </w:pPr>
      <w:r>
        <w:rPr>
          <w:rFonts w:ascii="Arial" w:cs="Arial" w:eastAsia="Arial" w:hAnsi="Arial"/>
          <w:sz w:val="14"/>
          <w:szCs w:val="14"/>
          <w:u w:val="single" w:color="auto"/>
          <w:color w:val="auto"/>
        </w:rPr>
        <w:t>Principles of Consolidation</w:t>
      </w:r>
      <w:r>
        <w:rPr>
          <w:rFonts w:ascii="Arial" w:cs="Arial" w:eastAsia="Arial" w:hAnsi="Arial"/>
          <w:sz w:val="14"/>
          <w:szCs w:val="14"/>
          <w:i w:val="1"/>
          <w:iCs w:val="1"/>
          <w:color w:val="auto"/>
        </w:rPr>
        <w:t>.</w:t>
      </w:r>
      <w:r>
        <w:rPr>
          <w:rFonts w:ascii="Arial" w:cs="Arial" w:eastAsia="Arial" w:hAnsi="Arial"/>
          <w:sz w:val="14"/>
          <w:szCs w:val="14"/>
          <w:color w:val="auto"/>
        </w:rPr>
        <w:t xml:space="preserve"> Businesses within the Infrastructure Services reportable segment provide underground pipeline construction and repair services for customers that include NGD utilities. In accordance with consolidation guidance in ASC 980—Regulated Operations, costs incurred by NGD utilities for these pipeline construction and repair services are not eliminated in consolidation when capitalized and included in rate base by the NGD utility.</w:t>
      </w:r>
    </w:p>
    <w:p>
      <w:pPr>
        <w:spacing w:after="0" w:line="142" w:lineRule="exact"/>
        <w:rPr>
          <w:sz w:val="20"/>
          <w:szCs w:val="20"/>
          <w:color w:val="auto"/>
        </w:rPr>
      </w:pPr>
    </w:p>
    <w:p>
      <w:pPr>
        <w:jc w:val="both"/>
        <w:ind w:firstLine="259"/>
        <w:spacing w:after="0" w:line="288" w:lineRule="auto"/>
        <w:rPr>
          <w:sz w:val="20"/>
          <w:szCs w:val="20"/>
          <w:color w:val="auto"/>
        </w:rPr>
      </w:pPr>
      <w:r>
        <w:rPr>
          <w:rFonts w:ascii="Arial" w:cs="Arial" w:eastAsia="Arial" w:hAnsi="Arial"/>
          <w:sz w:val="14"/>
          <w:szCs w:val="14"/>
          <w:u w:val="single" w:color="auto"/>
          <w:color w:val="auto"/>
        </w:rPr>
        <w:t>Guarantees</w:t>
      </w:r>
      <w:r>
        <w:rPr>
          <w:rFonts w:ascii="Arial" w:cs="Arial" w:eastAsia="Arial" w:hAnsi="Arial"/>
          <w:sz w:val="14"/>
          <w:szCs w:val="14"/>
          <w:color w:val="auto"/>
        </w:rPr>
        <w:t>. CenterPoint Energy recognizes guarantee obligations at fair value. CenterPoint Energy discloses parent company guarantees of a subsidiary’s obligation when that guarantee results in the exposure of a material obligation of the parent company even if the probability of fulfilling such obligation is considered remote. See Note 14(b).</w:t>
      </w:r>
    </w:p>
    <w:p>
      <w:pPr>
        <w:spacing w:after="0" w:line="131" w:lineRule="exact"/>
        <w:rPr>
          <w:sz w:val="20"/>
          <w:szCs w:val="20"/>
          <w:color w:val="auto"/>
        </w:rPr>
      </w:pPr>
    </w:p>
    <w:p>
      <w:pPr>
        <w:ind w:left="260"/>
        <w:spacing w:after="0"/>
        <w:rPr>
          <w:sz w:val="20"/>
          <w:szCs w:val="20"/>
          <w:color w:val="auto"/>
        </w:rPr>
      </w:pPr>
      <w:r>
        <w:rPr>
          <w:rFonts w:ascii="Arial" w:cs="Arial" w:eastAsia="Arial" w:hAnsi="Arial"/>
          <w:sz w:val="14"/>
          <w:szCs w:val="14"/>
          <w:u w:val="single" w:color="auto"/>
          <w:color w:val="auto"/>
        </w:rPr>
        <w:t>Income Taxes</w:t>
      </w:r>
      <w:r>
        <w:rPr>
          <w:rFonts w:ascii="Arial" w:cs="Arial" w:eastAsia="Arial" w:hAnsi="Arial"/>
          <w:sz w:val="14"/>
          <w:szCs w:val="14"/>
          <w:color w:val="auto"/>
        </w:rPr>
        <w:t>. Investment tax credits are deferred and amortized to income over the approximate lives of the related property.</w:t>
      </w:r>
    </w:p>
    <w:p>
      <w:pPr>
        <w:spacing w:after="0" w:line="184" w:lineRule="exact"/>
        <w:rPr>
          <w:sz w:val="20"/>
          <w:szCs w:val="20"/>
          <w:color w:val="auto"/>
        </w:rPr>
      </w:pPr>
    </w:p>
    <w:p>
      <w:pPr>
        <w:jc w:val="both"/>
        <w:ind w:firstLine="259"/>
        <w:spacing w:after="0" w:line="263" w:lineRule="auto"/>
        <w:rPr>
          <w:sz w:val="20"/>
          <w:szCs w:val="20"/>
          <w:color w:val="auto"/>
        </w:rPr>
      </w:pPr>
      <w:r>
        <w:rPr>
          <w:rFonts w:ascii="Arial" w:cs="Arial" w:eastAsia="Arial" w:hAnsi="Arial"/>
          <w:sz w:val="14"/>
          <w:szCs w:val="14"/>
          <w:u w:val="single" w:color="auto"/>
          <w:color w:val="auto"/>
        </w:rPr>
        <w:t>MISO Transactions</w:t>
      </w:r>
      <w:r>
        <w:rPr>
          <w:rFonts w:ascii="Arial" w:cs="Arial" w:eastAsia="Arial" w:hAnsi="Arial"/>
          <w:sz w:val="14"/>
          <w:szCs w:val="14"/>
          <w:color w:val="auto"/>
        </w:rPr>
        <w:t>. Indiana Electric is a member of MISO. MISO-related purchase and sale transactions are recorded using settlement information provided by the MISO. These purchase and sale transactions are accounted for on at least a net hourly position, meaning net purchases within that interval are recorded on CenterPoint Energy’s Condensed Statements of Consolidated Income in Utility natural gas, fuel and purchased power, and net sales within that interval are recorded on CenterPoint Energy’s Condensed Statements of Consolidated Income in Utility revenues. On occasion, prior period transactions are resettled outside the routine process due to a change in the MISO’s tariff or a material interpretation thereof. Expenses associated with resettlements are recorded once the resettlement is probable and the resettlement amount can be estimated. Revenues associated with resettlements are recognized when the amount is determinable and collectability is reasonably assured.</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ectPr>
          <w:pgSz w:w="11900" w:h="16838" w:orient="portrait"/>
          <w:cols w:equalWidth="0" w:num="1">
            <w:col w:w="11460"/>
          </w:cols>
          <w:pgMar w:left="220" w:top="129" w:right="219" w:bottom="1440" w:gutter="0" w:footer="0" w:header="0"/>
        </w:sectPr>
      </w:pPr>
    </w:p>
    <w:bookmarkStart w:id="30" w:name="page31"/>
    <w:bookmarkEnd w:id="30"/>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 New Accounting Pronouncements</w:t>
      </w:r>
    </w:p>
    <w:p>
      <w:pPr>
        <w:spacing w:after="0" w:line="188" w:lineRule="exact"/>
        <w:rPr>
          <w:sz w:val="20"/>
          <w:szCs w:val="20"/>
          <w:color w:val="auto"/>
        </w:rPr>
      </w:pPr>
    </w:p>
    <w:p>
      <w:pPr>
        <w:ind w:left="20" w:right="1760" w:firstLine="237"/>
        <w:spacing w:after="0" w:line="377" w:lineRule="auto"/>
        <w:rPr>
          <w:sz w:val="20"/>
          <w:szCs w:val="20"/>
          <w:color w:val="auto"/>
        </w:rPr>
      </w:pPr>
      <w:r>
        <w:rPr>
          <w:rFonts w:ascii="Arial" w:cs="Arial" w:eastAsia="Arial" w:hAnsi="Arial"/>
          <w:sz w:val="14"/>
          <w:szCs w:val="14"/>
          <w:color w:val="auto"/>
        </w:rPr>
        <w:t xml:space="preserve">The following table provides an overview of certain recently adopted or issued accounting pronouncements applicable to all the Registrants, unless otherwise noted. </w:t>
      </w:r>
      <w:r>
        <w:rPr>
          <w:rFonts w:ascii="Arial" w:cs="Arial" w:eastAsia="Arial" w:hAnsi="Arial"/>
          <w:sz w:val="14"/>
          <w:szCs w:val="14"/>
          <w:b w:val="1"/>
          <w:bCs w:val="1"/>
          <w:i w:val="1"/>
          <w:iCs w:val="1"/>
          <w:color w:val="auto"/>
        </w:rPr>
        <w:t>Recently Adopted Accounting Standards</w:t>
      </w:r>
    </w:p>
    <w:tbl>
      <w:tblPr>
        <w:tblLayout w:type="fixed"/>
        <w:tblInd w:w="0" w:type="dxa"/>
        <w:tblCellMar>
          <w:top w:w="0" w:type="dxa"/>
          <w:left w:w="0" w:type="dxa"/>
          <w:bottom w:w="0" w:type="dxa"/>
          <w:right w:w="0" w:type="dxa"/>
        </w:tblCellMar>
      </w:tblPr>
      <w:tr>
        <w:trPr>
          <w:trHeight w:val="114"/>
        </w:trPr>
        <w:tc>
          <w:tcPr>
            <w:tcW w:w="2180" w:type="dxa"/>
            <w:vAlign w:val="bottom"/>
            <w:tcBorders>
              <w:top w:val="single" w:sz="8" w:color="auto"/>
            </w:tcBorders>
            <w:vMerge w:val="restart"/>
          </w:tcPr>
          <w:p>
            <w:pPr>
              <w:ind w:left="500"/>
              <w:spacing w:after="0"/>
              <w:rPr>
                <w:sz w:val="20"/>
                <w:szCs w:val="20"/>
                <w:color w:val="auto"/>
              </w:rPr>
            </w:pPr>
            <w:r>
              <w:rPr>
                <w:rFonts w:ascii="Arial" w:cs="Arial" w:eastAsia="Arial" w:hAnsi="Arial"/>
                <w:sz w:val="11"/>
                <w:szCs w:val="11"/>
                <w:b w:val="1"/>
                <w:bCs w:val="1"/>
                <w:color w:val="auto"/>
              </w:rPr>
              <w:t>ASU Number and Name</w:t>
            </w:r>
          </w:p>
        </w:tc>
        <w:tc>
          <w:tcPr>
            <w:tcW w:w="120" w:type="dxa"/>
            <w:vAlign w:val="bottom"/>
            <w:tcBorders>
              <w:top w:val="single" w:sz="8" w:color="auto"/>
            </w:tcBorders>
            <w:vMerge w:val="restart"/>
          </w:tcPr>
          <w:p>
            <w:pPr>
              <w:spacing w:after="0"/>
              <w:rPr>
                <w:sz w:val="9"/>
                <w:szCs w:val="9"/>
                <w:color w:val="auto"/>
              </w:rPr>
            </w:pPr>
          </w:p>
        </w:tc>
        <w:tc>
          <w:tcPr>
            <w:tcW w:w="3680" w:type="dxa"/>
            <w:vAlign w:val="bottom"/>
            <w:tcBorders>
              <w:top w:val="single" w:sz="8" w:color="auto"/>
            </w:tcBorders>
            <w:vMerge w:val="restart"/>
          </w:tcPr>
          <w:p>
            <w:pPr>
              <w:ind w:left="1560"/>
              <w:spacing w:after="0"/>
              <w:rPr>
                <w:sz w:val="20"/>
                <w:szCs w:val="20"/>
                <w:color w:val="auto"/>
              </w:rPr>
            </w:pPr>
            <w:r>
              <w:rPr>
                <w:rFonts w:ascii="Arial" w:cs="Arial" w:eastAsia="Arial" w:hAnsi="Arial"/>
                <w:sz w:val="11"/>
                <w:szCs w:val="11"/>
                <w:b w:val="1"/>
                <w:bCs w:val="1"/>
                <w:color w:val="auto"/>
              </w:rPr>
              <w:t>Description</w:t>
            </w:r>
          </w:p>
        </w:tc>
        <w:tc>
          <w:tcPr>
            <w:tcW w:w="120" w:type="dxa"/>
            <w:vAlign w:val="bottom"/>
            <w:tcBorders>
              <w:top w:val="single" w:sz="8" w:color="auto"/>
            </w:tcBorders>
            <w:vMerge w:val="restart"/>
          </w:tcPr>
          <w:p>
            <w:pPr>
              <w:spacing w:after="0"/>
              <w:rPr>
                <w:sz w:val="9"/>
                <w:szCs w:val="9"/>
                <w:color w:val="auto"/>
              </w:rPr>
            </w:pPr>
          </w:p>
        </w:tc>
        <w:tc>
          <w:tcPr>
            <w:tcW w:w="1580" w:type="dxa"/>
            <w:vAlign w:val="bottom"/>
            <w:tcBorders>
              <w:top w:val="single" w:sz="8" w:color="auto"/>
            </w:tcBorders>
            <w:vMerge w:val="restart"/>
          </w:tcPr>
          <w:p>
            <w:pPr>
              <w:jc w:val="center"/>
              <w:spacing w:after="0"/>
              <w:rPr>
                <w:sz w:val="20"/>
                <w:szCs w:val="20"/>
                <w:color w:val="auto"/>
              </w:rPr>
            </w:pPr>
            <w:r>
              <w:rPr>
                <w:rFonts w:ascii="Arial" w:cs="Arial" w:eastAsia="Arial" w:hAnsi="Arial"/>
                <w:sz w:val="11"/>
                <w:szCs w:val="11"/>
                <w:b w:val="1"/>
                <w:bCs w:val="1"/>
                <w:color w:val="auto"/>
                <w:w w:val="94"/>
              </w:rPr>
              <w:t>Date of Adoption</w:t>
            </w:r>
          </w:p>
        </w:tc>
        <w:tc>
          <w:tcPr>
            <w:tcW w:w="120" w:type="dxa"/>
            <w:vAlign w:val="bottom"/>
            <w:tcBorders>
              <w:top w:val="single" w:sz="8" w:color="auto"/>
            </w:tcBorders>
            <w:vMerge w:val="restart"/>
          </w:tcPr>
          <w:p>
            <w:pPr>
              <w:spacing w:after="0"/>
              <w:rPr>
                <w:sz w:val="9"/>
                <w:szCs w:val="9"/>
                <w:color w:val="auto"/>
              </w:rPr>
            </w:pPr>
          </w:p>
        </w:tc>
        <w:tc>
          <w:tcPr>
            <w:tcW w:w="3660" w:type="dxa"/>
            <w:vAlign w:val="bottom"/>
            <w:tcBorders>
              <w:top w:val="single" w:sz="8" w:color="auto"/>
            </w:tcBorders>
          </w:tcPr>
          <w:p>
            <w:pPr>
              <w:ind w:left="1140"/>
              <w:spacing w:after="0" w:line="114" w:lineRule="exact"/>
              <w:rPr>
                <w:sz w:val="20"/>
                <w:szCs w:val="20"/>
                <w:color w:val="auto"/>
              </w:rPr>
            </w:pPr>
            <w:r>
              <w:rPr>
                <w:rFonts w:ascii="Arial" w:cs="Arial" w:eastAsia="Arial" w:hAnsi="Arial"/>
                <w:sz w:val="11"/>
                <w:szCs w:val="11"/>
                <w:b w:val="1"/>
                <w:bCs w:val="1"/>
                <w:color w:val="auto"/>
              </w:rPr>
              <w:t>Financial Statement Impact</w:t>
            </w:r>
          </w:p>
        </w:tc>
        <w:tc>
          <w:tcPr>
            <w:tcW w:w="0" w:type="dxa"/>
            <w:vAlign w:val="bottom"/>
          </w:tcPr>
          <w:p>
            <w:pPr>
              <w:spacing w:after="0"/>
              <w:rPr>
                <w:sz w:val="1"/>
                <w:szCs w:val="1"/>
                <w:color w:val="auto"/>
              </w:rPr>
            </w:pPr>
          </w:p>
        </w:tc>
      </w:tr>
      <w:tr>
        <w:trPr>
          <w:trHeight w:val="153"/>
        </w:trPr>
        <w:tc>
          <w:tcPr>
            <w:tcW w:w="2180" w:type="dxa"/>
            <w:vAlign w:val="bottom"/>
            <w:tcBorders>
              <w:bottom w:val="single" w:sz="8" w:color="auto"/>
            </w:tcBorders>
            <w:vMerge w:val="continue"/>
          </w:tcPr>
          <w:p>
            <w:pPr>
              <w:spacing w:after="0"/>
              <w:rPr>
                <w:sz w:val="13"/>
                <w:szCs w:val="13"/>
                <w:color w:val="auto"/>
              </w:rPr>
            </w:pPr>
          </w:p>
        </w:tc>
        <w:tc>
          <w:tcPr>
            <w:tcW w:w="120" w:type="dxa"/>
            <w:vAlign w:val="bottom"/>
            <w:tcBorders>
              <w:bottom w:val="single" w:sz="8" w:color="CCEEFF"/>
            </w:tcBorders>
            <w:vMerge w:val="continue"/>
          </w:tcPr>
          <w:p>
            <w:pPr>
              <w:spacing w:after="0"/>
              <w:rPr>
                <w:sz w:val="13"/>
                <w:szCs w:val="13"/>
                <w:color w:val="auto"/>
              </w:rPr>
            </w:pPr>
          </w:p>
        </w:tc>
        <w:tc>
          <w:tcPr>
            <w:tcW w:w="3680" w:type="dxa"/>
            <w:vAlign w:val="bottom"/>
            <w:tcBorders>
              <w:bottom w:val="single" w:sz="8" w:color="auto"/>
            </w:tcBorders>
            <w:vMerge w:val="continue"/>
          </w:tcPr>
          <w:p>
            <w:pPr>
              <w:spacing w:after="0"/>
              <w:rPr>
                <w:sz w:val="13"/>
                <w:szCs w:val="13"/>
                <w:color w:val="auto"/>
              </w:rPr>
            </w:pPr>
          </w:p>
        </w:tc>
        <w:tc>
          <w:tcPr>
            <w:tcW w:w="120" w:type="dxa"/>
            <w:vAlign w:val="bottom"/>
            <w:tcBorders>
              <w:bottom w:val="single" w:sz="8" w:color="CCEEFF"/>
            </w:tcBorders>
            <w:vMerge w:val="continue"/>
          </w:tcPr>
          <w:p>
            <w:pPr>
              <w:spacing w:after="0"/>
              <w:rPr>
                <w:sz w:val="13"/>
                <w:szCs w:val="13"/>
                <w:color w:val="auto"/>
              </w:rPr>
            </w:pPr>
          </w:p>
        </w:tc>
        <w:tc>
          <w:tcPr>
            <w:tcW w:w="1580" w:type="dxa"/>
            <w:vAlign w:val="bottom"/>
            <w:tcBorders>
              <w:bottom w:val="single" w:sz="8" w:color="auto"/>
            </w:tcBorders>
            <w:vMerge w:val="continue"/>
          </w:tcPr>
          <w:p>
            <w:pPr>
              <w:spacing w:after="0"/>
              <w:rPr>
                <w:sz w:val="13"/>
                <w:szCs w:val="13"/>
                <w:color w:val="auto"/>
              </w:rPr>
            </w:pPr>
          </w:p>
        </w:tc>
        <w:tc>
          <w:tcPr>
            <w:tcW w:w="120" w:type="dxa"/>
            <w:vAlign w:val="bottom"/>
            <w:tcBorders>
              <w:bottom w:val="single" w:sz="8" w:color="CCEEFF"/>
            </w:tcBorders>
            <w:vMerge w:val="continue"/>
          </w:tcPr>
          <w:p>
            <w:pPr>
              <w:spacing w:after="0"/>
              <w:rPr>
                <w:sz w:val="13"/>
                <w:szCs w:val="13"/>
                <w:color w:val="auto"/>
              </w:rPr>
            </w:pPr>
          </w:p>
        </w:tc>
        <w:tc>
          <w:tcPr>
            <w:tcW w:w="3660" w:type="dxa"/>
            <w:vAlign w:val="bottom"/>
            <w:tcBorders>
              <w:bottom w:val="single" w:sz="8" w:color="auto"/>
            </w:tcBorders>
          </w:tcPr>
          <w:p>
            <w:pPr>
              <w:ind w:left="1460"/>
              <w:spacing w:after="0"/>
              <w:rPr>
                <w:sz w:val="20"/>
                <w:szCs w:val="20"/>
                <w:color w:val="auto"/>
              </w:rPr>
            </w:pPr>
            <w:r>
              <w:rPr>
                <w:rFonts w:ascii="Arial" w:cs="Arial" w:eastAsia="Arial" w:hAnsi="Arial"/>
                <w:sz w:val="11"/>
                <w:szCs w:val="11"/>
                <w:b w:val="1"/>
                <w:bCs w:val="1"/>
                <w:color w:val="auto"/>
              </w:rPr>
              <w:t>upon Adoption</w:t>
            </w:r>
          </w:p>
        </w:tc>
        <w:tc>
          <w:tcPr>
            <w:tcW w:w="0" w:type="dxa"/>
            <w:vAlign w:val="bottom"/>
          </w:tcPr>
          <w:p>
            <w:pPr>
              <w:spacing w:after="0"/>
              <w:rPr>
                <w:sz w:val="1"/>
                <w:szCs w:val="1"/>
                <w:color w:val="auto"/>
              </w:rPr>
            </w:pPr>
          </w:p>
        </w:tc>
      </w:tr>
      <w:tr>
        <w:trPr>
          <w:trHeight w:val="120"/>
        </w:trPr>
        <w:tc>
          <w:tcPr>
            <w:tcW w:w="2300" w:type="dxa"/>
            <w:vAlign w:val="bottom"/>
            <w:gridSpan w:val="2"/>
            <w:shd w:val="clear" w:color="auto" w:fill="CCEEFF"/>
          </w:tcPr>
          <w:p>
            <w:pPr>
              <w:ind w:left="20"/>
              <w:spacing w:after="0" w:line="120" w:lineRule="exact"/>
              <w:rPr>
                <w:sz w:val="20"/>
                <w:szCs w:val="20"/>
                <w:color w:val="auto"/>
              </w:rPr>
            </w:pPr>
            <w:r>
              <w:rPr>
                <w:rFonts w:ascii="Arial" w:cs="Arial" w:eastAsia="Arial" w:hAnsi="Arial"/>
                <w:sz w:val="11"/>
                <w:szCs w:val="11"/>
                <w:color w:val="auto"/>
              </w:rPr>
              <w:t>ASU 2016-02- Leases (Topic 842) and related</w:t>
            </w:r>
          </w:p>
        </w:tc>
        <w:tc>
          <w:tcPr>
            <w:tcW w:w="3800" w:type="dxa"/>
            <w:vAlign w:val="bottom"/>
            <w:gridSpan w:val="2"/>
            <w:shd w:val="clear" w:color="auto" w:fill="CCEEFF"/>
          </w:tcPr>
          <w:p>
            <w:pPr>
              <w:ind w:left="20"/>
              <w:spacing w:after="0" w:line="120" w:lineRule="exact"/>
              <w:rPr>
                <w:sz w:val="20"/>
                <w:szCs w:val="20"/>
                <w:color w:val="auto"/>
              </w:rPr>
            </w:pPr>
            <w:r>
              <w:rPr>
                <w:rFonts w:ascii="Arial" w:cs="Arial" w:eastAsia="Arial" w:hAnsi="Arial"/>
                <w:sz w:val="11"/>
                <w:szCs w:val="11"/>
                <w:color w:val="auto"/>
                <w:w w:val="96"/>
              </w:rPr>
              <w:t>ASU 2016-02 provides a comprehensive new lease model that requires lessees</w:t>
            </w:r>
          </w:p>
        </w:tc>
        <w:tc>
          <w:tcPr>
            <w:tcW w:w="1700" w:type="dxa"/>
            <w:vAlign w:val="bottom"/>
            <w:gridSpan w:val="2"/>
            <w:shd w:val="clear" w:color="auto" w:fill="CCEEFF"/>
          </w:tcPr>
          <w:p>
            <w:pPr>
              <w:jc w:val="center"/>
              <w:ind w:right="120"/>
              <w:spacing w:after="0" w:line="120" w:lineRule="exact"/>
              <w:rPr>
                <w:sz w:val="20"/>
                <w:szCs w:val="20"/>
                <w:color w:val="auto"/>
              </w:rPr>
            </w:pPr>
            <w:r>
              <w:rPr>
                <w:rFonts w:ascii="Arial" w:cs="Arial" w:eastAsia="Arial" w:hAnsi="Arial"/>
                <w:sz w:val="11"/>
                <w:szCs w:val="11"/>
                <w:color w:val="auto"/>
                <w:w w:val="93"/>
              </w:rPr>
              <w:t>January 1, 2019</w:t>
            </w:r>
          </w:p>
        </w:tc>
        <w:tc>
          <w:tcPr>
            <w:tcW w:w="3660" w:type="dxa"/>
            <w:vAlign w:val="bottom"/>
            <w:shd w:val="clear" w:color="auto" w:fill="CCEEFF"/>
          </w:tcPr>
          <w:p>
            <w:pPr>
              <w:ind w:left="20"/>
              <w:spacing w:after="0" w:line="120" w:lineRule="exact"/>
              <w:rPr>
                <w:sz w:val="20"/>
                <w:szCs w:val="20"/>
                <w:color w:val="auto"/>
              </w:rPr>
            </w:pPr>
            <w:r>
              <w:rPr>
                <w:rFonts w:ascii="Arial" w:cs="Arial" w:eastAsia="Arial" w:hAnsi="Arial"/>
                <w:sz w:val="11"/>
                <w:szCs w:val="11"/>
                <w:color w:val="auto"/>
                <w:w w:val="94"/>
              </w:rPr>
              <w:t>The Registrants adopted the standard and recognized a right-of-use asset and</w:t>
            </w:r>
          </w:p>
        </w:tc>
        <w:tc>
          <w:tcPr>
            <w:tcW w:w="0" w:type="dxa"/>
            <w:vAlign w:val="bottom"/>
          </w:tcPr>
          <w:p>
            <w:pPr>
              <w:spacing w:after="0"/>
              <w:rPr>
                <w:sz w:val="1"/>
                <w:szCs w:val="1"/>
                <w:color w:val="auto"/>
              </w:rPr>
            </w:pPr>
          </w:p>
        </w:tc>
      </w:tr>
      <w:tr>
        <w:trPr>
          <w:trHeight w:val="119"/>
        </w:trPr>
        <w:tc>
          <w:tcPr>
            <w:tcW w:w="2300" w:type="dxa"/>
            <w:vAlign w:val="bottom"/>
            <w:gridSpan w:val="2"/>
            <w:shd w:val="clear" w:color="auto" w:fill="CCEEFF"/>
          </w:tcPr>
          <w:p>
            <w:pPr>
              <w:ind w:left="20"/>
              <w:spacing w:after="0" w:line="119" w:lineRule="exact"/>
              <w:rPr>
                <w:sz w:val="20"/>
                <w:szCs w:val="20"/>
                <w:color w:val="auto"/>
              </w:rPr>
            </w:pPr>
            <w:r>
              <w:rPr>
                <w:rFonts w:ascii="Arial" w:cs="Arial" w:eastAsia="Arial" w:hAnsi="Arial"/>
                <w:sz w:val="11"/>
                <w:szCs w:val="11"/>
                <w:color w:val="auto"/>
              </w:rPr>
              <w:t>amendments</w:t>
            </w:r>
          </w:p>
        </w:tc>
        <w:tc>
          <w:tcPr>
            <w:tcW w:w="3800" w:type="dxa"/>
            <w:vAlign w:val="bottom"/>
            <w:gridSpan w:val="2"/>
            <w:shd w:val="clear" w:color="auto" w:fill="CCEEFF"/>
          </w:tcPr>
          <w:p>
            <w:pPr>
              <w:ind w:left="20"/>
              <w:spacing w:after="0" w:line="119" w:lineRule="exact"/>
              <w:rPr>
                <w:sz w:val="20"/>
                <w:szCs w:val="20"/>
                <w:color w:val="auto"/>
              </w:rPr>
            </w:pPr>
            <w:r>
              <w:rPr>
                <w:rFonts w:ascii="Arial" w:cs="Arial" w:eastAsia="Arial" w:hAnsi="Arial"/>
                <w:sz w:val="11"/>
                <w:szCs w:val="11"/>
                <w:color w:val="auto"/>
              </w:rPr>
              <w:t>to recognize assets and liabilities for most leases and would change certain</w:t>
            </w:r>
          </w:p>
        </w:tc>
        <w:tc>
          <w:tcPr>
            <w:tcW w:w="1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660" w:type="dxa"/>
            <w:vAlign w:val="bottom"/>
            <w:shd w:val="clear" w:color="auto" w:fill="CCEEFF"/>
          </w:tcPr>
          <w:p>
            <w:pPr>
              <w:ind w:left="20"/>
              <w:spacing w:after="0" w:line="119" w:lineRule="exact"/>
              <w:rPr>
                <w:sz w:val="20"/>
                <w:szCs w:val="20"/>
                <w:color w:val="auto"/>
              </w:rPr>
            </w:pPr>
            <w:r>
              <w:rPr>
                <w:rFonts w:ascii="Arial" w:cs="Arial" w:eastAsia="Arial" w:hAnsi="Arial"/>
                <w:sz w:val="11"/>
                <w:szCs w:val="11"/>
                <w:color w:val="auto"/>
                <w:w w:val="99"/>
              </w:rPr>
              <w:t>lease liability on their statement of financial position with no material impact</w:t>
            </w:r>
          </w:p>
        </w:tc>
        <w:tc>
          <w:tcPr>
            <w:tcW w:w="0" w:type="dxa"/>
            <w:vAlign w:val="bottom"/>
          </w:tcPr>
          <w:p>
            <w:pPr>
              <w:spacing w:after="0"/>
              <w:rPr>
                <w:sz w:val="1"/>
                <w:szCs w:val="1"/>
                <w:color w:val="auto"/>
              </w:rPr>
            </w:pPr>
          </w:p>
        </w:tc>
      </w:tr>
      <w:tr>
        <w:trPr>
          <w:trHeight w:val="119"/>
        </w:trPr>
        <w:tc>
          <w:tcPr>
            <w:tcW w:w="21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800" w:type="dxa"/>
            <w:vAlign w:val="bottom"/>
            <w:gridSpan w:val="2"/>
            <w:shd w:val="clear" w:color="auto" w:fill="CCEEFF"/>
          </w:tcPr>
          <w:p>
            <w:pPr>
              <w:ind w:left="20"/>
              <w:spacing w:after="0" w:line="119" w:lineRule="exact"/>
              <w:rPr>
                <w:sz w:val="20"/>
                <w:szCs w:val="20"/>
                <w:color w:val="auto"/>
              </w:rPr>
            </w:pPr>
            <w:r>
              <w:rPr>
                <w:rFonts w:ascii="Arial" w:cs="Arial" w:eastAsia="Arial" w:hAnsi="Arial"/>
                <w:sz w:val="11"/>
                <w:szCs w:val="11"/>
                <w:color w:val="auto"/>
              </w:rPr>
              <w:t>aspects of lessor accounting.</w:t>
            </w:r>
          </w:p>
        </w:tc>
        <w:tc>
          <w:tcPr>
            <w:tcW w:w="1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660" w:type="dxa"/>
            <w:vAlign w:val="bottom"/>
            <w:shd w:val="clear" w:color="auto" w:fill="CCEEFF"/>
          </w:tcPr>
          <w:p>
            <w:pPr>
              <w:ind w:left="20"/>
              <w:spacing w:after="0" w:line="119" w:lineRule="exact"/>
              <w:rPr>
                <w:sz w:val="20"/>
                <w:szCs w:val="20"/>
                <w:color w:val="auto"/>
              </w:rPr>
            </w:pPr>
            <w:r>
              <w:rPr>
                <w:rFonts w:ascii="Arial" w:cs="Arial" w:eastAsia="Arial" w:hAnsi="Arial"/>
                <w:sz w:val="11"/>
                <w:szCs w:val="11"/>
                <w:color w:val="auto"/>
              </w:rPr>
              <w:t>on their results of operations and cash flows. See Note 19 for more</w:t>
            </w:r>
          </w:p>
        </w:tc>
        <w:tc>
          <w:tcPr>
            <w:tcW w:w="0" w:type="dxa"/>
            <w:vAlign w:val="bottom"/>
          </w:tcPr>
          <w:p>
            <w:pPr>
              <w:spacing w:after="0"/>
              <w:rPr>
                <w:sz w:val="1"/>
                <w:szCs w:val="1"/>
                <w:color w:val="auto"/>
              </w:rPr>
            </w:pPr>
          </w:p>
        </w:tc>
      </w:tr>
      <w:tr>
        <w:trPr>
          <w:trHeight w:val="155"/>
        </w:trPr>
        <w:tc>
          <w:tcPr>
            <w:tcW w:w="2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0" w:type="dxa"/>
            <w:vAlign w:val="bottom"/>
            <w:gridSpan w:val="2"/>
            <w:shd w:val="clear" w:color="auto" w:fill="CCEEFF"/>
          </w:tcPr>
          <w:p>
            <w:pPr>
              <w:ind w:left="20"/>
              <w:spacing w:after="0"/>
              <w:rPr>
                <w:sz w:val="20"/>
                <w:szCs w:val="20"/>
                <w:color w:val="auto"/>
              </w:rPr>
            </w:pPr>
            <w:r>
              <w:rPr>
                <w:rFonts w:ascii="Arial" w:cs="Arial" w:eastAsia="Arial" w:hAnsi="Arial"/>
                <w:sz w:val="11"/>
                <w:szCs w:val="11"/>
                <w:b w:val="1"/>
                <w:bCs w:val="1"/>
                <w:i w:val="1"/>
                <w:iCs w:val="1"/>
                <w:color w:val="auto"/>
              </w:rPr>
              <w:t xml:space="preserve">Transition method: </w:t>
            </w:r>
            <w:r>
              <w:rPr>
                <w:rFonts w:ascii="Arial" w:cs="Arial" w:eastAsia="Arial" w:hAnsi="Arial"/>
                <w:sz w:val="11"/>
                <w:szCs w:val="11"/>
                <w:color w:val="auto"/>
              </w:rPr>
              <w:t>modified retrospective</w:t>
            </w:r>
          </w:p>
        </w:tc>
        <w:tc>
          <w:tcPr>
            <w:tcW w:w="1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660" w:type="dxa"/>
            <w:vAlign w:val="bottom"/>
            <w:shd w:val="clear" w:color="auto" w:fill="CCEEFF"/>
          </w:tcPr>
          <w:p>
            <w:pPr>
              <w:ind w:left="20"/>
              <w:spacing w:after="0"/>
              <w:rPr>
                <w:sz w:val="20"/>
                <w:szCs w:val="20"/>
                <w:color w:val="auto"/>
              </w:rPr>
            </w:pPr>
            <w:r>
              <w:rPr>
                <w:rFonts w:ascii="Arial" w:cs="Arial" w:eastAsia="Arial" w:hAnsi="Arial"/>
                <w:sz w:val="11"/>
                <w:szCs w:val="11"/>
                <w:color w:val="auto"/>
              </w:rPr>
              <w:t>information.</w:t>
            </w:r>
          </w:p>
        </w:tc>
        <w:tc>
          <w:tcPr>
            <w:tcW w:w="0" w:type="dxa"/>
            <w:vAlign w:val="bottom"/>
          </w:tcPr>
          <w:p>
            <w:pPr>
              <w:spacing w:after="0"/>
              <w:rPr>
                <w:sz w:val="1"/>
                <w:szCs w:val="1"/>
                <w:color w:val="auto"/>
              </w:rPr>
            </w:pPr>
          </w:p>
        </w:tc>
      </w:tr>
    </w:tbl>
    <w:p>
      <w:pPr>
        <w:spacing w:after="0" w:line="119" w:lineRule="exact"/>
        <w:rPr>
          <w:sz w:val="20"/>
          <w:szCs w:val="20"/>
          <w:color w:val="auto"/>
        </w:rPr>
      </w:pPr>
    </w:p>
    <w:p>
      <w:pPr>
        <w:ind w:left="60"/>
        <w:spacing w:after="0"/>
        <w:rPr>
          <w:sz w:val="20"/>
          <w:szCs w:val="20"/>
          <w:color w:val="auto"/>
        </w:rPr>
      </w:pPr>
      <w:r>
        <w:rPr>
          <w:rFonts w:ascii="Arial" w:cs="Arial" w:eastAsia="Arial" w:hAnsi="Arial"/>
          <w:sz w:val="14"/>
          <w:szCs w:val="14"/>
          <w:b w:val="1"/>
          <w:bCs w:val="1"/>
          <w:i w:val="1"/>
          <w:iCs w:val="1"/>
          <w:color w:val="auto"/>
        </w:rPr>
        <w:t>Issued, Not Yet Effective Accounting Standards</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134"/>
        </w:trPr>
        <w:tc>
          <w:tcPr>
            <w:tcW w:w="2060" w:type="dxa"/>
            <w:vAlign w:val="bottom"/>
            <w:tcBorders>
              <w:top w:val="single" w:sz="8" w:color="auto"/>
            </w:tcBorders>
            <w:vMerge w:val="restart"/>
          </w:tcPr>
          <w:p>
            <w:pPr>
              <w:ind w:left="440"/>
              <w:spacing w:after="0"/>
              <w:rPr>
                <w:sz w:val="20"/>
                <w:szCs w:val="20"/>
                <w:color w:val="auto"/>
              </w:rPr>
            </w:pPr>
            <w:r>
              <w:rPr>
                <w:rFonts w:ascii="Arial" w:cs="Arial" w:eastAsia="Arial" w:hAnsi="Arial"/>
                <w:sz w:val="11"/>
                <w:szCs w:val="11"/>
                <w:b w:val="1"/>
                <w:bCs w:val="1"/>
                <w:color w:val="auto"/>
              </w:rPr>
              <w:t>ASU Number and Name</w:t>
            </w:r>
          </w:p>
        </w:tc>
        <w:tc>
          <w:tcPr>
            <w:tcW w:w="120" w:type="dxa"/>
            <w:vAlign w:val="bottom"/>
            <w:tcBorders>
              <w:top w:val="single" w:sz="8" w:color="auto"/>
            </w:tcBorders>
            <w:vMerge w:val="restart"/>
          </w:tcPr>
          <w:p>
            <w:pPr>
              <w:spacing w:after="0"/>
              <w:rPr>
                <w:sz w:val="11"/>
                <w:szCs w:val="11"/>
                <w:color w:val="auto"/>
              </w:rPr>
            </w:pPr>
          </w:p>
        </w:tc>
        <w:tc>
          <w:tcPr>
            <w:tcW w:w="3640" w:type="dxa"/>
            <w:vAlign w:val="bottom"/>
            <w:tcBorders>
              <w:top w:val="single" w:sz="8" w:color="auto"/>
            </w:tcBorders>
            <w:vMerge w:val="restart"/>
          </w:tcPr>
          <w:p>
            <w:pPr>
              <w:ind w:left="1540"/>
              <w:spacing w:after="0"/>
              <w:rPr>
                <w:sz w:val="20"/>
                <w:szCs w:val="20"/>
                <w:color w:val="auto"/>
              </w:rPr>
            </w:pPr>
            <w:r>
              <w:rPr>
                <w:rFonts w:ascii="Arial" w:cs="Arial" w:eastAsia="Arial" w:hAnsi="Arial"/>
                <w:sz w:val="11"/>
                <w:szCs w:val="11"/>
                <w:b w:val="1"/>
                <w:bCs w:val="1"/>
                <w:color w:val="auto"/>
              </w:rPr>
              <w:t>Description</w:t>
            </w:r>
          </w:p>
        </w:tc>
        <w:tc>
          <w:tcPr>
            <w:tcW w:w="120" w:type="dxa"/>
            <w:vAlign w:val="bottom"/>
            <w:tcBorders>
              <w:top w:val="single" w:sz="8" w:color="auto"/>
            </w:tcBorders>
            <w:vMerge w:val="restart"/>
          </w:tcPr>
          <w:p>
            <w:pPr>
              <w:spacing w:after="0"/>
              <w:rPr>
                <w:sz w:val="11"/>
                <w:szCs w:val="11"/>
                <w:color w:val="auto"/>
              </w:rPr>
            </w:pPr>
          </w:p>
        </w:tc>
        <w:tc>
          <w:tcPr>
            <w:tcW w:w="1700" w:type="dxa"/>
            <w:vAlign w:val="bottom"/>
            <w:tcBorders>
              <w:top w:val="single" w:sz="8" w:color="auto"/>
            </w:tcBorders>
            <w:vMerge w:val="restart"/>
          </w:tcPr>
          <w:p>
            <w:pPr>
              <w:jc w:val="center"/>
              <w:spacing w:after="0"/>
              <w:rPr>
                <w:sz w:val="20"/>
                <w:szCs w:val="20"/>
                <w:color w:val="auto"/>
              </w:rPr>
            </w:pPr>
            <w:r>
              <w:rPr>
                <w:rFonts w:ascii="Arial" w:cs="Arial" w:eastAsia="Arial" w:hAnsi="Arial"/>
                <w:sz w:val="11"/>
                <w:szCs w:val="11"/>
                <w:b w:val="1"/>
                <w:bCs w:val="1"/>
                <w:color w:val="auto"/>
                <w:w w:val="96"/>
              </w:rPr>
              <w:t>Effective Date</w:t>
            </w:r>
          </w:p>
        </w:tc>
        <w:tc>
          <w:tcPr>
            <w:tcW w:w="120" w:type="dxa"/>
            <w:vAlign w:val="bottom"/>
            <w:tcBorders>
              <w:top w:val="single" w:sz="8" w:color="auto"/>
            </w:tcBorders>
            <w:vMerge w:val="restart"/>
          </w:tcPr>
          <w:p>
            <w:pPr>
              <w:spacing w:after="0"/>
              <w:rPr>
                <w:sz w:val="11"/>
                <w:szCs w:val="11"/>
                <w:color w:val="auto"/>
              </w:rPr>
            </w:pPr>
          </w:p>
        </w:tc>
        <w:tc>
          <w:tcPr>
            <w:tcW w:w="3620" w:type="dxa"/>
            <w:vAlign w:val="bottom"/>
            <w:tcBorders>
              <w:top w:val="single" w:sz="8" w:color="auto"/>
            </w:tcBorders>
          </w:tcPr>
          <w:p>
            <w:pPr>
              <w:ind w:left="1120"/>
              <w:spacing w:after="0"/>
              <w:rPr>
                <w:sz w:val="20"/>
                <w:szCs w:val="20"/>
                <w:color w:val="auto"/>
              </w:rPr>
            </w:pPr>
            <w:r>
              <w:rPr>
                <w:rFonts w:ascii="Arial" w:cs="Arial" w:eastAsia="Arial" w:hAnsi="Arial"/>
                <w:sz w:val="11"/>
                <w:szCs w:val="11"/>
                <w:b w:val="1"/>
                <w:bCs w:val="1"/>
                <w:color w:val="auto"/>
              </w:rPr>
              <w:t>Financial Statement Impact</w:t>
            </w:r>
          </w:p>
        </w:tc>
        <w:tc>
          <w:tcPr>
            <w:tcW w:w="0" w:type="dxa"/>
            <w:vAlign w:val="bottom"/>
          </w:tcPr>
          <w:p>
            <w:pPr>
              <w:spacing w:after="0"/>
              <w:rPr>
                <w:sz w:val="1"/>
                <w:szCs w:val="1"/>
                <w:color w:val="auto"/>
              </w:rPr>
            </w:pPr>
          </w:p>
        </w:tc>
      </w:tr>
      <w:tr>
        <w:trPr>
          <w:trHeight w:val="153"/>
        </w:trPr>
        <w:tc>
          <w:tcPr>
            <w:tcW w:w="2060" w:type="dxa"/>
            <w:vAlign w:val="bottom"/>
            <w:tcBorders>
              <w:bottom w:val="single" w:sz="8" w:color="auto"/>
            </w:tcBorders>
            <w:vMerge w:val="continue"/>
          </w:tcPr>
          <w:p>
            <w:pPr>
              <w:spacing w:after="0"/>
              <w:rPr>
                <w:sz w:val="13"/>
                <w:szCs w:val="13"/>
                <w:color w:val="auto"/>
              </w:rPr>
            </w:pPr>
          </w:p>
        </w:tc>
        <w:tc>
          <w:tcPr>
            <w:tcW w:w="120" w:type="dxa"/>
            <w:vAlign w:val="bottom"/>
            <w:tcBorders>
              <w:bottom w:val="single" w:sz="8" w:color="CCEEFF"/>
            </w:tcBorders>
            <w:vMerge w:val="continue"/>
          </w:tcPr>
          <w:p>
            <w:pPr>
              <w:spacing w:after="0"/>
              <w:rPr>
                <w:sz w:val="13"/>
                <w:szCs w:val="13"/>
                <w:color w:val="auto"/>
              </w:rPr>
            </w:pPr>
          </w:p>
        </w:tc>
        <w:tc>
          <w:tcPr>
            <w:tcW w:w="3640" w:type="dxa"/>
            <w:vAlign w:val="bottom"/>
            <w:tcBorders>
              <w:bottom w:val="single" w:sz="8" w:color="auto"/>
            </w:tcBorders>
            <w:vMerge w:val="continue"/>
          </w:tcPr>
          <w:p>
            <w:pPr>
              <w:spacing w:after="0"/>
              <w:rPr>
                <w:sz w:val="13"/>
                <w:szCs w:val="13"/>
                <w:color w:val="auto"/>
              </w:rPr>
            </w:pPr>
          </w:p>
        </w:tc>
        <w:tc>
          <w:tcPr>
            <w:tcW w:w="120" w:type="dxa"/>
            <w:vAlign w:val="bottom"/>
            <w:tcBorders>
              <w:bottom w:val="single" w:sz="8" w:color="CCEEFF"/>
            </w:tcBorders>
            <w:vMerge w:val="continue"/>
          </w:tcPr>
          <w:p>
            <w:pPr>
              <w:spacing w:after="0"/>
              <w:rPr>
                <w:sz w:val="13"/>
                <w:szCs w:val="13"/>
                <w:color w:val="auto"/>
              </w:rPr>
            </w:pPr>
          </w:p>
        </w:tc>
        <w:tc>
          <w:tcPr>
            <w:tcW w:w="1700" w:type="dxa"/>
            <w:vAlign w:val="bottom"/>
            <w:tcBorders>
              <w:bottom w:val="single" w:sz="8" w:color="auto"/>
            </w:tcBorders>
            <w:vMerge w:val="continue"/>
          </w:tcPr>
          <w:p>
            <w:pPr>
              <w:spacing w:after="0"/>
              <w:rPr>
                <w:sz w:val="13"/>
                <w:szCs w:val="13"/>
                <w:color w:val="auto"/>
              </w:rPr>
            </w:pPr>
          </w:p>
        </w:tc>
        <w:tc>
          <w:tcPr>
            <w:tcW w:w="120" w:type="dxa"/>
            <w:vAlign w:val="bottom"/>
            <w:tcBorders>
              <w:bottom w:val="single" w:sz="8" w:color="CCEEFF"/>
            </w:tcBorders>
            <w:vMerge w:val="continue"/>
          </w:tcPr>
          <w:p>
            <w:pPr>
              <w:spacing w:after="0"/>
              <w:rPr>
                <w:sz w:val="13"/>
                <w:szCs w:val="13"/>
                <w:color w:val="auto"/>
              </w:rPr>
            </w:pPr>
          </w:p>
        </w:tc>
        <w:tc>
          <w:tcPr>
            <w:tcW w:w="3620" w:type="dxa"/>
            <w:vAlign w:val="bottom"/>
            <w:tcBorders>
              <w:bottom w:val="single" w:sz="8" w:color="auto"/>
            </w:tcBorders>
          </w:tcPr>
          <w:p>
            <w:pPr>
              <w:ind w:left="1440"/>
              <w:spacing w:after="0"/>
              <w:rPr>
                <w:sz w:val="20"/>
                <w:szCs w:val="20"/>
                <w:color w:val="auto"/>
              </w:rPr>
            </w:pPr>
            <w:r>
              <w:rPr>
                <w:rFonts w:ascii="Arial" w:cs="Arial" w:eastAsia="Arial" w:hAnsi="Arial"/>
                <w:sz w:val="11"/>
                <w:szCs w:val="11"/>
                <w:b w:val="1"/>
                <w:bCs w:val="1"/>
                <w:color w:val="auto"/>
              </w:rPr>
              <w:t>upon Adoption</w:t>
            </w:r>
          </w:p>
        </w:tc>
        <w:tc>
          <w:tcPr>
            <w:tcW w:w="0" w:type="dxa"/>
            <w:vAlign w:val="bottom"/>
          </w:tcPr>
          <w:p>
            <w:pPr>
              <w:spacing w:after="0"/>
              <w:rPr>
                <w:sz w:val="1"/>
                <w:szCs w:val="1"/>
                <w:color w:val="auto"/>
              </w:rPr>
            </w:pPr>
          </w:p>
        </w:tc>
      </w:tr>
      <w:tr>
        <w:trPr>
          <w:trHeight w:val="135"/>
        </w:trPr>
        <w:tc>
          <w:tcPr>
            <w:tcW w:w="218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ASU 2016-13- Financial Instruments-</w:t>
            </w:r>
          </w:p>
        </w:tc>
        <w:tc>
          <w:tcPr>
            <w:tcW w:w="376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This standard, including standards amending this standard, requires a new</w:t>
            </w:r>
          </w:p>
        </w:tc>
        <w:tc>
          <w:tcPr>
            <w:tcW w:w="1820" w:type="dxa"/>
            <w:vAlign w:val="bottom"/>
            <w:gridSpan w:val="2"/>
            <w:shd w:val="clear" w:color="auto" w:fill="CCEEFF"/>
          </w:tcPr>
          <w:p>
            <w:pPr>
              <w:jc w:val="center"/>
              <w:ind w:right="120"/>
              <w:spacing w:after="0"/>
              <w:rPr>
                <w:sz w:val="20"/>
                <w:szCs w:val="20"/>
                <w:color w:val="auto"/>
              </w:rPr>
            </w:pPr>
            <w:r>
              <w:rPr>
                <w:rFonts w:ascii="Arial" w:cs="Arial" w:eastAsia="Arial" w:hAnsi="Arial"/>
                <w:sz w:val="11"/>
                <w:szCs w:val="11"/>
                <w:color w:val="auto"/>
                <w:w w:val="93"/>
              </w:rPr>
              <w:t>January 1, 2020</w:t>
            </w:r>
          </w:p>
        </w:tc>
        <w:tc>
          <w:tcPr>
            <w:tcW w:w="3620" w:type="dxa"/>
            <w:vAlign w:val="bottom"/>
            <w:shd w:val="clear" w:color="auto" w:fill="CCEEFF"/>
          </w:tcPr>
          <w:p>
            <w:pPr>
              <w:ind w:left="20"/>
              <w:spacing w:after="0"/>
              <w:rPr>
                <w:sz w:val="20"/>
                <w:szCs w:val="20"/>
                <w:color w:val="auto"/>
              </w:rPr>
            </w:pPr>
            <w:r>
              <w:rPr>
                <w:rFonts w:ascii="Arial" w:cs="Arial" w:eastAsia="Arial" w:hAnsi="Arial"/>
                <w:sz w:val="11"/>
                <w:szCs w:val="11"/>
                <w:color w:val="auto"/>
              </w:rPr>
              <w:t>The adoption of this standard may result in an adjustment to the carrying</w:t>
            </w:r>
          </w:p>
        </w:tc>
        <w:tc>
          <w:tcPr>
            <w:tcW w:w="0" w:type="dxa"/>
            <w:vAlign w:val="bottom"/>
          </w:tcPr>
          <w:p>
            <w:pPr>
              <w:spacing w:after="0"/>
              <w:rPr>
                <w:sz w:val="1"/>
                <w:szCs w:val="1"/>
                <w:color w:val="auto"/>
              </w:rPr>
            </w:pPr>
          </w:p>
        </w:tc>
      </w:tr>
      <w:tr>
        <w:trPr>
          <w:trHeight w:val="103"/>
        </w:trPr>
        <w:tc>
          <w:tcPr>
            <w:tcW w:w="2180" w:type="dxa"/>
            <w:vAlign w:val="bottom"/>
            <w:gridSpan w:val="2"/>
            <w:shd w:val="clear" w:color="auto" w:fill="CCEEFF"/>
          </w:tcPr>
          <w:p>
            <w:pPr>
              <w:ind w:left="20"/>
              <w:spacing w:after="0" w:line="103" w:lineRule="exact"/>
              <w:rPr>
                <w:sz w:val="20"/>
                <w:szCs w:val="20"/>
                <w:color w:val="auto"/>
              </w:rPr>
            </w:pPr>
            <w:r>
              <w:rPr>
                <w:rFonts w:ascii="Arial" w:cs="Arial" w:eastAsia="Arial" w:hAnsi="Arial"/>
                <w:sz w:val="11"/>
                <w:szCs w:val="11"/>
                <w:color w:val="auto"/>
              </w:rPr>
              <w:t>Credit Losses (Topic 326): Measurement of</w:t>
            </w:r>
          </w:p>
        </w:tc>
        <w:tc>
          <w:tcPr>
            <w:tcW w:w="3760" w:type="dxa"/>
            <w:vAlign w:val="bottom"/>
            <w:gridSpan w:val="2"/>
            <w:shd w:val="clear" w:color="auto" w:fill="CCEEFF"/>
          </w:tcPr>
          <w:p>
            <w:pPr>
              <w:ind w:left="20"/>
              <w:spacing w:after="0" w:line="103" w:lineRule="exact"/>
              <w:rPr>
                <w:sz w:val="20"/>
                <w:szCs w:val="20"/>
                <w:color w:val="auto"/>
              </w:rPr>
            </w:pPr>
            <w:r>
              <w:rPr>
                <w:rFonts w:ascii="Arial" w:cs="Arial" w:eastAsia="Arial" w:hAnsi="Arial"/>
                <w:sz w:val="11"/>
                <w:szCs w:val="11"/>
                <w:color w:val="auto"/>
                <w:w w:val="98"/>
              </w:rPr>
              <w:t>model called CECL to estimate credit losses for (1) financial assets subject to</w:t>
            </w:r>
          </w:p>
        </w:tc>
        <w:tc>
          <w:tcPr>
            <w:tcW w:w="182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1"/>
                <w:szCs w:val="11"/>
                <w:color w:val="auto"/>
                <w:w w:val="96"/>
              </w:rPr>
              <w:t>Early adoption is permitted</w:t>
            </w:r>
          </w:p>
        </w:tc>
        <w:tc>
          <w:tcPr>
            <w:tcW w:w="3620" w:type="dxa"/>
            <w:vAlign w:val="bottom"/>
            <w:shd w:val="clear" w:color="auto" w:fill="CCEEFF"/>
          </w:tcPr>
          <w:p>
            <w:pPr>
              <w:ind w:left="20"/>
              <w:spacing w:after="0" w:line="103" w:lineRule="exact"/>
              <w:rPr>
                <w:sz w:val="20"/>
                <w:szCs w:val="20"/>
                <w:color w:val="auto"/>
              </w:rPr>
            </w:pPr>
            <w:r>
              <w:rPr>
                <w:rFonts w:ascii="Arial" w:cs="Arial" w:eastAsia="Arial" w:hAnsi="Arial"/>
                <w:sz w:val="11"/>
                <w:szCs w:val="11"/>
                <w:color w:val="auto"/>
              </w:rPr>
              <w:t>value of the Registrants’ accounts receivable. The Registrants do not</w:t>
            </w:r>
          </w:p>
        </w:tc>
        <w:tc>
          <w:tcPr>
            <w:tcW w:w="0" w:type="dxa"/>
            <w:vAlign w:val="bottom"/>
          </w:tcPr>
          <w:p>
            <w:pPr>
              <w:spacing w:after="0"/>
              <w:rPr>
                <w:sz w:val="1"/>
                <w:szCs w:val="1"/>
                <w:color w:val="auto"/>
              </w:rPr>
            </w:pPr>
          </w:p>
        </w:tc>
      </w:tr>
      <w:tr>
        <w:trPr>
          <w:trHeight w:val="92"/>
        </w:trPr>
        <w:tc>
          <w:tcPr>
            <w:tcW w:w="2180" w:type="dxa"/>
            <w:vAlign w:val="bottom"/>
            <w:gridSpan w:val="2"/>
            <w:vMerge w:val="restart"/>
            <w:shd w:val="clear" w:color="auto" w:fill="CCEEFF"/>
          </w:tcPr>
          <w:p>
            <w:pPr>
              <w:ind w:left="20"/>
              <w:spacing w:after="0" w:line="119" w:lineRule="exact"/>
              <w:rPr>
                <w:sz w:val="20"/>
                <w:szCs w:val="20"/>
                <w:color w:val="auto"/>
              </w:rPr>
            </w:pPr>
            <w:r>
              <w:rPr>
                <w:rFonts w:ascii="Arial" w:cs="Arial" w:eastAsia="Arial" w:hAnsi="Arial"/>
                <w:sz w:val="11"/>
                <w:szCs w:val="11"/>
                <w:color w:val="auto"/>
              </w:rPr>
              <w:t>Credit Losses on Financial Instruments</w:t>
            </w:r>
          </w:p>
        </w:tc>
        <w:tc>
          <w:tcPr>
            <w:tcW w:w="3760" w:type="dxa"/>
            <w:vAlign w:val="bottom"/>
            <w:gridSpan w:val="2"/>
            <w:vMerge w:val="restart"/>
            <w:shd w:val="clear" w:color="auto" w:fill="CCEEFF"/>
          </w:tcPr>
          <w:p>
            <w:pPr>
              <w:ind w:left="20"/>
              <w:spacing w:after="0" w:line="119" w:lineRule="exact"/>
              <w:rPr>
                <w:sz w:val="20"/>
                <w:szCs w:val="20"/>
                <w:color w:val="auto"/>
              </w:rPr>
            </w:pPr>
            <w:r>
              <w:rPr>
                <w:rFonts w:ascii="Arial" w:cs="Arial" w:eastAsia="Arial" w:hAnsi="Arial"/>
                <w:sz w:val="11"/>
                <w:szCs w:val="11"/>
                <w:color w:val="auto"/>
                <w:w w:val="97"/>
              </w:rPr>
              <w:t>credit losses and measured at amortized cost and (2) certain off-balance sheet</w:t>
            </w:r>
          </w:p>
        </w:tc>
        <w:tc>
          <w:tcPr>
            <w:tcW w:w="1820" w:type="dxa"/>
            <w:vAlign w:val="bottom"/>
            <w:gridSpan w:val="2"/>
            <w:vMerge w:val="continue"/>
            <w:shd w:val="clear" w:color="auto" w:fill="CCEEFF"/>
          </w:tcPr>
          <w:p>
            <w:pPr>
              <w:spacing w:after="0"/>
              <w:rPr>
                <w:sz w:val="8"/>
                <w:szCs w:val="8"/>
                <w:color w:val="auto"/>
              </w:rPr>
            </w:pPr>
          </w:p>
        </w:tc>
        <w:tc>
          <w:tcPr>
            <w:tcW w:w="3620" w:type="dxa"/>
            <w:vAlign w:val="bottom"/>
            <w:vMerge w:val="restart"/>
            <w:shd w:val="clear" w:color="auto" w:fill="CCEEFF"/>
          </w:tcPr>
          <w:p>
            <w:pPr>
              <w:ind w:left="20"/>
              <w:spacing w:after="0" w:line="119" w:lineRule="exact"/>
              <w:rPr>
                <w:sz w:val="20"/>
                <w:szCs w:val="20"/>
                <w:color w:val="auto"/>
              </w:rPr>
            </w:pPr>
            <w:r>
              <w:rPr>
                <w:rFonts w:ascii="Arial" w:cs="Arial" w:eastAsia="Arial" w:hAnsi="Arial"/>
                <w:sz w:val="11"/>
                <w:szCs w:val="11"/>
                <w:color w:val="auto"/>
              </w:rPr>
              <w:t>anticipate the adoption of this standard will have a material impact on the</w:t>
            </w:r>
          </w:p>
        </w:tc>
        <w:tc>
          <w:tcPr>
            <w:tcW w:w="0" w:type="dxa"/>
            <w:vAlign w:val="bottom"/>
          </w:tcPr>
          <w:p>
            <w:pPr>
              <w:spacing w:after="0"/>
              <w:rPr>
                <w:sz w:val="1"/>
                <w:szCs w:val="1"/>
                <w:color w:val="auto"/>
              </w:rPr>
            </w:pPr>
          </w:p>
        </w:tc>
      </w:tr>
      <w:tr>
        <w:trPr>
          <w:trHeight w:val="26"/>
        </w:trPr>
        <w:tc>
          <w:tcPr>
            <w:tcW w:w="2180" w:type="dxa"/>
            <w:vAlign w:val="bottom"/>
            <w:gridSpan w:val="2"/>
            <w:vMerge w:val="continue"/>
            <w:shd w:val="clear" w:color="auto" w:fill="CCEEFF"/>
          </w:tcPr>
          <w:p>
            <w:pPr>
              <w:spacing w:after="0"/>
              <w:rPr>
                <w:sz w:val="2"/>
                <w:szCs w:val="2"/>
                <w:color w:val="auto"/>
              </w:rPr>
            </w:pPr>
          </w:p>
        </w:tc>
        <w:tc>
          <w:tcPr>
            <w:tcW w:w="3760" w:type="dxa"/>
            <w:vAlign w:val="bottom"/>
            <w:gridSpan w:val="2"/>
            <w:vMerge w:val="continue"/>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20" w:type="dxa"/>
            <w:vAlign w:val="bottom"/>
            <w:vMerge w:val="continue"/>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9"/>
        </w:trPr>
        <w:tc>
          <w:tcPr>
            <w:tcW w:w="20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760" w:type="dxa"/>
            <w:vAlign w:val="bottom"/>
            <w:gridSpan w:val="2"/>
            <w:shd w:val="clear" w:color="auto" w:fill="CCEEFF"/>
          </w:tcPr>
          <w:p>
            <w:pPr>
              <w:ind w:left="20"/>
              <w:spacing w:after="0" w:line="119" w:lineRule="exact"/>
              <w:rPr>
                <w:sz w:val="20"/>
                <w:szCs w:val="20"/>
                <w:color w:val="auto"/>
              </w:rPr>
            </w:pPr>
            <w:r>
              <w:rPr>
                <w:rFonts w:ascii="Arial" w:cs="Arial" w:eastAsia="Arial" w:hAnsi="Arial"/>
                <w:sz w:val="11"/>
                <w:szCs w:val="11"/>
                <w:color w:val="auto"/>
              </w:rPr>
              <w:t>credit exposures. Upon initial recognition of the exposure, the CECL model</w:t>
            </w:r>
          </w:p>
        </w:tc>
        <w:tc>
          <w:tcPr>
            <w:tcW w:w="1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620" w:type="dxa"/>
            <w:vAlign w:val="bottom"/>
            <w:shd w:val="clear" w:color="auto" w:fill="CCEEFF"/>
          </w:tcPr>
          <w:p>
            <w:pPr>
              <w:ind w:left="20"/>
              <w:spacing w:after="0" w:line="119" w:lineRule="exact"/>
              <w:rPr>
                <w:sz w:val="20"/>
                <w:szCs w:val="20"/>
                <w:color w:val="auto"/>
              </w:rPr>
            </w:pPr>
            <w:r>
              <w:rPr>
                <w:rFonts w:ascii="Arial" w:cs="Arial" w:eastAsia="Arial" w:hAnsi="Arial"/>
                <w:sz w:val="11"/>
                <w:szCs w:val="11"/>
                <w:color w:val="auto"/>
              </w:rPr>
              <w:t>Registrants’ financial position, results of operations or cash flows.</w:t>
            </w:r>
          </w:p>
        </w:tc>
        <w:tc>
          <w:tcPr>
            <w:tcW w:w="0" w:type="dxa"/>
            <w:vAlign w:val="bottom"/>
          </w:tcPr>
          <w:p>
            <w:pPr>
              <w:spacing w:after="0"/>
              <w:rPr>
                <w:sz w:val="1"/>
                <w:szCs w:val="1"/>
                <w:color w:val="auto"/>
              </w:rPr>
            </w:pPr>
          </w:p>
        </w:tc>
      </w:tr>
      <w:tr>
        <w:trPr>
          <w:trHeight w:val="119"/>
        </w:trPr>
        <w:tc>
          <w:tcPr>
            <w:tcW w:w="20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760" w:type="dxa"/>
            <w:vAlign w:val="bottom"/>
            <w:gridSpan w:val="2"/>
            <w:shd w:val="clear" w:color="auto" w:fill="CCEEFF"/>
          </w:tcPr>
          <w:p>
            <w:pPr>
              <w:ind w:left="20"/>
              <w:spacing w:after="0" w:line="119" w:lineRule="exact"/>
              <w:rPr>
                <w:sz w:val="20"/>
                <w:szCs w:val="20"/>
                <w:color w:val="auto"/>
              </w:rPr>
            </w:pPr>
            <w:r>
              <w:rPr>
                <w:rFonts w:ascii="Arial" w:cs="Arial" w:eastAsia="Arial" w:hAnsi="Arial"/>
                <w:sz w:val="11"/>
                <w:szCs w:val="11"/>
                <w:color w:val="auto"/>
              </w:rPr>
              <w:t>requires an entity to estimate the credit losses expected over the life of an</w:t>
            </w:r>
          </w:p>
        </w:tc>
        <w:tc>
          <w:tcPr>
            <w:tcW w:w="1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6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20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760" w:type="dxa"/>
            <w:vAlign w:val="bottom"/>
            <w:gridSpan w:val="2"/>
            <w:shd w:val="clear" w:color="auto" w:fill="CCEEFF"/>
          </w:tcPr>
          <w:p>
            <w:pPr>
              <w:ind w:left="20"/>
              <w:spacing w:after="0" w:line="119" w:lineRule="exact"/>
              <w:rPr>
                <w:sz w:val="20"/>
                <w:szCs w:val="20"/>
                <w:color w:val="auto"/>
              </w:rPr>
            </w:pPr>
            <w:r>
              <w:rPr>
                <w:rFonts w:ascii="Arial" w:cs="Arial" w:eastAsia="Arial" w:hAnsi="Arial"/>
                <w:sz w:val="11"/>
                <w:szCs w:val="11"/>
                <w:color w:val="auto"/>
                <w:w w:val="99"/>
              </w:rPr>
              <w:t>exposure based on historical information, current information and reasonable</w:t>
            </w:r>
          </w:p>
        </w:tc>
        <w:tc>
          <w:tcPr>
            <w:tcW w:w="1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6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20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760" w:type="dxa"/>
            <w:vAlign w:val="bottom"/>
            <w:gridSpan w:val="2"/>
            <w:shd w:val="clear" w:color="auto" w:fill="CCEEFF"/>
          </w:tcPr>
          <w:p>
            <w:pPr>
              <w:ind w:left="20"/>
              <w:spacing w:after="0" w:line="119" w:lineRule="exact"/>
              <w:rPr>
                <w:sz w:val="20"/>
                <w:szCs w:val="20"/>
                <w:color w:val="auto"/>
              </w:rPr>
            </w:pPr>
            <w:r>
              <w:rPr>
                <w:rFonts w:ascii="Arial" w:cs="Arial" w:eastAsia="Arial" w:hAnsi="Arial"/>
                <w:sz w:val="11"/>
                <w:szCs w:val="11"/>
                <w:color w:val="auto"/>
              </w:rPr>
              <w:t>and supportable forecasts, including estimates of prepayments.</w:t>
            </w:r>
          </w:p>
        </w:tc>
        <w:tc>
          <w:tcPr>
            <w:tcW w:w="1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6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0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760" w:type="dxa"/>
            <w:vAlign w:val="bottom"/>
            <w:gridSpan w:val="2"/>
            <w:shd w:val="clear" w:color="auto" w:fill="CCEEFF"/>
          </w:tcPr>
          <w:p>
            <w:pPr>
              <w:ind w:left="20"/>
              <w:spacing w:after="0"/>
              <w:rPr>
                <w:sz w:val="20"/>
                <w:szCs w:val="20"/>
                <w:color w:val="auto"/>
              </w:rPr>
            </w:pPr>
            <w:r>
              <w:rPr>
                <w:rFonts w:ascii="Arial" w:cs="Arial" w:eastAsia="Arial" w:hAnsi="Arial"/>
                <w:sz w:val="11"/>
                <w:szCs w:val="11"/>
                <w:b w:val="1"/>
                <w:bCs w:val="1"/>
                <w:i w:val="1"/>
                <w:iCs w:val="1"/>
                <w:color w:val="auto"/>
              </w:rPr>
              <w:t>Transition method</w:t>
            </w:r>
            <w:r>
              <w:rPr>
                <w:rFonts w:ascii="Arial" w:cs="Arial" w:eastAsia="Arial" w:hAnsi="Arial"/>
                <w:sz w:val="11"/>
                <w:szCs w:val="11"/>
                <w:i w:val="1"/>
                <w:iCs w:val="1"/>
                <w:color w:val="auto"/>
              </w:rPr>
              <w:t>:</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modified retrospective</w:t>
            </w:r>
          </w:p>
        </w:tc>
        <w:tc>
          <w:tcPr>
            <w:tcW w:w="1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6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460"/>
          </w:cols>
          <w:pgMar w:left="220" w:top="129" w:right="219" w:bottom="1440" w:gutter="0" w:footer="0" w:header="0"/>
        </w:sectPr>
      </w:pPr>
    </w:p>
    <w:p>
      <w:pPr>
        <w:spacing w:after="0" w:line="5" w:lineRule="exact"/>
        <w:rPr>
          <w:sz w:val="20"/>
          <w:szCs w:val="20"/>
          <w:color w:val="auto"/>
        </w:rPr>
      </w:pPr>
    </w:p>
    <w:p>
      <w:pPr>
        <w:ind w:left="60"/>
        <w:spacing w:after="0" w:line="269" w:lineRule="auto"/>
        <w:rPr>
          <w:sz w:val="20"/>
          <w:szCs w:val="20"/>
          <w:color w:val="auto"/>
        </w:rPr>
      </w:pPr>
      <w:r>
        <w:rPr>
          <w:rFonts w:ascii="Arial" w:cs="Arial" w:eastAsia="Arial" w:hAnsi="Arial"/>
          <w:sz w:val="10"/>
          <w:szCs w:val="10"/>
          <w:color w:val="auto"/>
        </w:rPr>
        <w:t>ASU 2018-13- Fair Value Measurement (Topic 820): Disclosure Framework-Changes to the Disclosure Requirements for Fair Value Measurement</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5"/>
        </w:trPr>
        <w:tc>
          <w:tcPr>
            <w:tcW w:w="3640" w:type="dxa"/>
            <w:vAlign w:val="bottom"/>
          </w:tcPr>
          <w:p>
            <w:pPr>
              <w:spacing w:after="0" w:line="125" w:lineRule="exact"/>
              <w:rPr>
                <w:sz w:val="20"/>
                <w:szCs w:val="20"/>
                <w:color w:val="auto"/>
              </w:rPr>
            </w:pPr>
            <w:r>
              <w:rPr>
                <w:rFonts w:ascii="Arial" w:cs="Arial" w:eastAsia="Arial" w:hAnsi="Arial"/>
                <w:sz w:val="11"/>
                <w:szCs w:val="11"/>
                <w:color w:val="auto"/>
                <w:w w:val="97"/>
              </w:rPr>
              <w:t>This standard eliminates, modifies and adds certain disclosure requirements</w:t>
            </w:r>
          </w:p>
        </w:tc>
        <w:tc>
          <w:tcPr>
            <w:tcW w:w="1840" w:type="dxa"/>
            <w:vAlign w:val="bottom"/>
          </w:tcPr>
          <w:p>
            <w:pPr>
              <w:jc w:val="center"/>
              <w:ind w:left="3"/>
              <w:spacing w:after="0" w:line="125" w:lineRule="exact"/>
              <w:rPr>
                <w:sz w:val="20"/>
                <w:szCs w:val="20"/>
                <w:color w:val="auto"/>
              </w:rPr>
            </w:pPr>
            <w:r>
              <w:rPr>
                <w:rFonts w:ascii="Arial" w:cs="Arial" w:eastAsia="Arial" w:hAnsi="Arial"/>
                <w:sz w:val="11"/>
                <w:szCs w:val="11"/>
                <w:color w:val="auto"/>
                <w:w w:val="96"/>
              </w:rPr>
              <w:t>Adoption of eliminations and</w:t>
            </w:r>
          </w:p>
        </w:tc>
        <w:tc>
          <w:tcPr>
            <w:tcW w:w="3540" w:type="dxa"/>
            <w:vAlign w:val="bottom"/>
          </w:tcPr>
          <w:p>
            <w:pPr>
              <w:ind w:left="100"/>
              <w:spacing w:after="0" w:line="125" w:lineRule="exact"/>
              <w:rPr>
                <w:sz w:val="20"/>
                <w:szCs w:val="20"/>
                <w:color w:val="auto"/>
              </w:rPr>
            </w:pPr>
            <w:r>
              <w:rPr>
                <w:rFonts w:ascii="Arial" w:cs="Arial" w:eastAsia="Arial" w:hAnsi="Arial"/>
                <w:sz w:val="11"/>
                <w:szCs w:val="11"/>
                <w:color w:val="auto"/>
              </w:rPr>
              <w:t>The adoption of this standard did not impact the Registrants’ financial</w:t>
            </w:r>
          </w:p>
        </w:tc>
      </w:tr>
      <w:tr>
        <w:trPr>
          <w:trHeight w:val="119"/>
        </w:trPr>
        <w:tc>
          <w:tcPr>
            <w:tcW w:w="3640" w:type="dxa"/>
            <w:vAlign w:val="bottom"/>
          </w:tcPr>
          <w:p>
            <w:pPr>
              <w:spacing w:after="0" w:line="119" w:lineRule="exact"/>
              <w:rPr>
                <w:sz w:val="20"/>
                <w:szCs w:val="20"/>
                <w:color w:val="auto"/>
              </w:rPr>
            </w:pPr>
            <w:r>
              <w:rPr>
                <w:rFonts w:ascii="Arial" w:cs="Arial" w:eastAsia="Arial" w:hAnsi="Arial"/>
                <w:sz w:val="11"/>
                <w:szCs w:val="11"/>
                <w:color w:val="auto"/>
              </w:rPr>
              <w:t>for fair value measurements.</w:t>
            </w:r>
          </w:p>
        </w:tc>
        <w:tc>
          <w:tcPr>
            <w:tcW w:w="1840" w:type="dxa"/>
            <w:vAlign w:val="bottom"/>
          </w:tcPr>
          <w:p>
            <w:pPr>
              <w:jc w:val="center"/>
              <w:ind w:left="3"/>
              <w:spacing w:after="0" w:line="119" w:lineRule="exact"/>
              <w:rPr>
                <w:sz w:val="20"/>
                <w:szCs w:val="20"/>
                <w:color w:val="auto"/>
              </w:rPr>
            </w:pPr>
            <w:r>
              <w:rPr>
                <w:rFonts w:ascii="Arial" w:cs="Arial" w:eastAsia="Arial" w:hAnsi="Arial"/>
                <w:sz w:val="11"/>
                <w:szCs w:val="11"/>
                <w:color w:val="auto"/>
                <w:w w:val="94"/>
              </w:rPr>
              <w:t>modifications as of September 30,</w:t>
            </w:r>
          </w:p>
        </w:tc>
        <w:tc>
          <w:tcPr>
            <w:tcW w:w="3540" w:type="dxa"/>
            <w:vAlign w:val="bottom"/>
          </w:tcPr>
          <w:p>
            <w:pPr>
              <w:ind w:left="100"/>
              <w:spacing w:after="0" w:line="119" w:lineRule="exact"/>
              <w:rPr>
                <w:sz w:val="20"/>
                <w:szCs w:val="20"/>
                <w:color w:val="auto"/>
              </w:rPr>
            </w:pPr>
            <w:r>
              <w:rPr>
                <w:rFonts w:ascii="Arial" w:cs="Arial" w:eastAsia="Arial" w:hAnsi="Arial"/>
                <w:sz w:val="11"/>
                <w:szCs w:val="11"/>
                <w:color w:val="auto"/>
                <w:w w:val="94"/>
              </w:rPr>
              <w:t>position, results of operations or cash flows. Note 8 reflects the disclosures</w:t>
            </w:r>
          </w:p>
        </w:tc>
      </w:tr>
      <w:tr>
        <w:trPr>
          <w:trHeight w:val="119"/>
        </w:trPr>
        <w:tc>
          <w:tcPr>
            <w:tcW w:w="3640" w:type="dxa"/>
            <w:vAlign w:val="bottom"/>
          </w:tcPr>
          <w:p>
            <w:pPr>
              <w:spacing w:after="0" w:line="119" w:lineRule="exact"/>
              <w:rPr>
                <w:sz w:val="20"/>
                <w:szCs w:val="20"/>
                <w:color w:val="auto"/>
              </w:rPr>
            </w:pPr>
            <w:r>
              <w:rPr>
                <w:rFonts w:ascii="Arial" w:cs="Arial" w:eastAsia="Arial" w:hAnsi="Arial"/>
                <w:sz w:val="11"/>
                <w:szCs w:val="11"/>
                <w:b w:val="1"/>
                <w:bCs w:val="1"/>
                <w:i w:val="1"/>
                <w:iCs w:val="1"/>
                <w:color w:val="auto"/>
              </w:rPr>
              <w:t>Transition method</w:t>
            </w:r>
            <w:r>
              <w:rPr>
                <w:rFonts w:ascii="Arial" w:cs="Arial" w:eastAsia="Arial" w:hAnsi="Arial"/>
                <w:sz w:val="11"/>
                <w:szCs w:val="11"/>
                <w:color w:val="auto"/>
              </w:rPr>
              <w:t>: prospective for additions and one modification and</w:t>
            </w:r>
          </w:p>
        </w:tc>
        <w:tc>
          <w:tcPr>
            <w:tcW w:w="1840" w:type="dxa"/>
            <w:vAlign w:val="bottom"/>
          </w:tcPr>
          <w:p>
            <w:pPr>
              <w:jc w:val="center"/>
              <w:ind w:left="23"/>
              <w:spacing w:after="0" w:line="119" w:lineRule="exact"/>
              <w:rPr>
                <w:sz w:val="20"/>
                <w:szCs w:val="20"/>
                <w:color w:val="auto"/>
              </w:rPr>
            </w:pPr>
            <w:r>
              <w:rPr>
                <w:rFonts w:ascii="Arial" w:cs="Arial" w:eastAsia="Arial" w:hAnsi="Arial"/>
                <w:sz w:val="11"/>
                <w:szCs w:val="11"/>
                <w:color w:val="auto"/>
                <w:w w:val="97"/>
              </w:rPr>
              <w:t>2018; Additions will be adopted</w:t>
            </w:r>
          </w:p>
        </w:tc>
        <w:tc>
          <w:tcPr>
            <w:tcW w:w="3540" w:type="dxa"/>
            <w:vAlign w:val="bottom"/>
          </w:tcPr>
          <w:p>
            <w:pPr>
              <w:ind w:left="100"/>
              <w:spacing w:after="0" w:line="119" w:lineRule="exact"/>
              <w:rPr>
                <w:sz w:val="20"/>
                <w:szCs w:val="20"/>
                <w:color w:val="auto"/>
              </w:rPr>
            </w:pPr>
            <w:r>
              <w:rPr>
                <w:rFonts w:ascii="Arial" w:cs="Arial" w:eastAsia="Arial" w:hAnsi="Arial"/>
                <w:sz w:val="11"/>
                <w:szCs w:val="11"/>
                <w:color w:val="auto"/>
              </w:rPr>
              <w:t>modified upon adoption.</w:t>
            </w:r>
          </w:p>
        </w:tc>
      </w:tr>
      <w:tr>
        <w:trPr>
          <w:trHeight w:val="146"/>
        </w:trPr>
        <w:tc>
          <w:tcPr>
            <w:tcW w:w="3640" w:type="dxa"/>
            <w:vAlign w:val="bottom"/>
          </w:tcPr>
          <w:p>
            <w:pPr>
              <w:spacing w:after="0"/>
              <w:rPr>
                <w:sz w:val="20"/>
                <w:szCs w:val="20"/>
                <w:color w:val="auto"/>
              </w:rPr>
            </w:pPr>
            <w:r>
              <w:rPr>
                <w:rFonts w:ascii="Arial" w:cs="Arial" w:eastAsia="Arial" w:hAnsi="Arial"/>
                <w:sz w:val="11"/>
                <w:szCs w:val="11"/>
                <w:color w:val="auto"/>
              </w:rPr>
              <w:t>retrospective for all other amendments</w:t>
            </w:r>
          </w:p>
        </w:tc>
        <w:tc>
          <w:tcPr>
            <w:tcW w:w="1840" w:type="dxa"/>
            <w:vAlign w:val="bottom"/>
          </w:tcPr>
          <w:p>
            <w:pPr>
              <w:jc w:val="center"/>
              <w:ind w:left="3"/>
              <w:spacing w:after="0"/>
              <w:rPr>
                <w:sz w:val="20"/>
                <w:szCs w:val="20"/>
                <w:color w:val="auto"/>
              </w:rPr>
            </w:pPr>
            <w:r>
              <w:rPr>
                <w:rFonts w:ascii="Arial" w:cs="Arial" w:eastAsia="Arial" w:hAnsi="Arial"/>
                <w:sz w:val="11"/>
                <w:szCs w:val="11"/>
                <w:color w:val="auto"/>
                <w:w w:val="93"/>
              </w:rPr>
              <w:t>January 1, 2020</w:t>
            </w:r>
          </w:p>
        </w:tc>
        <w:tc>
          <w:tcPr>
            <w:tcW w:w="3540" w:type="dxa"/>
            <w:vAlign w:val="bottom"/>
          </w:tcPr>
          <w:p>
            <w:pPr>
              <w:spacing w:after="0"/>
              <w:rPr>
                <w:sz w:val="12"/>
                <w:szCs w:val="12"/>
                <w:color w:val="auto"/>
              </w:rPr>
            </w:pPr>
          </w:p>
        </w:tc>
      </w:tr>
    </w:tbl>
    <w:p>
      <w:pPr>
        <w:spacing w:after="0" w:line="19" w:lineRule="exact"/>
        <w:rPr>
          <w:sz w:val="20"/>
          <w:szCs w:val="20"/>
          <w:color w:val="auto"/>
        </w:rPr>
      </w:pPr>
    </w:p>
    <w:p>
      <w:pPr>
        <w:sectPr>
          <w:pgSz w:w="11900" w:h="16838" w:orient="portrait"/>
          <w:cols w:equalWidth="0" w:num="2">
            <w:col w:w="1940" w:space="300"/>
            <w:col w:w="9220"/>
          </w:cols>
          <w:pgMar w:left="220" w:top="129" w:right="219" w:bottom="1440" w:gutter="0" w:footer="0" w:header="0"/>
          <w:type w:val="continuous"/>
        </w:sectPr>
      </w:pPr>
    </w:p>
    <w:tbl>
      <w:tblPr>
        <w:tblLayout w:type="fixed"/>
        <w:tblInd w:w="40" w:type="dxa"/>
        <w:tblCellMar>
          <w:top w:w="0" w:type="dxa"/>
          <w:left w:w="0" w:type="dxa"/>
          <w:bottom w:w="0" w:type="dxa"/>
          <w:right w:w="0" w:type="dxa"/>
        </w:tblCellMar>
      </w:tblPr>
      <w:tr>
        <w:trPr>
          <w:trHeight w:val="129"/>
        </w:trPr>
        <w:tc>
          <w:tcPr>
            <w:tcW w:w="2100" w:type="dxa"/>
            <w:vAlign w:val="bottom"/>
            <w:shd w:val="clear" w:color="auto" w:fill="CCEEFF"/>
          </w:tcPr>
          <w:p>
            <w:pPr>
              <w:ind w:left="20"/>
              <w:spacing w:after="0"/>
              <w:rPr>
                <w:sz w:val="20"/>
                <w:szCs w:val="20"/>
                <w:color w:val="auto"/>
              </w:rPr>
            </w:pPr>
            <w:r>
              <w:rPr>
                <w:rFonts w:ascii="Arial" w:cs="Arial" w:eastAsia="Arial" w:hAnsi="Arial"/>
                <w:sz w:val="11"/>
                <w:szCs w:val="11"/>
                <w:color w:val="auto"/>
              </w:rPr>
              <w:t>ASU 2018-15- Intangibles-Goodwill and</w:t>
            </w:r>
          </w:p>
        </w:tc>
        <w:tc>
          <w:tcPr>
            <w:tcW w:w="3840" w:type="dxa"/>
            <w:vAlign w:val="bottom"/>
            <w:shd w:val="clear" w:color="auto" w:fill="CCEEFF"/>
          </w:tcPr>
          <w:p>
            <w:pPr>
              <w:ind w:left="100"/>
              <w:spacing w:after="0"/>
              <w:rPr>
                <w:sz w:val="20"/>
                <w:szCs w:val="20"/>
                <w:color w:val="auto"/>
              </w:rPr>
            </w:pPr>
            <w:r>
              <w:rPr>
                <w:rFonts w:ascii="Arial" w:cs="Arial" w:eastAsia="Arial" w:hAnsi="Arial"/>
                <w:sz w:val="11"/>
                <w:szCs w:val="11"/>
                <w:color w:val="auto"/>
              </w:rPr>
              <w:t>This standard aligns accounting for implementation costs incurred in a cloud</w:t>
            </w:r>
          </w:p>
        </w:tc>
        <w:tc>
          <w:tcPr>
            <w:tcW w:w="166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93"/>
              </w:rPr>
              <w:t>January 1, 2020</w:t>
            </w:r>
          </w:p>
        </w:tc>
        <w:tc>
          <w:tcPr>
            <w:tcW w:w="3780" w:type="dxa"/>
            <w:vAlign w:val="bottom"/>
            <w:shd w:val="clear" w:color="auto" w:fill="CCEEFF"/>
          </w:tcPr>
          <w:p>
            <w:pPr>
              <w:ind w:left="180"/>
              <w:spacing w:after="0"/>
              <w:rPr>
                <w:sz w:val="20"/>
                <w:szCs w:val="20"/>
                <w:color w:val="auto"/>
              </w:rPr>
            </w:pPr>
            <w:r>
              <w:rPr>
                <w:rFonts w:ascii="Arial" w:cs="Arial" w:eastAsia="Arial" w:hAnsi="Arial"/>
                <w:sz w:val="11"/>
                <w:szCs w:val="11"/>
                <w:color w:val="auto"/>
                <w:w w:val="96"/>
              </w:rPr>
              <w:t>The adoption of this standard will require the Registrants to capitalize certain</w:t>
            </w:r>
          </w:p>
        </w:tc>
        <w:tc>
          <w:tcPr>
            <w:tcW w:w="0" w:type="dxa"/>
            <w:vAlign w:val="bottom"/>
          </w:tcPr>
          <w:p>
            <w:pPr>
              <w:spacing w:after="0"/>
              <w:rPr>
                <w:sz w:val="1"/>
                <w:szCs w:val="1"/>
                <w:color w:val="auto"/>
              </w:rPr>
            </w:pPr>
          </w:p>
        </w:tc>
      </w:tr>
      <w:tr>
        <w:trPr>
          <w:trHeight w:val="103"/>
        </w:trPr>
        <w:tc>
          <w:tcPr>
            <w:tcW w:w="2100" w:type="dxa"/>
            <w:vAlign w:val="bottom"/>
            <w:shd w:val="clear" w:color="auto" w:fill="CCEEFF"/>
          </w:tcPr>
          <w:p>
            <w:pPr>
              <w:ind w:left="20"/>
              <w:spacing w:after="0" w:line="103" w:lineRule="exact"/>
              <w:rPr>
                <w:sz w:val="20"/>
                <w:szCs w:val="20"/>
                <w:color w:val="auto"/>
              </w:rPr>
            </w:pPr>
            <w:r>
              <w:rPr>
                <w:rFonts w:ascii="Arial" w:cs="Arial" w:eastAsia="Arial" w:hAnsi="Arial"/>
                <w:sz w:val="11"/>
                <w:szCs w:val="11"/>
                <w:color w:val="auto"/>
              </w:rPr>
              <w:t>Other- Internal-Use Software (Subtopic</w:t>
            </w:r>
          </w:p>
        </w:tc>
        <w:tc>
          <w:tcPr>
            <w:tcW w:w="3840" w:type="dxa"/>
            <w:vAlign w:val="bottom"/>
            <w:shd w:val="clear" w:color="auto" w:fill="CCEEFF"/>
          </w:tcPr>
          <w:p>
            <w:pPr>
              <w:ind w:left="100"/>
              <w:spacing w:after="0" w:line="103" w:lineRule="exact"/>
              <w:rPr>
                <w:sz w:val="20"/>
                <w:szCs w:val="20"/>
                <w:color w:val="auto"/>
              </w:rPr>
            </w:pPr>
            <w:r>
              <w:rPr>
                <w:rFonts w:ascii="Arial" w:cs="Arial" w:eastAsia="Arial" w:hAnsi="Arial"/>
                <w:sz w:val="11"/>
                <w:szCs w:val="11"/>
                <w:color w:val="auto"/>
              </w:rPr>
              <w:t>computing arrangement that is accounted for as a service contract with the</w:t>
            </w:r>
          </w:p>
        </w:tc>
        <w:tc>
          <w:tcPr>
            <w:tcW w:w="1660" w:type="dxa"/>
            <w:vAlign w:val="bottom"/>
            <w:vMerge w:val="restart"/>
            <w:shd w:val="clear" w:color="auto" w:fill="CCEEFF"/>
          </w:tcPr>
          <w:p>
            <w:pPr>
              <w:jc w:val="center"/>
              <w:spacing w:after="0"/>
              <w:rPr>
                <w:sz w:val="20"/>
                <w:szCs w:val="20"/>
                <w:color w:val="auto"/>
              </w:rPr>
            </w:pPr>
            <w:r>
              <w:rPr>
                <w:rFonts w:ascii="Arial" w:cs="Arial" w:eastAsia="Arial" w:hAnsi="Arial"/>
                <w:sz w:val="11"/>
                <w:szCs w:val="11"/>
                <w:color w:val="auto"/>
                <w:w w:val="96"/>
              </w:rPr>
              <w:t>Early adoption is permitted</w:t>
            </w:r>
          </w:p>
        </w:tc>
        <w:tc>
          <w:tcPr>
            <w:tcW w:w="3780" w:type="dxa"/>
            <w:vAlign w:val="bottom"/>
            <w:shd w:val="clear" w:color="auto" w:fill="CCEEFF"/>
          </w:tcPr>
          <w:p>
            <w:pPr>
              <w:ind w:left="180"/>
              <w:spacing w:after="0" w:line="103" w:lineRule="exact"/>
              <w:rPr>
                <w:sz w:val="20"/>
                <w:szCs w:val="20"/>
                <w:color w:val="auto"/>
              </w:rPr>
            </w:pPr>
            <w:r>
              <w:rPr>
                <w:rFonts w:ascii="Arial" w:cs="Arial" w:eastAsia="Arial" w:hAnsi="Arial"/>
                <w:sz w:val="11"/>
                <w:szCs w:val="11"/>
                <w:color w:val="auto"/>
                <w:w w:val="96"/>
              </w:rPr>
              <w:t>costs to implement cloud computing arrangements that are accounted for as</w:t>
            </w:r>
          </w:p>
        </w:tc>
        <w:tc>
          <w:tcPr>
            <w:tcW w:w="0" w:type="dxa"/>
            <w:vAlign w:val="bottom"/>
          </w:tcPr>
          <w:p>
            <w:pPr>
              <w:spacing w:after="0"/>
              <w:rPr>
                <w:sz w:val="1"/>
                <w:szCs w:val="1"/>
                <w:color w:val="auto"/>
              </w:rPr>
            </w:pPr>
          </w:p>
        </w:tc>
      </w:tr>
      <w:tr>
        <w:trPr>
          <w:trHeight w:val="92"/>
        </w:trPr>
        <w:tc>
          <w:tcPr>
            <w:tcW w:w="2100" w:type="dxa"/>
            <w:vAlign w:val="bottom"/>
            <w:vMerge w:val="restart"/>
            <w:shd w:val="clear" w:color="auto" w:fill="CCEEFF"/>
          </w:tcPr>
          <w:p>
            <w:pPr>
              <w:ind w:left="20"/>
              <w:spacing w:after="0" w:line="119" w:lineRule="exact"/>
              <w:rPr>
                <w:sz w:val="20"/>
                <w:szCs w:val="20"/>
                <w:color w:val="auto"/>
              </w:rPr>
            </w:pPr>
            <w:r>
              <w:rPr>
                <w:rFonts w:ascii="Arial" w:cs="Arial" w:eastAsia="Arial" w:hAnsi="Arial"/>
                <w:sz w:val="11"/>
                <w:szCs w:val="11"/>
                <w:color w:val="auto"/>
              </w:rPr>
              <w:t>350-40): Customer's Accounting for</w:t>
            </w:r>
          </w:p>
        </w:tc>
        <w:tc>
          <w:tcPr>
            <w:tcW w:w="3840" w:type="dxa"/>
            <w:vAlign w:val="bottom"/>
            <w:vMerge w:val="restart"/>
            <w:shd w:val="clear" w:color="auto" w:fill="CCEEFF"/>
          </w:tcPr>
          <w:p>
            <w:pPr>
              <w:ind w:left="100"/>
              <w:spacing w:after="0" w:line="119" w:lineRule="exact"/>
              <w:rPr>
                <w:sz w:val="20"/>
                <w:szCs w:val="20"/>
                <w:color w:val="auto"/>
              </w:rPr>
            </w:pPr>
            <w:r>
              <w:rPr>
                <w:rFonts w:ascii="Arial" w:cs="Arial" w:eastAsia="Arial" w:hAnsi="Arial"/>
                <w:sz w:val="11"/>
                <w:szCs w:val="11"/>
                <w:color w:val="auto"/>
              </w:rPr>
              <w:t>requirements for capitalizing implementation costs incurred to develop or</w:t>
            </w:r>
          </w:p>
        </w:tc>
        <w:tc>
          <w:tcPr>
            <w:tcW w:w="1660" w:type="dxa"/>
            <w:vAlign w:val="bottom"/>
            <w:vMerge w:val="continue"/>
            <w:shd w:val="clear" w:color="auto" w:fill="CCEEFF"/>
          </w:tcPr>
          <w:p>
            <w:pPr>
              <w:spacing w:after="0"/>
              <w:rPr>
                <w:sz w:val="8"/>
                <w:szCs w:val="8"/>
                <w:color w:val="auto"/>
              </w:rPr>
            </w:pPr>
          </w:p>
        </w:tc>
        <w:tc>
          <w:tcPr>
            <w:tcW w:w="3780" w:type="dxa"/>
            <w:vAlign w:val="bottom"/>
            <w:vMerge w:val="restart"/>
            <w:shd w:val="clear" w:color="auto" w:fill="CCEEFF"/>
          </w:tcPr>
          <w:p>
            <w:pPr>
              <w:ind w:left="180"/>
              <w:spacing w:after="0" w:line="119" w:lineRule="exact"/>
              <w:rPr>
                <w:sz w:val="20"/>
                <w:szCs w:val="20"/>
                <w:color w:val="auto"/>
              </w:rPr>
            </w:pPr>
            <w:r>
              <w:rPr>
                <w:rFonts w:ascii="Arial" w:cs="Arial" w:eastAsia="Arial" w:hAnsi="Arial"/>
                <w:sz w:val="11"/>
                <w:szCs w:val="11"/>
                <w:color w:val="auto"/>
                <w:w w:val="99"/>
              </w:rPr>
              <w:t>service contracts within Prepaid expenses and other current assets on the</w:t>
            </w:r>
          </w:p>
        </w:tc>
        <w:tc>
          <w:tcPr>
            <w:tcW w:w="0" w:type="dxa"/>
            <w:vAlign w:val="bottom"/>
          </w:tcPr>
          <w:p>
            <w:pPr>
              <w:spacing w:after="0"/>
              <w:rPr>
                <w:sz w:val="1"/>
                <w:szCs w:val="1"/>
                <w:color w:val="auto"/>
              </w:rPr>
            </w:pPr>
          </w:p>
        </w:tc>
      </w:tr>
      <w:tr>
        <w:trPr>
          <w:trHeight w:val="26"/>
        </w:trPr>
        <w:tc>
          <w:tcPr>
            <w:tcW w:w="2100" w:type="dxa"/>
            <w:vAlign w:val="bottom"/>
            <w:vMerge w:val="continue"/>
            <w:shd w:val="clear" w:color="auto" w:fill="CCEEFF"/>
          </w:tcPr>
          <w:p>
            <w:pPr>
              <w:spacing w:after="0"/>
              <w:rPr>
                <w:sz w:val="2"/>
                <w:szCs w:val="2"/>
                <w:color w:val="auto"/>
              </w:rPr>
            </w:pPr>
          </w:p>
        </w:tc>
        <w:tc>
          <w:tcPr>
            <w:tcW w:w="3840" w:type="dxa"/>
            <w:vAlign w:val="bottom"/>
            <w:vMerge w:val="continue"/>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c>
          <w:tcPr>
            <w:tcW w:w="3780" w:type="dxa"/>
            <w:vAlign w:val="bottom"/>
            <w:vMerge w:val="continue"/>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9"/>
        </w:trPr>
        <w:tc>
          <w:tcPr>
            <w:tcW w:w="2100" w:type="dxa"/>
            <w:vAlign w:val="bottom"/>
            <w:shd w:val="clear" w:color="auto" w:fill="CCEEFF"/>
          </w:tcPr>
          <w:p>
            <w:pPr>
              <w:ind w:left="20"/>
              <w:spacing w:after="0" w:line="119" w:lineRule="exact"/>
              <w:rPr>
                <w:sz w:val="20"/>
                <w:szCs w:val="20"/>
                <w:color w:val="auto"/>
              </w:rPr>
            </w:pPr>
            <w:r>
              <w:rPr>
                <w:rFonts w:ascii="Arial" w:cs="Arial" w:eastAsia="Arial" w:hAnsi="Arial"/>
                <w:sz w:val="11"/>
                <w:szCs w:val="11"/>
                <w:color w:val="auto"/>
              </w:rPr>
              <w:t>Implementation Costs Incurred in a Cloud</w:t>
            </w:r>
          </w:p>
        </w:tc>
        <w:tc>
          <w:tcPr>
            <w:tcW w:w="3840" w:type="dxa"/>
            <w:vAlign w:val="bottom"/>
            <w:shd w:val="clear" w:color="auto" w:fill="CCEEFF"/>
          </w:tcPr>
          <w:p>
            <w:pPr>
              <w:ind w:left="100"/>
              <w:spacing w:after="0" w:line="119" w:lineRule="exact"/>
              <w:rPr>
                <w:sz w:val="20"/>
                <w:szCs w:val="20"/>
                <w:color w:val="auto"/>
              </w:rPr>
            </w:pPr>
            <w:r>
              <w:rPr>
                <w:rFonts w:ascii="Arial" w:cs="Arial" w:eastAsia="Arial" w:hAnsi="Arial"/>
                <w:sz w:val="11"/>
                <w:szCs w:val="11"/>
                <w:color w:val="auto"/>
              </w:rPr>
              <w:t>obtain internal-use software. The update also prescribes the balance sheet,</w:t>
            </w:r>
          </w:p>
        </w:tc>
        <w:tc>
          <w:tcPr>
            <w:tcW w:w="1660" w:type="dxa"/>
            <w:vAlign w:val="bottom"/>
            <w:shd w:val="clear" w:color="auto" w:fill="CCEEFF"/>
          </w:tcPr>
          <w:p>
            <w:pPr>
              <w:spacing w:after="0"/>
              <w:rPr>
                <w:sz w:val="10"/>
                <w:szCs w:val="10"/>
                <w:color w:val="auto"/>
              </w:rPr>
            </w:pPr>
          </w:p>
        </w:tc>
        <w:tc>
          <w:tcPr>
            <w:tcW w:w="3780" w:type="dxa"/>
            <w:vAlign w:val="bottom"/>
            <w:shd w:val="clear" w:color="auto" w:fill="CCEEFF"/>
          </w:tcPr>
          <w:p>
            <w:pPr>
              <w:ind w:left="180"/>
              <w:spacing w:after="0" w:line="119" w:lineRule="exact"/>
              <w:rPr>
                <w:sz w:val="20"/>
                <w:szCs w:val="20"/>
                <w:color w:val="auto"/>
              </w:rPr>
            </w:pPr>
            <w:r>
              <w:rPr>
                <w:rFonts w:ascii="Arial" w:cs="Arial" w:eastAsia="Arial" w:hAnsi="Arial"/>
                <w:sz w:val="11"/>
                <w:szCs w:val="11"/>
                <w:color w:val="auto"/>
              </w:rPr>
              <w:t>Registrants’ condensed consolidated balance sheets and record the</w:t>
            </w:r>
          </w:p>
        </w:tc>
        <w:tc>
          <w:tcPr>
            <w:tcW w:w="0" w:type="dxa"/>
            <w:vAlign w:val="bottom"/>
          </w:tcPr>
          <w:p>
            <w:pPr>
              <w:spacing w:after="0"/>
              <w:rPr>
                <w:sz w:val="1"/>
                <w:szCs w:val="1"/>
                <w:color w:val="auto"/>
              </w:rPr>
            </w:pPr>
          </w:p>
        </w:tc>
      </w:tr>
      <w:tr>
        <w:trPr>
          <w:trHeight w:val="119"/>
        </w:trPr>
        <w:tc>
          <w:tcPr>
            <w:tcW w:w="2100" w:type="dxa"/>
            <w:vAlign w:val="bottom"/>
            <w:shd w:val="clear" w:color="auto" w:fill="CCEEFF"/>
          </w:tcPr>
          <w:p>
            <w:pPr>
              <w:ind w:left="20"/>
              <w:spacing w:after="0" w:line="119" w:lineRule="exact"/>
              <w:rPr>
                <w:sz w:val="20"/>
                <w:szCs w:val="20"/>
                <w:color w:val="auto"/>
              </w:rPr>
            </w:pPr>
            <w:r>
              <w:rPr>
                <w:rFonts w:ascii="Arial" w:cs="Arial" w:eastAsia="Arial" w:hAnsi="Arial"/>
                <w:sz w:val="11"/>
                <w:szCs w:val="11"/>
                <w:color w:val="auto"/>
              </w:rPr>
              <w:t>Computing Arrangement That Is a Service</w:t>
            </w:r>
          </w:p>
        </w:tc>
        <w:tc>
          <w:tcPr>
            <w:tcW w:w="3840" w:type="dxa"/>
            <w:vAlign w:val="bottom"/>
            <w:shd w:val="clear" w:color="auto" w:fill="CCEEFF"/>
          </w:tcPr>
          <w:p>
            <w:pPr>
              <w:ind w:left="100"/>
              <w:spacing w:after="0" w:line="119" w:lineRule="exact"/>
              <w:rPr>
                <w:sz w:val="20"/>
                <w:szCs w:val="20"/>
                <w:color w:val="auto"/>
              </w:rPr>
            </w:pPr>
            <w:r>
              <w:rPr>
                <w:rFonts w:ascii="Arial" w:cs="Arial" w:eastAsia="Arial" w:hAnsi="Arial"/>
                <w:sz w:val="11"/>
                <w:szCs w:val="11"/>
                <w:color w:val="auto"/>
              </w:rPr>
              <w:t>income statement, and cash flow classification of the capitalized</w:t>
            </w:r>
          </w:p>
        </w:tc>
        <w:tc>
          <w:tcPr>
            <w:tcW w:w="1660" w:type="dxa"/>
            <w:vAlign w:val="bottom"/>
            <w:shd w:val="clear" w:color="auto" w:fill="CCEEFF"/>
          </w:tcPr>
          <w:p>
            <w:pPr>
              <w:spacing w:after="0"/>
              <w:rPr>
                <w:sz w:val="10"/>
                <w:szCs w:val="10"/>
                <w:color w:val="auto"/>
              </w:rPr>
            </w:pPr>
          </w:p>
        </w:tc>
        <w:tc>
          <w:tcPr>
            <w:tcW w:w="3780" w:type="dxa"/>
            <w:vAlign w:val="bottom"/>
            <w:shd w:val="clear" w:color="auto" w:fill="CCEEFF"/>
          </w:tcPr>
          <w:p>
            <w:pPr>
              <w:ind w:left="180"/>
              <w:spacing w:after="0" w:line="119" w:lineRule="exact"/>
              <w:rPr>
                <w:sz w:val="20"/>
                <w:szCs w:val="20"/>
                <w:color w:val="auto"/>
              </w:rPr>
            </w:pPr>
            <w:r>
              <w:rPr>
                <w:rFonts w:ascii="Arial" w:cs="Arial" w:eastAsia="Arial" w:hAnsi="Arial"/>
                <w:sz w:val="11"/>
                <w:szCs w:val="11"/>
                <w:color w:val="auto"/>
                <w:w w:val="97"/>
              </w:rPr>
              <w:t>amortization of such assets within Operation and maintenance expenses on</w:t>
            </w:r>
          </w:p>
        </w:tc>
        <w:tc>
          <w:tcPr>
            <w:tcW w:w="0" w:type="dxa"/>
            <w:vAlign w:val="bottom"/>
          </w:tcPr>
          <w:p>
            <w:pPr>
              <w:spacing w:after="0"/>
              <w:rPr>
                <w:sz w:val="1"/>
                <w:szCs w:val="1"/>
                <w:color w:val="auto"/>
              </w:rPr>
            </w:pPr>
          </w:p>
        </w:tc>
      </w:tr>
      <w:tr>
        <w:trPr>
          <w:trHeight w:val="119"/>
        </w:trPr>
        <w:tc>
          <w:tcPr>
            <w:tcW w:w="2100" w:type="dxa"/>
            <w:vAlign w:val="bottom"/>
            <w:shd w:val="clear" w:color="auto" w:fill="CCEEFF"/>
          </w:tcPr>
          <w:p>
            <w:pPr>
              <w:ind w:left="20"/>
              <w:spacing w:after="0" w:line="119" w:lineRule="exact"/>
              <w:rPr>
                <w:sz w:val="20"/>
                <w:szCs w:val="20"/>
                <w:color w:val="auto"/>
              </w:rPr>
            </w:pPr>
            <w:r>
              <w:rPr>
                <w:rFonts w:ascii="Arial" w:cs="Arial" w:eastAsia="Arial" w:hAnsi="Arial"/>
                <w:sz w:val="11"/>
                <w:szCs w:val="11"/>
                <w:color w:val="auto"/>
              </w:rPr>
              <w:t>Contract</w:t>
            </w:r>
          </w:p>
        </w:tc>
        <w:tc>
          <w:tcPr>
            <w:tcW w:w="3840" w:type="dxa"/>
            <w:vAlign w:val="bottom"/>
            <w:shd w:val="clear" w:color="auto" w:fill="CCEEFF"/>
          </w:tcPr>
          <w:p>
            <w:pPr>
              <w:ind w:left="100"/>
              <w:spacing w:after="0" w:line="119" w:lineRule="exact"/>
              <w:rPr>
                <w:sz w:val="20"/>
                <w:szCs w:val="20"/>
                <w:color w:val="auto"/>
              </w:rPr>
            </w:pPr>
            <w:r>
              <w:rPr>
                <w:rFonts w:ascii="Arial" w:cs="Arial" w:eastAsia="Arial" w:hAnsi="Arial"/>
                <w:sz w:val="11"/>
                <w:szCs w:val="11"/>
                <w:color w:val="auto"/>
              </w:rPr>
              <w:t>implementation costs and related amortization expense and requires</w:t>
            </w:r>
          </w:p>
        </w:tc>
        <w:tc>
          <w:tcPr>
            <w:tcW w:w="1660" w:type="dxa"/>
            <w:vAlign w:val="bottom"/>
            <w:shd w:val="clear" w:color="auto" w:fill="CCEEFF"/>
          </w:tcPr>
          <w:p>
            <w:pPr>
              <w:spacing w:after="0"/>
              <w:rPr>
                <w:sz w:val="10"/>
                <w:szCs w:val="10"/>
                <w:color w:val="auto"/>
              </w:rPr>
            </w:pPr>
          </w:p>
        </w:tc>
        <w:tc>
          <w:tcPr>
            <w:tcW w:w="3780" w:type="dxa"/>
            <w:vAlign w:val="bottom"/>
            <w:shd w:val="clear" w:color="auto" w:fill="CCEEFF"/>
          </w:tcPr>
          <w:p>
            <w:pPr>
              <w:ind w:left="180"/>
              <w:spacing w:after="0" w:line="119" w:lineRule="exact"/>
              <w:rPr>
                <w:sz w:val="20"/>
                <w:szCs w:val="20"/>
                <w:color w:val="auto"/>
              </w:rPr>
            </w:pPr>
            <w:r>
              <w:rPr>
                <w:rFonts w:ascii="Arial" w:cs="Arial" w:eastAsia="Arial" w:hAnsi="Arial"/>
                <w:sz w:val="11"/>
                <w:szCs w:val="11"/>
                <w:color w:val="auto"/>
              </w:rPr>
              <w:t>the Registrants’ condensed statements of consolidated income. The</w:t>
            </w:r>
          </w:p>
        </w:tc>
        <w:tc>
          <w:tcPr>
            <w:tcW w:w="0" w:type="dxa"/>
            <w:vAlign w:val="bottom"/>
          </w:tcPr>
          <w:p>
            <w:pPr>
              <w:spacing w:after="0"/>
              <w:rPr>
                <w:sz w:val="1"/>
                <w:szCs w:val="1"/>
                <w:color w:val="auto"/>
              </w:rPr>
            </w:pPr>
          </w:p>
        </w:tc>
      </w:tr>
      <w:tr>
        <w:trPr>
          <w:trHeight w:val="119"/>
        </w:trPr>
        <w:tc>
          <w:tcPr>
            <w:tcW w:w="2100" w:type="dxa"/>
            <w:vAlign w:val="bottom"/>
            <w:shd w:val="clear" w:color="auto" w:fill="CCEEFF"/>
          </w:tcPr>
          <w:p>
            <w:pPr>
              <w:spacing w:after="0"/>
              <w:rPr>
                <w:sz w:val="10"/>
                <w:szCs w:val="10"/>
                <w:color w:val="auto"/>
              </w:rPr>
            </w:pPr>
          </w:p>
        </w:tc>
        <w:tc>
          <w:tcPr>
            <w:tcW w:w="3840" w:type="dxa"/>
            <w:vAlign w:val="bottom"/>
            <w:shd w:val="clear" w:color="auto" w:fill="CCEEFF"/>
          </w:tcPr>
          <w:p>
            <w:pPr>
              <w:ind w:left="100"/>
              <w:spacing w:after="0" w:line="119" w:lineRule="exact"/>
              <w:rPr>
                <w:sz w:val="20"/>
                <w:szCs w:val="20"/>
                <w:color w:val="auto"/>
              </w:rPr>
            </w:pPr>
            <w:r>
              <w:rPr>
                <w:rFonts w:ascii="Arial" w:cs="Arial" w:eastAsia="Arial" w:hAnsi="Arial"/>
                <w:sz w:val="11"/>
                <w:szCs w:val="11"/>
                <w:color w:val="auto"/>
              </w:rPr>
              <w:t>additional quantitative and qualitative disclosures.</w:t>
            </w:r>
          </w:p>
        </w:tc>
        <w:tc>
          <w:tcPr>
            <w:tcW w:w="1660" w:type="dxa"/>
            <w:vAlign w:val="bottom"/>
            <w:shd w:val="clear" w:color="auto" w:fill="CCEEFF"/>
          </w:tcPr>
          <w:p>
            <w:pPr>
              <w:spacing w:after="0"/>
              <w:rPr>
                <w:sz w:val="10"/>
                <w:szCs w:val="10"/>
                <w:color w:val="auto"/>
              </w:rPr>
            </w:pPr>
          </w:p>
        </w:tc>
        <w:tc>
          <w:tcPr>
            <w:tcW w:w="3780" w:type="dxa"/>
            <w:vAlign w:val="bottom"/>
            <w:shd w:val="clear" w:color="auto" w:fill="CCEEFF"/>
          </w:tcPr>
          <w:p>
            <w:pPr>
              <w:ind w:left="180"/>
              <w:spacing w:after="0" w:line="119" w:lineRule="exact"/>
              <w:rPr>
                <w:sz w:val="20"/>
                <w:szCs w:val="20"/>
                <w:color w:val="auto"/>
              </w:rPr>
            </w:pPr>
            <w:r>
              <w:rPr>
                <w:rFonts w:ascii="Arial" w:cs="Arial" w:eastAsia="Arial" w:hAnsi="Arial"/>
                <w:sz w:val="11"/>
                <w:szCs w:val="11"/>
                <w:color w:val="auto"/>
                <w:w w:val="94"/>
              </w:rPr>
              <w:t>Registrants do not anticipate the adoption of this standard will have a material</w:t>
            </w:r>
          </w:p>
        </w:tc>
        <w:tc>
          <w:tcPr>
            <w:tcW w:w="0" w:type="dxa"/>
            <w:vAlign w:val="bottom"/>
          </w:tcPr>
          <w:p>
            <w:pPr>
              <w:spacing w:after="0"/>
              <w:rPr>
                <w:sz w:val="1"/>
                <w:szCs w:val="1"/>
                <w:color w:val="auto"/>
              </w:rPr>
            </w:pPr>
          </w:p>
        </w:tc>
      </w:tr>
      <w:tr>
        <w:trPr>
          <w:trHeight w:val="119"/>
        </w:trPr>
        <w:tc>
          <w:tcPr>
            <w:tcW w:w="2100" w:type="dxa"/>
            <w:vAlign w:val="bottom"/>
            <w:shd w:val="clear" w:color="auto" w:fill="CCEEFF"/>
          </w:tcPr>
          <w:p>
            <w:pPr>
              <w:spacing w:after="0"/>
              <w:rPr>
                <w:sz w:val="10"/>
                <w:szCs w:val="10"/>
                <w:color w:val="auto"/>
              </w:rPr>
            </w:pPr>
          </w:p>
        </w:tc>
        <w:tc>
          <w:tcPr>
            <w:tcW w:w="3840" w:type="dxa"/>
            <w:vAlign w:val="bottom"/>
            <w:shd w:val="clear" w:color="auto" w:fill="CCEEFF"/>
          </w:tcPr>
          <w:p>
            <w:pPr>
              <w:ind w:left="100"/>
              <w:spacing w:after="0" w:line="119" w:lineRule="exact"/>
              <w:rPr>
                <w:sz w:val="20"/>
                <w:szCs w:val="20"/>
                <w:color w:val="auto"/>
              </w:rPr>
            </w:pPr>
            <w:r>
              <w:rPr>
                <w:rFonts w:ascii="Arial" w:cs="Arial" w:eastAsia="Arial" w:hAnsi="Arial"/>
                <w:sz w:val="11"/>
                <w:szCs w:val="11"/>
                <w:b w:val="1"/>
                <w:bCs w:val="1"/>
                <w:i w:val="1"/>
                <w:iCs w:val="1"/>
                <w:color w:val="auto"/>
              </w:rPr>
              <w:t>Transition method</w:t>
            </w:r>
            <w:r>
              <w:rPr>
                <w:rFonts w:ascii="Arial" w:cs="Arial" w:eastAsia="Arial" w:hAnsi="Arial"/>
                <w:sz w:val="11"/>
                <w:szCs w:val="11"/>
                <w:color w:val="auto"/>
              </w:rPr>
              <w:t>: retrospective or prospective</w:t>
            </w:r>
          </w:p>
        </w:tc>
        <w:tc>
          <w:tcPr>
            <w:tcW w:w="1660" w:type="dxa"/>
            <w:vAlign w:val="bottom"/>
            <w:shd w:val="clear" w:color="auto" w:fill="CCEEFF"/>
          </w:tcPr>
          <w:p>
            <w:pPr>
              <w:spacing w:after="0"/>
              <w:rPr>
                <w:sz w:val="10"/>
                <w:szCs w:val="10"/>
                <w:color w:val="auto"/>
              </w:rPr>
            </w:pPr>
          </w:p>
        </w:tc>
        <w:tc>
          <w:tcPr>
            <w:tcW w:w="3780" w:type="dxa"/>
            <w:vAlign w:val="bottom"/>
            <w:shd w:val="clear" w:color="auto" w:fill="CCEEFF"/>
          </w:tcPr>
          <w:p>
            <w:pPr>
              <w:ind w:left="180"/>
              <w:spacing w:after="0" w:line="119" w:lineRule="exact"/>
              <w:rPr>
                <w:sz w:val="20"/>
                <w:szCs w:val="20"/>
                <w:color w:val="auto"/>
              </w:rPr>
            </w:pPr>
            <w:r>
              <w:rPr>
                <w:rFonts w:ascii="Arial" w:cs="Arial" w:eastAsia="Arial" w:hAnsi="Arial"/>
                <w:sz w:val="11"/>
                <w:szCs w:val="11"/>
                <w:color w:val="auto"/>
                <w:w w:val="95"/>
              </w:rPr>
              <w:t>impact on the Registrants’ financial position, results of operations, cash flows</w:t>
            </w:r>
          </w:p>
        </w:tc>
        <w:tc>
          <w:tcPr>
            <w:tcW w:w="0" w:type="dxa"/>
            <w:vAlign w:val="bottom"/>
          </w:tcPr>
          <w:p>
            <w:pPr>
              <w:spacing w:after="0"/>
              <w:rPr>
                <w:sz w:val="1"/>
                <w:szCs w:val="1"/>
                <w:color w:val="auto"/>
              </w:rPr>
            </w:pPr>
          </w:p>
        </w:tc>
      </w:tr>
      <w:tr>
        <w:trPr>
          <w:trHeight w:val="155"/>
        </w:trPr>
        <w:tc>
          <w:tcPr>
            <w:tcW w:w="2100" w:type="dxa"/>
            <w:vAlign w:val="bottom"/>
            <w:shd w:val="clear" w:color="auto" w:fill="CCEEFF"/>
          </w:tcPr>
          <w:p>
            <w:pPr>
              <w:spacing w:after="0"/>
              <w:rPr>
                <w:sz w:val="13"/>
                <w:szCs w:val="13"/>
                <w:color w:val="auto"/>
              </w:rPr>
            </w:pPr>
          </w:p>
        </w:tc>
        <w:tc>
          <w:tcPr>
            <w:tcW w:w="3840" w:type="dxa"/>
            <w:vAlign w:val="bottom"/>
            <w:shd w:val="clear" w:color="auto" w:fill="CCEEFF"/>
          </w:tcPr>
          <w:p>
            <w:pPr>
              <w:spacing w:after="0"/>
              <w:rPr>
                <w:sz w:val="13"/>
                <w:szCs w:val="13"/>
                <w:color w:val="auto"/>
              </w:rPr>
            </w:pPr>
          </w:p>
        </w:tc>
        <w:tc>
          <w:tcPr>
            <w:tcW w:w="1660" w:type="dxa"/>
            <w:vAlign w:val="bottom"/>
            <w:shd w:val="clear" w:color="auto" w:fill="CCEEFF"/>
          </w:tcPr>
          <w:p>
            <w:pPr>
              <w:spacing w:after="0"/>
              <w:rPr>
                <w:sz w:val="13"/>
                <w:szCs w:val="13"/>
                <w:color w:val="auto"/>
              </w:rPr>
            </w:pPr>
          </w:p>
        </w:tc>
        <w:tc>
          <w:tcPr>
            <w:tcW w:w="3780" w:type="dxa"/>
            <w:vAlign w:val="bottom"/>
            <w:shd w:val="clear" w:color="auto" w:fill="CCEEFF"/>
          </w:tcPr>
          <w:p>
            <w:pPr>
              <w:ind w:left="180"/>
              <w:spacing w:after="0"/>
              <w:rPr>
                <w:sz w:val="20"/>
                <w:szCs w:val="20"/>
                <w:color w:val="auto"/>
              </w:rPr>
            </w:pPr>
            <w:r>
              <w:rPr>
                <w:rFonts w:ascii="Arial" w:cs="Arial" w:eastAsia="Arial" w:hAnsi="Arial"/>
                <w:sz w:val="11"/>
                <w:szCs w:val="11"/>
                <w:color w:val="auto"/>
              </w:rPr>
              <w:t>or disclosures.</w:t>
            </w:r>
          </w:p>
        </w:tc>
        <w:tc>
          <w:tcPr>
            <w:tcW w:w="0" w:type="dxa"/>
            <w:vAlign w:val="bottom"/>
          </w:tcPr>
          <w:p>
            <w:pPr>
              <w:spacing w:after="0"/>
              <w:rPr>
                <w:sz w:val="1"/>
                <w:szCs w:val="1"/>
                <w:color w:val="auto"/>
              </w:rPr>
            </w:pPr>
          </w:p>
        </w:tc>
      </w:tr>
    </w:tbl>
    <w:p>
      <w:pPr>
        <w:spacing w:after="0" w:line="334" w:lineRule="exact"/>
        <w:rPr>
          <w:sz w:val="20"/>
          <w:szCs w:val="20"/>
          <w:color w:val="auto"/>
        </w:rPr>
      </w:pPr>
    </w:p>
    <w:p>
      <w:pPr>
        <w:jc w:val="both"/>
        <w:ind w:firstLine="259"/>
        <w:spacing w:after="0" w:line="288" w:lineRule="auto"/>
        <w:rPr>
          <w:sz w:val="20"/>
          <w:szCs w:val="20"/>
          <w:color w:val="auto"/>
        </w:rPr>
      </w:pPr>
      <w:r>
        <w:rPr>
          <w:rFonts w:ascii="Arial" w:cs="Arial" w:eastAsia="Arial" w:hAnsi="Arial"/>
          <w:sz w:val="14"/>
          <w:szCs w:val="14"/>
          <w:color w:val="auto"/>
        </w:rPr>
        <w:t>Management believes that other recently adopted standards and recently issued standards that are not yet effective will not have a material impact on the Registrants’ financial position, results of operations or cash flows upon adoption.</w:t>
      </w:r>
    </w:p>
    <w:p>
      <w:pPr>
        <w:spacing w:after="0" w:line="12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(3) Mergers and Acquisitions (CenterPoint Energy)</w:t>
      </w:r>
    </w:p>
    <w:p>
      <w:pPr>
        <w:spacing w:after="0" w:line="188" w:lineRule="exact"/>
        <w:rPr>
          <w:sz w:val="20"/>
          <w:szCs w:val="20"/>
          <w:color w:val="auto"/>
        </w:rPr>
      </w:pPr>
    </w:p>
    <w:p>
      <w:pPr>
        <w:jc w:val="both"/>
        <w:ind w:firstLine="259"/>
        <w:spacing w:after="0" w:line="289" w:lineRule="auto"/>
        <w:rPr>
          <w:sz w:val="20"/>
          <w:szCs w:val="20"/>
          <w:color w:val="auto"/>
        </w:rPr>
      </w:pPr>
      <w:r>
        <w:rPr>
          <w:rFonts w:ascii="Arial" w:cs="Arial" w:eastAsia="Arial" w:hAnsi="Arial"/>
          <w:sz w:val="13"/>
          <w:szCs w:val="13"/>
          <w:i w:val="1"/>
          <w:iCs w:val="1"/>
          <w:color w:val="auto"/>
        </w:rPr>
        <w:t xml:space="preserve">Merger with Vectren. </w:t>
      </w:r>
      <w:r>
        <w:rPr>
          <w:rFonts w:ascii="Arial" w:cs="Arial" w:eastAsia="Arial" w:hAnsi="Arial"/>
          <w:sz w:val="13"/>
          <w:szCs w:val="13"/>
          <w:color w:val="auto"/>
        </w:rPr>
        <w:t>On the Merger Date, pursuant to the Merger Agreement, CenterPoint Energy consummated the previously announced Merger and acquired Vectren for approximately $6</w:t>
      </w:r>
      <w:r>
        <w:rPr>
          <w:rFonts w:ascii="Arial" w:cs="Arial" w:eastAsia="Arial" w:hAnsi="Arial"/>
          <w:sz w:val="13"/>
          <w:szCs w:val="13"/>
          <w:i w:val="1"/>
          <w:iCs w:val="1"/>
          <w:color w:val="auto"/>
        </w:rPr>
        <w:t xml:space="preserve"> </w:t>
      </w:r>
      <w:r>
        <w:rPr>
          <w:rFonts w:ascii="Arial" w:cs="Arial" w:eastAsia="Arial" w:hAnsi="Arial"/>
          <w:sz w:val="13"/>
          <w:szCs w:val="13"/>
          <w:color w:val="auto"/>
        </w:rPr>
        <w:t>billion in cash. Each share of Vectren common stock issued and outstanding immediately prior to the closing was canceled and converted into the right to receive $72.00 in cash per share, without interest. At the closing, each stock unit payable in Vectren common stock or whose value is determined with reference to the value of Vectren common stock, whether vested or unvested, was canceled with cash consideration paid in accordance with the terms of the Merger Agreement. These amounts did not include a stub period cash dividend of $0.41145 per share, which was declared, with CenterPoint Energy’s consent, by Vectren’s board of directors on January 16, 2019, and paid to Vectren stockholders as of the record date of February 1, 2019.</w:t>
      </w:r>
    </w:p>
    <w:p>
      <w:pPr>
        <w:spacing w:after="0" w:line="134" w:lineRule="exact"/>
        <w:rPr>
          <w:sz w:val="20"/>
          <w:szCs w:val="20"/>
          <w:color w:val="auto"/>
        </w:rPr>
      </w:pPr>
    </w:p>
    <w:p>
      <w:pPr>
        <w:jc w:val="both"/>
        <w:ind w:firstLine="259"/>
        <w:spacing w:after="0" w:line="267" w:lineRule="auto"/>
        <w:rPr>
          <w:sz w:val="20"/>
          <w:szCs w:val="20"/>
          <w:color w:val="auto"/>
        </w:rPr>
      </w:pPr>
      <w:r>
        <w:rPr>
          <w:rFonts w:ascii="Arial" w:cs="Arial" w:eastAsia="Arial" w:hAnsi="Arial"/>
          <w:sz w:val="14"/>
          <w:szCs w:val="14"/>
          <w:color w:val="auto"/>
        </w:rPr>
        <w:t>Pursuant to the Merger Agreement and immediately subsequent to the close of the Merger, CenterPoint Energy cash settled $78 million in outstanding share-based awards issued prior to the Merger Date by Vectren to its employees. As a result of the Merger, CenterPoint Energy assumed a liability for these share-based awards of $41 million and recorded an incremental cost of $37 million in Operation and maintenance expenses on its Condensed Statements of Consolidated Income during the nine months ended September 30, 2019 for the accelerated vesting of the awards in accordance with the Merger Agreement.</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ectPr>
          <w:pgSz w:w="11900" w:h="16838" w:orient="portrait"/>
          <w:cols w:equalWidth="0" w:num="1">
            <w:col w:w="11460"/>
          </w:cols>
          <w:pgMar w:left="220" w:top="129" w:right="219" w:bottom="1440" w:gutter="0" w:footer="0" w:header="0"/>
          <w:type w:val="continuous"/>
        </w:sectPr>
      </w:pPr>
    </w:p>
    <w:bookmarkStart w:id="31" w:name="page32"/>
    <w:bookmarkEnd w:id="31"/>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378" w:lineRule="exact"/>
        <w:rPr>
          <w:sz w:val="20"/>
          <w:szCs w:val="20"/>
          <w:color w:val="auto"/>
        </w:rPr>
      </w:pPr>
    </w:p>
    <w:p>
      <w:pPr>
        <w:jc w:val="both"/>
        <w:ind w:firstLine="259"/>
        <w:spacing w:after="0" w:line="272" w:lineRule="auto"/>
        <w:rPr>
          <w:sz w:val="20"/>
          <w:szCs w:val="20"/>
          <w:color w:val="auto"/>
        </w:rPr>
      </w:pPr>
      <w:r>
        <w:rPr>
          <w:rFonts w:ascii="Arial" w:cs="Arial" w:eastAsia="Arial" w:hAnsi="Arial"/>
          <w:sz w:val="14"/>
          <w:szCs w:val="14"/>
          <w:color w:val="auto"/>
        </w:rPr>
        <w:t>Subsequent to the close of the Merger, CenterPoint Energy recognized severance totaling $61 million to employees terminated immediately subsequent to the Merger close, inclusive of change of control severance payments to executives of Vectren under existing agreements, and which is included in Operation and maintenance expenses on its Condensed Statements of Consolidated Income during the nine months ended September 30, 2019.</w:t>
      </w:r>
    </w:p>
    <w:p>
      <w:pPr>
        <w:spacing w:after="0" w:line="142" w:lineRule="exact"/>
        <w:rPr>
          <w:sz w:val="20"/>
          <w:szCs w:val="20"/>
          <w:color w:val="auto"/>
        </w:rPr>
      </w:pPr>
    </w:p>
    <w:p>
      <w:pPr>
        <w:jc w:val="both"/>
        <w:ind w:firstLine="259"/>
        <w:spacing w:after="0" w:line="288" w:lineRule="auto"/>
        <w:rPr>
          <w:sz w:val="20"/>
          <w:szCs w:val="20"/>
          <w:color w:val="auto"/>
        </w:rPr>
      </w:pPr>
      <w:r>
        <w:rPr>
          <w:rFonts w:ascii="Arial" w:cs="Arial" w:eastAsia="Arial" w:hAnsi="Arial"/>
          <w:sz w:val="14"/>
          <w:szCs w:val="14"/>
          <w:color w:val="auto"/>
        </w:rPr>
        <w:t>In connection with the Merger, VUHI and VCC made offers to prepay certain outstanding guaranteed senior notes as required pursuant to certain note purchase agreements previously entered into by VUHI and VCC. See Note 12 for further details.</w:t>
      </w:r>
    </w:p>
    <w:p>
      <w:pPr>
        <w:spacing w:after="0" w:line="131" w:lineRule="exact"/>
        <w:rPr>
          <w:sz w:val="20"/>
          <w:szCs w:val="20"/>
          <w:color w:val="auto"/>
        </w:rPr>
      </w:pPr>
    </w:p>
    <w:p>
      <w:pPr>
        <w:ind w:left="260"/>
        <w:spacing w:after="0"/>
        <w:rPr>
          <w:sz w:val="20"/>
          <w:szCs w:val="20"/>
          <w:color w:val="auto"/>
        </w:rPr>
      </w:pPr>
      <w:r>
        <w:rPr>
          <w:rFonts w:ascii="Arial" w:cs="Arial" w:eastAsia="Arial" w:hAnsi="Arial"/>
          <w:sz w:val="14"/>
          <w:szCs w:val="14"/>
          <w:color w:val="auto"/>
        </w:rPr>
        <w:t>Following the closing, shares of Vectren common stock, which previously traded under the ticker symbol “VVC” on the NYSE, ceased trading on and were delisted from the NYSE.</w:t>
      </w:r>
    </w:p>
    <w:p>
      <w:pPr>
        <w:spacing w:after="0" w:line="184" w:lineRule="exact"/>
        <w:rPr>
          <w:sz w:val="20"/>
          <w:szCs w:val="20"/>
          <w:color w:val="auto"/>
        </w:rPr>
      </w:pPr>
    </w:p>
    <w:p>
      <w:pPr>
        <w:jc w:val="both"/>
        <w:ind w:firstLine="259"/>
        <w:spacing w:after="0" w:line="288" w:lineRule="auto"/>
        <w:rPr>
          <w:sz w:val="20"/>
          <w:szCs w:val="20"/>
          <w:color w:val="auto"/>
        </w:rPr>
      </w:pPr>
      <w:r>
        <w:rPr>
          <w:rFonts w:ascii="Arial" w:cs="Arial" w:eastAsia="Arial" w:hAnsi="Arial"/>
          <w:sz w:val="14"/>
          <w:szCs w:val="14"/>
          <w:color w:val="auto"/>
        </w:rPr>
        <w:t>The Merger is being accounted for in accordance with ASC 805, Business Combinations, with CenterPoint Energy as the accounting acquirer of Vectren. Identifiable assets acquired and liabilities assumed have been recorded at their estimated fair values on the Merger Date.</w:t>
      </w:r>
    </w:p>
    <w:p>
      <w:pPr>
        <w:spacing w:after="0" w:line="131" w:lineRule="exact"/>
        <w:rPr>
          <w:sz w:val="20"/>
          <w:szCs w:val="20"/>
          <w:color w:val="auto"/>
        </w:rPr>
      </w:pPr>
    </w:p>
    <w:p>
      <w:pPr>
        <w:jc w:val="both"/>
        <w:ind w:firstLine="259"/>
        <w:spacing w:after="0" w:line="263" w:lineRule="auto"/>
        <w:rPr>
          <w:sz w:val="20"/>
          <w:szCs w:val="20"/>
          <w:color w:val="auto"/>
        </w:rPr>
      </w:pPr>
      <w:r>
        <w:rPr>
          <w:rFonts w:ascii="Arial" w:cs="Arial" w:eastAsia="Arial" w:hAnsi="Arial"/>
          <w:sz w:val="14"/>
          <w:szCs w:val="14"/>
          <w:color w:val="auto"/>
        </w:rPr>
        <w:t>Vectren’s regulated operations, comprised of electric generation and electric and natural gas energy delivery services, are subject to the rate-setting authority of the FERC, the IURC and the PUCO, and are accounted for pursuant to U.S. generally accepted accounting principles for regulated operations. The rate-setting and cost-recovery provisions currently in place for Vectren’s regulated operations provide revenues derived from costs including a return on investment of assets and liabilities included in rate base. Thus, the fair values of Vectren’s tangible and intangible assets and liabilities subject to these rate-setting provisions approximate their carrying values. Accordingly, neither the assets and liabilities acquired, nor the unaudited pro forma financial information, reflect any adjustments related to these amounts. The fair value of regulatory assets not earning a return have been determined using the income approach and are considered Level 3 fair value measurements due to the use of significant judgmental and unobservable inputs.</w:t>
      </w:r>
    </w:p>
    <w:p>
      <w:pPr>
        <w:spacing w:after="0" w:line="148" w:lineRule="exact"/>
        <w:rPr>
          <w:sz w:val="20"/>
          <w:szCs w:val="20"/>
          <w:color w:val="auto"/>
        </w:rPr>
      </w:pPr>
    </w:p>
    <w:p>
      <w:pPr>
        <w:jc w:val="both"/>
        <w:ind w:firstLine="259"/>
        <w:spacing w:after="0" w:line="267" w:lineRule="auto"/>
        <w:rPr>
          <w:sz w:val="20"/>
          <w:szCs w:val="20"/>
          <w:color w:val="auto"/>
        </w:rPr>
      </w:pPr>
      <w:r>
        <w:rPr>
          <w:rFonts w:ascii="Arial" w:cs="Arial" w:eastAsia="Arial" w:hAnsi="Arial"/>
          <w:sz w:val="14"/>
          <w:szCs w:val="14"/>
          <w:color w:val="auto"/>
        </w:rPr>
        <w:t>The fair value of Vectren’s assets acquired and liabilities assumed that are not subject to the rate-setting provisions, including identifiable intangibles, have been determined using the income approach and the market approach. The valuation of Vectren’s long-term debt is primarily considered a Level 2 fair value measurement. All other valuations are considered Level 3 fair value measurements due to the use of significant judgmental and unobservable inputs, including projected timing and amount of future cash flows and discount rates reflecting risk inherent in the future market prices.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9300" w:type="dxa"/>
            <w:vAlign w:val="bottom"/>
          </w:tcPr>
          <w:p>
            <w:pPr>
              <w:ind w:left="260"/>
              <w:spacing w:after="0"/>
              <w:rPr>
                <w:sz w:val="20"/>
                <w:szCs w:val="20"/>
                <w:color w:val="auto"/>
              </w:rPr>
            </w:pPr>
            <w:r>
              <w:rPr>
                <w:rFonts w:ascii="Arial" w:cs="Arial" w:eastAsia="Arial" w:hAnsi="Arial"/>
                <w:sz w:val="14"/>
                <w:szCs w:val="14"/>
                <w:color w:val="auto"/>
              </w:rPr>
              <w:t>The following table presents the preliminary purchase price allocation as of September 30, 2019 (in millions):</w:t>
            </w:r>
          </w:p>
        </w:tc>
        <w:tc>
          <w:tcPr>
            <w:tcW w:w="90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09"/>
        </w:trPr>
        <w:tc>
          <w:tcPr>
            <w:tcW w:w="93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60" w:type="dxa"/>
            <w:vAlign w:val="bottom"/>
          </w:tcPr>
          <w:p>
            <w:pPr>
              <w:spacing w:after="0"/>
              <w:rPr>
                <w:sz w:val="9"/>
                <w:szCs w:val="9"/>
                <w:color w:val="auto"/>
              </w:rPr>
            </w:pPr>
          </w:p>
        </w:tc>
      </w:tr>
      <w:tr>
        <w:trPr>
          <w:trHeight w:val="196"/>
        </w:trPr>
        <w:tc>
          <w:tcPr>
            <w:tcW w:w="9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and cash equivalents</w:t>
            </w:r>
          </w:p>
        </w:tc>
        <w:tc>
          <w:tcPr>
            <w:tcW w:w="900" w:type="dxa"/>
            <w:vAlign w:val="bottom"/>
            <w:tcBorders>
              <w:bottom w:val="single" w:sz="8" w:color="CCEEFF"/>
            </w:tcBorders>
            <w:shd w:val="clear" w:color="auto" w:fill="CCEEFF"/>
          </w:tcPr>
          <w:p>
            <w:pPr>
              <w:jc w:val="right"/>
              <w:ind w:right="748"/>
              <w:spacing w:after="0"/>
              <w:rPr>
                <w:sz w:val="20"/>
                <w:szCs w:val="20"/>
                <w:color w:val="auto"/>
              </w:rPr>
            </w:pPr>
            <w:r>
              <w:rPr>
                <w:rFonts w:ascii="Arial" w:cs="Arial" w:eastAsia="Arial" w:hAnsi="Arial"/>
                <w:sz w:val="14"/>
                <w:szCs w:val="14"/>
                <w:color w:val="auto"/>
                <w:w w:val="76"/>
              </w:rPr>
              <w:t>$</w:t>
            </w:r>
          </w:p>
        </w:tc>
        <w:tc>
          <w:tcPr>
            <w:tcW w:w="126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16</w:t>
            </w:r>
          </w:p>
        </w:tc>
      </w:tr>
      <w:tr>
        <w:trPr>
          <w:trHeight w:val="193"/>
        </w:trPr>
        <w:tc>
          <w:tcPr>
            <w:tcW w:w="9300" w:type="dxa"/>
            <w:vAlign w:val="bottom"/>
          </w:tcPr>
          <w:p>
            <w:pPr>
              <w:ind w:left="20"/>
              <w:spacing w:after="0"/>
              <w:rPr>
                <w:sz w:val="20"/>
                <w:szCs w:val="20"/>
                <w:color w:val="auto"/>
              </w:rPr>
            </w:pPr>
            <w:r>
              <w:rPr>
                <w:rFonts w:ascii="Arial" w:cs="Arial" w:eastAsia="Arial" w:hAnsi="Arial"/>
                <w:sz w:val="14"/>
                <w:szCs w:val="14"/>
                <w:color w:val="auto"/>
              </w:rPr>
              <w:t>Other current assets</w:t>
            </w:r>
          </w:p>
        </w:tc>
        <w:tc>
          <w:tcPr>
            <w:tcW w:w="900" w:type="dxa"/>
            <w:vAlign w:val="bottom"/>
          </w:tcPr>
          <w:p>
            <w:pPr>
              <w:spacing w:after="0"/>
              <w:rPr>
                <w:sz w:val="16"/>
                <w:szCs w:val="16"/>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598</w:t>
            </w:r>
          </w:p>
        </w:tc>
      </w:tr>
      <w:tr>
        <w:trPr>
          <w:trHeight w:val="23"/>
        </w:trPr>
        <w:tc>
          <w:tcPr>
            <w:tcW w:w="9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96"/>
        </w:trPr>
        <w:tc>
          <w:tcPr>
            <w:tcW w:w="9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Property, plant and equipment, net</w:t>
            </w:r>
          </w:p>
        </w:tc>
        <w:tc>
          <w:tcPr>
            <w:tcW w:w="90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5,146</w:t>
            </w:r>
          </w:p>
        </w:tc>
      </w:tr>
      <w:tr>
        <w:trPr>
          <w:trHeight w:val="193"/>
        </w:trPr>
        <w:tc>
          <w:tcPr>
            <w:tcW w:w="9300" w:type="dxa"/>
            <w:vAlign w:val="bottom"/>
          </w:tcPr>
          <w:p>
            <w:pPr>
              <w:ind w:left="20"/>
              <w:spacing w:after="0"/>
              <w:rPr>
                <w:sz w:val="20"/>
                <w:szCs w:val="20"/>
                <w:color w:val="auto"/>
              </w:rPr>
            </w:pPr>
            <w:r>
              <w:rPr>
                <w:rFonts w:ascii="Arial" w:cs="Arial" w:eastAsia="Arial" w:hAnsi="Arial"/>
                <w:sz w:val="14"/>
                <w:szCs w:val="14"/>
                <w:color w:val="auto"/>
              </w:rPr>
              <w:t>Identifiable intangibles</w:t>
            </w:r>
          </w:p>
        </w:tc>
        <w:tc>
          <w:tcPr>
            <w:tcW w:w="900" w:type="dxa"/>
            <w:vAlign w:val="bottom"/>
          </w:tcPr>
          <w:p>
            <w:pPr>
              <w:spacing w:after="0"/>
              <w:rPr>
                <w:sz w:val="16"/>
                <w:szCs w:val="16"/>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322</w:t>
            </w:r>
          </w:p>
        </w:tc>
      </w:tr>
      <w:tr>
        <w:trPr>
          <w:trHeight w:val="23"/>
        </w:trPr>
        <w:tc>
          <w:tcPr>
            <w:tcW w:w="9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96"/>
        </w:trPr>
        <w:tc>
          <w:tcPr>
            <w:tcW w:w="9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Regulatory assets</w:t>
            </w:r>
          </w:p>
        </w:tc>
        <w:tc>
          <w:tcPr>
            <w:tcW w:w="90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338</w:t>
            </w:r>
          </w:p>
        </w:tc>
      </w:tr>
      <w:tr>
        <w:trPr>
          <w:trHeight w:val="193"/>
        </w:trPr>
        <w:tc>
          <w:tcPr>
            <w:tcW w:w="9300" w:type="dxa"/>
            <w:vAlign w:val="bottom"/>
          </w:tcPr>
          <w:p>
            <w:pPr>
              <w:ind w:left="20"/>
              <w:spacing w:after="0"/>
              <w:rPr>
                <w:sz w:val="20"/>
                <w:szCs w:val="20"/>
                <w:color w:val="auto"/>
              </w:rPr>
            </w:pPr>
            <w:r>
              <w:rPr>
                <w:rFonts w:ascii="Arial" w:cs="Arial" w:eastAsia="Arial" w:hAnsi="Arial"/>
                <w:sz w:val="14"/>
                <w:szCs w:val="14"/>
                <w:color w:val="auto"/>
              </w:rPr>
              <w:t>Other assets</w:t>
            </w:r>
          </w:p>
        </w:tc>
        <w:tc>
          <w:tcPr>
            <w:tcW w:w="900" w:type="dxa"/>
            <w:vAlign w:val="bottom"/>
          </w:tcPr>
          <w:p>
            <w:pPr>
              <w:spacing w:after="0"/>
              <w:rPr>
                <w:sz w:val="16"/>
                <w:szCs w:val="16"/>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151</w:t>
            </w:r>
          </w:p>
        </w:tc>
      </w:tr>
      <w:tr>
        <w:trPr>
          <w:trHeight w:val="23"/>
        </w:trPr>
        <w:tc>
          <w:tcPr>
            <w:tcW w:w="93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06"/>
        </w:trPr>
        <w:tc>
          <w:tcPr>
            <w:tcW w:w="9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assets acquired</w:t>
            </w:r>
          </w:p>
        </w:tc>
        <w:tc>
          <w:tcPr>
            <w:tcW w:w="90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6,571</w:t>
            </w:r>
          </w:p>
        </w:tc>
      </w:tr>
      <w:tr>
        <w:trPr>
          <w:trHeight w:val="184"/>
        </w:trPr>
        <w:tc>
          <w:tcPr>
            <w:tcW w:w="9300" w:type="dxa"/>
            <w:vAlign w:val="bottom"/>
          </w:tcPr>
          <w:p>
            <w:pPr>
              <w:ind w:left="20"/>
              <w:spacing w:after="0"/>
              <w:rPr>
                <w:sz w:val="20"/>
                <w:szCs w:val="20"/>
                <w:color w:val="auto"/>
              </w:rPr>
            </w:pPr>
            <w:r>
              <w:rPr>
                <w:rFonts w:ascii="Arial" w:cs="Arial" w:eastAsia="Arial" w:hAnsi="Arial"/>
                <w:sz w:val="14"/>
                <w:szCs w:val="14"/>
                <w:color w:val="auto"/>
              </w:rPr>
              <w:t>Current liabilities</w:t>
            </w:r>
          </w:p>
        </w:tc>
        <w:tc>
          <w:tcPr>
            <w:tcW w:w="90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690</w:t>
            </w:r>
          </w:p>
        </w:tc>
      </w:tr>
      <w:tr>
        <w:trPr>
          <w:trHeight w:val="23"/>
        </w:trPr>
        <w:tc>
          <w:tcPr>
            <w:tcW w:w="9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96"/>
        </w:trPr>
        <w:tc>
          <w:tcPr>
            <w:tcW w:w="9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Regulatory liabilities</w:t>
            </w:r>
          </w:p>
        </w:tc>
        <w:tc>
          <w:tcPr>
            <w:tcW w:w="90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944</w:t>
            </w:r>
          </w:p>
        </w:tc>
      </w:tr>
      <w:tr>
        <w:trPr>
          <w:trHeight w:val="193"/>
        </w:trPr>
        <w:tc>
          <w:tcPr>
            <w:tcW w:w="9300" w:type="dxa"/>
            <w:vAlign w:val="bottom"/>
          </w:tcPr>
          <w:p>
            <w:pPr>
              <w:ind w:left="20"/>
              <w:spacing w:after="0"/>
              <w:rPr>
                <w:sz w:val="20"/>
                <w:szCs w:val="20"/>
                <w:color w:val="auto"/>
              </w:rPr>
            </w:pPr>
            <w:r>
              <w:rPr>
                <w:rFonts w:ascii="Arial" w:cs="Arial" w:eastAsia="Arial" w:hAnsi="Arial"/>
                <w:sz w:val="14"/>
                <w:szCs w:val="14"/>
                <w:color w:val="auto"/>
              </w:rPr>
              <w:t>Other liabilities</w:t>
            </w:r>
          </w:p>
        </w:tc>
        <w:tc>
          <w:tcPr>
            <w:tcW w:w="900" w:type="dxa"/>
            <w:vAlign w:val="bottom"/>
          </w:tcPr>
          <w:p>
            <w:pPr>
              <w:spacing w:after="0"/>
              <w:rPr>
                <w:sz w:val="16"/>
                <w:szCs w:val="16"/>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860</w:t>
            </w:r>
          </w:p>
        </w:tc>
      </w:tr>
      <w:tr>
        <w:trPr>
          <w:trHeight w:val="23"/>
        </w:trPr>
        <w:tc>
          <w:tcPr>
            <w:tcW w:w="9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16"/>
        </w:trPr>
        <w:tc>
          <w:tcPr>
            <w:tcW w:w="9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Long-term debt</w:t>
            </w:r>
          </w:p>
        </w:tc>
        <w:tc>
          <w:tcPr>
            <w:tcW w:w="90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2,401</w:t>
            </w:r>
          </w:p>
        </w:tc>
      </w:tr>
      <w:tr>
        <w:trPr>
          <w:trHeight w:val="184"/>
        </w:trPr>
        <w:tc>
          <w:tcPr>
            <w:tcW w:w="9300" w:type="dxa"/>
            <w:vAlign w:val="bottom"/>
          </w:tcPr>
          <w:p>
            <w:pPr>
              <w:ind w:left="20"/>
              <w:spacing w:after="0"/>
              <w:rPr>
                <w:sz w:val="20"/>
                <w:szCs w:val="20"/>
                <w:color w:val="auto"/>
              </w:rPr>
            </w:pPr>
            <w:r>
              <w:rPr>
                <w:rFonts w:ascii="Arial" w:cs="Arial" w:eastAsia="Arial" w:hAnsi="Arial"/>
                <w:sz w:val="14"/>
                <w:szCs w:val="14"/>
                <w:color w:val="auto"/>
              </w:rPr>
              <w:t>Total liabilities assumed</w:t>
            </w:r>
          </w:p>
        </w:tc>
        <w:tc>
          <w:tcPr>
            <w:tcW w:w="90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4,895</w:t>
            </w:r>
          </w:p>
        </w:tc>
      </w:tr>
      <w:tr>
        <w:trPr>
          <w:trHeight w:val="23"/>
        </w:trPr>
        <w:tc>
          <w:tcPr>
            <w:tcW w:w="93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186"/>
        </w:trPr>
        <w:tc>
          <w:tcPr>
            <w:tcW w:w="9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assets acquired</w:t>
            </w:r>
          </w:p>
        </w:tc>
        <w:tc>
          <w:tcPr>
            <w:tcW w:w="90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1,676</w:t>
            </w:r>
          </w:p>
        </w:tc>
      </w:tr>
      <w:tr>
        <w:trPr>
          <w:trHeight w:val="193"/>
        </w:trPr>
        <w:tc>
          <w:tcPr>
            <w:tcW w:w="9300" w:type="dxa"/>
            <w:vAlign w:val="bottom"/>
          </w:tcPr>
          <w:p>
            <w:pPr>
              <w:ind w:left="20"/>
              <w:spacing w:after="0"/>
              <w:rPr>
                <w:sz w:val="20"/>
                <w:szCs w:val="20"/>
                <w:color w:val="auto"/>
              </w:rPr>
            </w:pPr>
            <w:r>
              <w:rPr>
                <w:rFonts w:ascii="Arial" w:cs="Arial" w:eastAsia="Arial" w:hAnsi="Arial"/>
                <w:sz w:val="14"/>
                <w:szCs w:val="14"/>
                <w:color w:val="auto"/>
              </w:rPr>
              <w:t>Goodwill</w:t>
            </w:r>
          </w:p>
        </w:tc>
        <w:tc>
          <w:tcPr>
            <w:tcW w:w="900" w:type="dxa"/>
            <w:vAlign w:val="bottom"/>
          </w:tcPr>
          <w:p>
            <w:pPr>
              <w:spacing w:after="0"/>
              <w:rPr>
                <w:sz w:val="16"/>
                <w:szCs w:val="16"/>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4,306</w:t>
            </w:r>
          </w:p>
        </w:tc>
      </w:tr>
      <w:tr>
        <w:trPr>
          <w:trHeight w:val="23"/>
        </w:trPr>
        <w:tc>
          <w:tcPr>
            <w:tcW w:w="93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00"/>
        </w:trPr>
        <w:tc>
          <w:tcPr>
            <w:tcW w:w="9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purchase price consideration</w:t>
            </w:r>
          </w:p>
        </w:tc>
        <w:tc>
          <w:tcPr>
            <w:tcW w:w="900" w:type="dxa"/>
            <w:vAlign w:val="bottom"/>
            <w:tcBorders>
              <w:bottom w:val="single" w:sz="8" w:color="auto"/>
            </w:tcBorders>
            <w:shd w:val="clear" w:color="auto" w:fill="CCEEFF"/>
          </w:tcPr>
          <w:p>
            <w:pPr>
              <w:jc w:val="right"/>
              <w:ind w:right="748"/>
              <w:spacing w:after="0"/>
              <w:rPr>
                <w:sz w:val="20"/>
                <w:szCs w:val="20"/>
                <w:color w:val="auto"/>
              </w:rPr>
            </w:pPr>
            <w:r>
              <w:rPr>
                <w:rFonts w:ascii="Arial" w:cs="Arial" w:eastAsia="Arial" w:hAnsi="Arial"/>
                <w:sz w:val="14"/>
                <w:szCs w:val="14"/>
                <w:color w:val="auto"/>
                <w:w w:val="76"/>
              </w:rPr>
              <w:t>$</w:t>
            </w:r>
          </w:p>
        </w:tc>
        <w:tc>
          <w:tcPr>
            <w:tcW w:w="12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5,982</w:t>
            </w:r>
          </w:p>
        </w:tc>
      </w:tr>
      <w:tr>
        <w:trPr>
          <w:trHeight w:val="20"/>
        </w:trPr>
        <w:tc>
          <w:tcPr>
            <w:tcW w:w="93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334" w:lineRule="exact"/>
        <w:rPr>
          <w:sz w:val="20"/>
          <w:szCs w:val="20"/>
          <w:color w:val="auto"/>
        </w:rPr>
      </w:pPr>
    </w:p>
    <w:p>
      <w:pPr>
        <w:jc w:val="both"/>
        <w:ind w:firstLine="259"/>
        <w:spacing w:after="0" w:line="294" w:lineRule="auto"/>
        <w:rPr>
          <w:sz w:val="20"/>
          <w:szCs w:val="20"/>
          <w:color w:val="auto"/>
        </w:rPr>
      </w:pPr>
      <w:r>
        <w:rPr>
          <w:rFonts w:ascii="Arial" w:cs="Arial" w:eastAsia="Arial" w:hAnsi="Arial"/>
          <w:sz w:val="13"/>
          <w:szCs w:val="13"/>
          <w:color w:val="auto"/>
        </w:rPr>
        <w:t>CenterPoint Energy has not completed a final valuation analysis necessary to determine the fair market values of all of Vectren’s assets and liabilities or the allocation of its purchase price. The preliminary amounts may change as CenterPoint Energy completes its analysis of key valuation assumptions and various tax matters. The preliminary amounts are subject to revision to the extent that additional information is obtained about the facts and circumstances that existed as of the Merger Date. The final allocation could differ materially from this preliminary purchase price allocation and, as such, no assurances can be provided regarding the preliminary purchase accounting. The final allocation may include changes in the fair value of (1) property, plant and equipment,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ectPr>
          <w:pgSz w:w="11900" w:h="16838" w:orient="portrait"/>
          <w:cols w:equalWidth="0" w:num="1">
            <w:col w:w="11460"/>
          </w:cols>
          <w:pgMar w:left="220" w:top="129" w:right="219" w:bottom="1440" w:gutter="0" w:footer="0" w:header="0"/>
        </w:sectPr>
      </w:pPr>
    </w:p>
    <w:bookmarkStart w:id="32" w:name="page33"/>
    <w:bookmarkEnd w:id="32"/>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205" w:lineRule="exact"/>
        <w:rPr>
          <w:sz w:val="20"/>
          <w:szCs w:val="20"/>
          <w:color w:val="auto"/>
        </w:rPr>
      </w:pPr>
    </w:p>
    <w:p>
      <w:pPr>
        <w:ind w:firstLine="6"/>
        <w:spacing w:after="0" w:line="288" w:lineRule="auto"/>
        <w:tabs>
          <w:tab w:leader="none" w:pos="208" w:val="left"/>
        </w:tabs>
        <w:numPr>
          <w:ilvl w:val="0"/>
          <w:numId w:val="7"/>
        </w:numPr>
        <w:rPr>
          <w:rFonts w:ascii="Arial" w:cs="Arial" w:eastAsia="Arial" w:hAnsi="Arial"/>
          <w:sz w:val="14"/>
          <w:szCs w:val="14"/>
          <w:color w:val="auto"/>
        </w:rPr>
      </w:pPr>
      <w:r>
        <w:rPr>
          <w:rFonts w:ascii="Arial" w:cs="Arial" w:eastAsia="Arial" w:hAnsi="Arial"/>
          <w:sz w:val="14"/>
          <w:szCs w:val="14"/>
          <w:color w:val="auto"/>
        </w:rPr>
        <w:t>intangible assets and goodwill, (3) deferred taxes and (4) other assets and liabilities. Changes in the preliminary purchase price allocation since the initial estimates reported in the first quarter of 2019 primarily included additional information obtained related to intangible assets.</w:t>
      </w:r>
    </w:p>
    <w:p>
      <w:pPr>
        <w:spacing w:after="0" w:line="131" w:lineRule="exact"/>
        <w:rPr>
          <w:sz w:val="20"/>
          <w:szCs w:val="20"/>
          <w:color w:val="auto"/>
        </w:rPr>
      </w:pPr>
    </w:p>
    <w:p>
      <w:pPr>
        <w:jc w:val="both"/>
        <w:ind w:firstLine="259"/>
        <w:spacing w:after="0" w:line="267" w:lineRule="auto"/>
        <w:rPr>
          <w:sz w:val="20"/>
          <w:szCs w:val="20"/>
          <w:color w:val="auto"/>
        </w:rPr>
      </w:pPr>
      <w:r>
        <w:rPr>
          <w:rFonts w:ascii="Arial" w:cs="Arial" w:eastAsia="Arial" w:hAnsi="Arial"/>
          <w:sz w:val="14"/>
          <w:szCs w:val="14"/>
          <w:color w:val="auto"/>
        </w:rPr>
        <w:t>The excess of the purchase price over the estimated fair values of the assets acquired and liabilities assumed is recognized as goodwill, which is primarily attributable to significant potential strategic benefits to CenterPoint Energy, including growth opportunities for more rate-regulated investment, more customers for existing products and services and additional products and services for existing customers. Additionally, CenterPoint Energy believes the Merger will increase geographic and business diversity as well as scale in attractive jurisdictions and economies. CenterPoint Energy anticipates that the value assigned to goodwill will not be deductible for tax purposes.</w:t>
      </w:r>
    </w:p>
    <w:p>
      <w:pPr>
        <w:spacing w:after="0" w:line="146"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estimated fair value of the identifiable intangible assets and related useful lives as included in the preliminary purchase price allocation include:</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8600" w:type="dxa"/>
            <w:vAlign w:val="bottom"/>
          </w:tcPr>
          <w:p>
            <w:pPr>
              <w:spacing w:after="0"/>
              <w:rPr>
                <w:sz w:val="10"/>
                <w:szCs w:val="10"/>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3"/>
              </w:rPr>
              <w:t>Weighted Average Useful</w:t>
            </w:r>
          </w:p>
        </w:tc>
        <w:tc>
          <w:tcPr>
            <w:tcW w:w="120" w:type="dxa"/>
            <w:vAlign w:val="bottom"/>
          </w:tcPr>
          <w:p>
            <w:pPr>
              <w:spacing w:after="0"/>
              <w:rPr>
                <w:sz w:val="10"/>
                <w:szCs w:val="10"/>
                <w:color w:val="auto"/>
              </w:rPr>
            </w:pPr>
          </w:p>
        </w:tc>
        <w:tc>
          <w:tcPr>
            <w:tcW w:w="1240" w:type="dxa"/>
            <w:vAlign w:val="bottom"/>
            <w:vMerge w:val="restart"/>
          </w:tcPr>
          <w:p>
            <w:pPr>
              <w:jc w:val="right"/>
              <w:ind w:right="92"/>
              <w:spacing w:after="0"/>
              <w:rPr>
                <w:sz w:val="20"/>
                <w:szCs w:val="20"/>
                <w:color w:val="auto"/>
              </w:rPr>
            </w:pPr>
            <w:r>
              <w:rPr>
                <w:rFonts w:ascii="Arial" w:cs="Arial" w:eastAsia="Arial" w:hAnsi="Arial"/>
                <w:sz w:val="11"/>
                <w:szCs w:val="11"/>
                <w:b w:val="1"/>
                <w:bCs w:val="1"/>
                <w:color w:val="auto"/>
                <w:w w:val="97"/>
              </w:rPr>
              <w:t>Estimated Fair Value</w:t>
            </w:r>
          </w:p>
        </w:tc>
        <w:tc>
          <w:tcPr>
            <w:tcW w:w="0" w:type="dxa"/>
            <w:vAlign w:val="bottom"/>
          </w:tcPr>
          <w:p>
            <w:pPr>
              <w:spacing w:after="0"/>
              <w:rPr>
                <w:sz w:val="1"/>
                <w:szCs w:val="1"/>
                <w:color w:val="auto"/>
              </w:rPr>
            </w:pPr>
          </w:p>
        </w:tc>
      </w:tr>
      <w:tr>
        <w:trPr>
          <w:trHeight w:val="153"/>
        </w:trPr>
        <w:tc>
          <w:tcPr>
            <w:tcW w:w="8600" w:type="dxa"/>
            <w:vAlign w:val="bottom"/>
          </w:tcPr>
          <w:p>
            <w:pPr>
              <w:spacing w:after="0"/>
              <w:rPr>
                <w:sz w:val="13"/>
                <w:szCs w:val="13"/>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2"/>
              </w:rPr>
              <w:t>Lives</w:t>
            </w:r>
          </w:p>
        </w:tc>
        <w:tc>
          <w:tcPr>
            <w:tcW w:w="1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8600" w:type="dxa"/>
            <w:vAlign w:val="bottom"/>
          </w:tcPr>
          <w:p>
            <w:pPr>
              <w:spacing w:after="0"/>
              <w:rPr>
                <w:sz w:val="17"/>
                <w:szCs w:val="17"/>
                <w:color w:val="auto"/>
              </w:rPr>
            </w:pPr>
          </w:p>
        </w:tc>
        <w:tc>
          <w:tcPr>
            <w:tcW w:w="150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3"/>
              </w:rPr>
              <w:t>(in years)</w:t>
            </w:r>
          </w:p>
        </w:tc>
        <w:tc>
          <w:tcPr>
            <w:tcW w:w="120" w:type="dxa"/>
            <w:vAlign w:val="bottom"/>
          </w:tcPr>
          <w:p>
            <w:pPr>
              <w:spacing w:after="0"/>
              <w:rPr>
                <w:sz w:val="17"/>
                <w:szCs w:val="17"/>
                <w:color w:val="auto"/>
              </w:rPr>
            </w:pPr>
          </w:p>
        </w:tc>
        <w:tc>
          <w:tcPr>
            <w:tcW w:w="1240" w:type="dxa"/>
            <w:vAlign w:val="bottom"/>
          </w:tcPr>
          <w:p>
            <w:pPr>
              <w:jc w:val="right"/>
              <w:ind w:right="312"/>
              <w:spacing w:after="0"/>
              <w:rPr>
                <w:sz w:val="20"/>
                <w:szCs w:val="20"/>
                <w:color w:val="auto"/>
              </w:rPr>
            </w:pPr>
            <w:r>
              <w:rPr>
                <w:rFonts w:ascii="Arial" w:cs="Arial" w:eastAsia="Arial" w:hAnsi="Arial"/>
                <w:sz w:val="11"/>
                <w:szCs w:val="11"/>
                <w:b w:val="1"/>
                <w:bCs w:val="1"/>
                <w:color w:val="auto"/>
              </w:rPr>
              <w:t>(in millions)</w:t>
            </w:r>
          </w:p>
        </w:tc>
        <w:tc>
          <w:tcPr>
            <w:tcW w:w="0" w:type="dxa"/>
            <w:vAlign w:val="bottom"/>
          </w:tcPr>
          <w:p>
            <w:pPr>
              <w:spacing w:after="0"/>
              <w:rPr>
                <w:sz w:val="1"/>
                <w:szCs w:val="1"/>
                <w:color w:val="auto"/>
              </w:rPr>
            </w:pPr>
          </w:p>
        </w:tc>
      </w:tr>
      <w:tr>
        <w:trPr>
          <w:trHeight w:val="200"/>
        </w:trPr>
        <w:tc>
          <w:tcPr>
            <w:tcW w:w="8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Operation and maintenance agreements</w:t>
            </w:r>
          </w:p>
        </w:tc>
        <w:tc>
          <w:tcPr>
            <w:tcW w:w="1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89"/>
              </w:rPr>
              <w:t>24</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93"/>
        </w:trPr>
        <w:tc>
          <w:tcPr>
            <w:tcW w:w="8600" w:type="dxa"/>
            <w:vAlign w:val="bottom"/>
          </w:tcPr>
          <w:p>
            <w:pPr>
              <w:ind w:left="20"/>
              <w:spacing w:after="0"/>
              <w:rPr>
                <w:sz w:val="20"/>
                <w:szCs w:val="20"/>
                <w:color w:val="auto"/>
              </w:rPr>
            </w:pPr>
            <w:r>
              <w:rPr>
                <w:rFonts w:ascii="Arial" w:cs="Arial" w:eastAsia="Arial" w:hAnsi="Arial"/>
                <w:sz w:val="14"/>
                <w:szCs w:val="14"/>
                <w:color w:val="auto"/>
              </w:rPr>
              <w:t>Customer relationships</w:t>
            </w:r>
          </w:p>
        </w:tc>
        <w:tc>
          <w:tcPr>
            <w:tcW w:w="1380" w:type="dxa"/>
            <w:vAlign w:val="bottom"/>
          </w:tcPr>
          <w:p>
            <w:pPr>
              <w:jc w:val="center"/>
              <w:spacing w:after="0"/>
              <w:rPr>
                <w:sz w:val="20"/>
                <w:szCs w:val="20"/>
                <w:color w:val="auto"/>
              </w:rPr>
            </w:pPr>
            <w:r>
              <w:rPr>
                <w:rFonts w:ascii="Arial" w:cs="Arial" w:eastAsia="Arial" w:hAnsi="Arial"/>
                <w:sz w:val="14"/>
                <w:szCs w:val="14"/>
                <w:color w:val="auto"/>
                <w:w w:val="89"/>
              </w:rPr>
              <w:t>18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jc w:val="right"/>
              <w:ind w:right="32"/>
              <w:spacing w:after="0"/>
              <w:rPr>
                <w:sz w:val="20"/>
                <w:szCs w:val="20"/>
                <w:color w:val="auto"/>
              </w:rPr>
            </w:pPr>
            <w:r>
              <w:rPr>
                <w:rFonts w:ascii="Arial" w:cs="Arial" w:eastAsia="Arial" w:hAnsi="Arial"/>
                <w:sz w:val="14"/>
                <w:szCs w:val="14"/>
                <w:color w:val="auto"/>
              </w:rPr>
              <w:t>220</w:t>
            </w:r>
          </w:p>
        </w:tc>
        <w:tc>
          <w:tcPr>
            <w:tcW w:w="0" w:type="dxa"/>
            <w:vAlign w:val="bottom"/>
          </w:tcPr>
          <w:p>
            <w:pPr>
              <w:spacing w:after="0"/>
              <w:rPr>
                <w:sz w:val="1"/>
                <w:szCs w:val="1"/>
                <w:color w:val="auto"/>
              </w:rPr>
            </w:pPr>
          </w:p>
        </w:tc>
      </w:tr>
      <w:tr>
        <w:trPr>
          <w:trHeight w:val="23"/>
        </w:trPr>
        <w:tc>
          <w:tcPr>
            <w:tcW w:w="86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Construction backlog</w:t>
            </w:r>
          </w:p>
        </w:tc>
        <w:tc>
          <w:tcPr>
            <w:tcW w:w="1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rPr>
              <w:t>1</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193"/>
        </w:trPr>
        <w:tc>
          <w:tcPr>
            <w:tcW w:w="8600" w:type="dxa"/>
            <w:vAlign w:val="bottom"/>
          </w:tcPr>
          <w:p>
            <w:pPr>
              <w:ind w:left="20"/>
              <w:spacing w:after="0"/>
              <w:rPr>
                <w:sz w:val="20"/>
                <w:szCs w:val="20"/>
                <w:color w:val="auto"/>
              </w:rPr>
            </w:pPr>
            <w:r>
              <w:rPr>
                <w:rFonts w:ascii="Arial" w:cs="Arial" w:eastAsia="Arial" w:hAnsi="Arial"/>
                <w:sz w:val="14"/>
                <w:szCs w:val="14"/>
                <w:color w:val="auto"/>
              </w:rPr>
              <w:t>Trade names</w:t>
            </w:r>
          </w:p>
        </w:tc>
        <w:tc>
          <w:tcPr>
            <w:tcW w:w="1380" w:type="dxa"/>
            <w:vAlign w:val="bottom"/>
          </w:tcPr>
          <w:p>
            <w:pPr>
              <w:jc w:val="center"/>
              <w:spacing w:after="0"/>
              <w:rPr>
                <w:sz w:val="20"/>
                <w:szCs w:val="20"/>
                <w:color w:val="auto"/>
              </w:rPr>
            </w:pPr>
            <w:r>
              <w:rPr>
                <w:rFonts w:ascii="Arial" w:cs="Arial" w:eastAsia="Arial" w:hAnsi="Arial"/>
                <w:sz w:val="14"/>
                <w:szCs w:val="14"/>
                <w:color w:val="auto"/>
                <w:w w:val="89"/>
              </w:rPr>
              <w:t>10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jc w:val="right"/>
              <w:ind w:right="32"/>
              <w:spacing w:after="0"/>
              <w:rPr>
                <w:sz w:val="20"/>
                <w:szCs w:val="20"/>
                <w:color w:val="auto"/>
              </w:rPr>
            </w:pPr>
            <w:r>
              <w:rPr>
                <w:rFonts w:ascii="Arial" w:cs="Arial" w:eastAsia="Arial" w:hAnsi="Arial"/>
                <w:sz w:val="14"/>
                <w:szCs w:val="14"/>
                <w:color w:val="auto"/>
              </w:rPr>
              <w:t>62</w:t>
            </w:r>
          </w:p>
        </w:tc>
        <w:tc>
          <w:tcPr>
            <w:tcW w:w="0" w:type="dxa"/>
            <w:vAlign w:val="bottom"/>
          </w:tcPr>
          <w:p>
            <w:pPr>
              <w:spacing w:after="0"/>
              <w:rPr>
                <w:sz w:val="1"/>
                <w:szCs w:val="1"/>
                <w:color w:val="auto"/>
              </w:rPr>
            </w:pPr>
          </w:p>
        </w:tc>
      </w:tr>
      <w:tr>
        <w:trPr>
          <w:trHeight w:val="23"/>
        </w:trPr>
        <w:tc>
          <w:tcPr>
            <w:tcW w:w="860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86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4"/>
                <w:szCs w:val="14"/>
                <w:color w:val="auto"/>
              </w:rPr>
              <w:t>Total</w:t>
            </w:r>
          </w:p>
        </w:tc>
        <w:tc>
          <w:tcPr>
            <w:tcW w:w="13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322</w:t>
            </w:r>
          </w:p>
        </w:tc>
        <w:tc>
          <w:tcPr>
            <w:tcW w:w="0" w:type="dxa"/>
            <w:vAlign w:val="bottom"/>
          </w:tcPr>
          <w:p>
            <w:pPr>
              <w:spacing w:after="0"/>
              <w:rPr>
                <w:sz w:val="1"/>
                <w:szCs w:val="1"/>
                <w:color w:val="auto"/>
              </w:rPr>
            </w:pPr>
          </w:p>
        </w:tc>
      </w:tr>
      <w:tr>
        <w:trPr>
          <w:trHeight w:val="20"/>
        </w:trPr>
        <w:tc>
          <w:tcPr>
            <w:tcW w:w="86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4" w:lineRule="exact"/>
        <w:rPr>
          <w:sz w:val="20"/>
          <w:szCs w:val="20"/>
          <w:color w:val="auto"/>
        </w:rPr>
      </w:pPr>
    </w:p>
    <w:p>
      <w:pPr>
        <w:jc w:val="both"/>
        <w:ind w:firstLine="259"/>
        <w:spacing w:after="0" w:line="267" w:lineRule="auto"/>
        <w:rPr>
          <w:sz w:val="20"/>
          <w:szCs w:val="20"/>
          <w:color w:val="auto"/>
        </w:rPr>
      </w:pPr>
      <w:r>
        <w:rPr>
          <w:rFonts w:ascii="Arial" w:cs="Arial" w:eastAsia="Arial" w:hAnsi="Arial"/>
          <w:sz w:val="14"/>
          <w:szCs w:val="14"/>
          <w:color w:val="auto"/>
        </w:rPr>
        <w:t>Amortization expense related to the operation and maintenance agreements and construction backlog was $7 million and $19 million for the three and nine months ended September 30, 2019, respectively, and is included in Non-utility cost of revenues, including natural gas on CenterPoint Energy’s Condensed Statements of Consolidated Income. Amortization expense related to customer relationships and trade names was $5 million and $13 million for the three and nine months ended September 30, 2019, respectively, and is included in Depreciation and amortization expense on CenterPoint Energy’s Condensed Statements of Consolidated Income.</w:t>
      </w:r>
    </w:p>
    <w:p>
      <w:pPr>
        <w:spacing w:after="0" w:line="146"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results of operations for Vectren included in CenterPoint Energy’s Interim Condensed Financial Statements from the Merger Date are as follows: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7680" w:type="dxa"/>
            <w:vAlign w:val="bottom"/>
          </w:tcPr>
          <w:p>
            <w:pPr>
              <w:spacing w:after="0"/>
              <w:rPr>
                <w:sz w:val="10"/>
                <w:szCs w:val="10"/>
                <w:color w:val="auto"/>
              </w:rPr>
            </w:pPr>
          </w:p>
        </w:tc>
        <w:tc>
          <w:tcPr>
            <w:tcW w:w="1900" w:type="dxa"/>
            <w:vAlign w:val="bottom"/>
            <w:gridSpan w:val="2"/>
          </w:tcPr>
          <w:p>
            <w:pPr>
              <w:ind w:left="40"/>
              <w:spacing w:after="0"/>
              <w:rPr>
                <w:sz w:val="20"/>
                <w:szCs w:val="20"/>
                <w:color w:val="auto"/>
              </w:rPr>
            </w:pPr>
            <w:r>
              <w:rPr>
                <w:rFonts w:ascii="Arial" w:cs="Arial" w:eastAsia="Arial" w:hAnsi="Arial"/>
                <w:sz w:val="11"/>
                <w:szCs w:val="11"/>
                <w:b w:val="1"/>
                <w:bCs w:val="1"/>
                <w:color w:val="auto"/>
                <w:w w:val="98"/>
              </w:rPr>
              <w:t>Three Months Ended September 30,</w:t>
            </w:r>
          </w:p>
        </w:tc>
        <w:tc>
          <w:tcPr>
            <w:tcW w:w="1880" w:type="dxa"/>
            <w:vAlign w:val="bottom"/>
            <w:gridSpan w:val="2"/>
          </w:tcPr>
          <w:p>
            <w:pPr>
              <w:jc w:val="right"/>
              <w:spacing w:after="0"/>
              <w:rPr>
                <w:sz w:val="20"/>
                <w:szCs w:val="20"/>
                <w:color w:val="auto"/>
              </w:rPr>
            </w:pPr>
            <w:r>
              <w:rPr>
                <w:rFonts w:ascii="Arial" w:cs="Arial" w:eastAsia="Arial" w:hAnsi="Arial"/>
                <w:sz w:val="11"/>
                <w:szCs w:val="11"/>
                <w:b w:val="1"/>
                <w:bCs w:val="1"/>
                <w:color w:val="auto"/>
              </w:rPr>
              <w:t>Nine Months Ended September 30,</w:t>
            </w:r>
          </w:p>
        </w:tc>
      </w:tr>
      <w:tr>
        <w:trPr>
          <w:trHeight w:val="153"/>
        </w:trPr>
        <w:tc>
          <w:tcPr>
            <w:tcW w:w="7680" w:type="dxa"/>
            <w:vAlign w:val="bottom"/>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jc w:val="right"/>
              <w:ind w:right="795"/>
              <w:spacing w:after="0"/>
              <w:rPr>
                <w:sz w:val="20"/>
                <w:szCs w:val="20"/>
                <w:color w:val="auto"/>
              </w:rPr>
            </w:pPr>
            <w:r>
              <w:rPr>
                <w:rFonts w:ascii="Arial" w:cs="Arial" w:eastAsia="Arial" w:hAnsi="Arial"/>
                <w:sz w:val="11"/>
                <w:szCs w:val="11"/>
                <w:b w:val="1"/>
                <w:bCs w:val="1"/>
                <w:color w:val="auto"/>
              </w:rPr>
              <w:t>2019</w:t>
            </w:r>
          </w:p>
        </w:tc>
        <w:tc>
          <w:tcPr>
            <w:tcW w:w="58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713"/>
              <w:spacing w:after="0"/>
              <w:rPr>
                <w:sz w:val="20"/>
                <w:szCs w:val="20"/>
                <w:color w:val="auto"/>
              </w:rPr>
            </w:pPr>
            <w:r>
              <w:rPr>
                <w:rFonts w:ascii="Arial" w:cs="Arial" w:eastAsia="Arial" w:hAnsi="Arial"/>
                <w:sz w:val="11"/>
                <w:szCs w:val="11"/>
                <w:b w:val="1"/>
                <w:bCs w:val="1"/>
                <w:color w:val="auto"/>
              </w:rPr>
              <w:t>2019</w:t>
            </w:r>
          </w:p>
        </w:tc>
      </w:tr>
      <w:tr>
        <w:trPr>
          <w:trHeight w:val="196"/>
        </w:trPr>
        <w:tc>
          <w:tcPr>
            <w:tcW w:w="76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20" w:type="dxa"/>
            <w:vAlign w:val="bottom"/>
            <w:gridSpan w:val="2"/>
          </w:tcPr>
          <w:p>
            <w:pPr>
              <w:jc w:val="right"/>
              <w:ind w:right="215"/>
              <w:spacing w:after="0"/>
              <w:rPr>
                <w:sz w:val="20"/>
                <w:szCs w:val="20"/>
                <w:color w:val="auto"/>
              </w:rPr>
            </w:pPr>
            <w:r>
              <w:rPr>
                <w:rFonts w:ascii="Arial" w:cs="Arial" w:eastAsia="Arial" w:hAnsi="Arial"/>
                <w:sz w:val="11"/>
                <w:szCs w:val="11"/>
                <w:b w:val="1"/>
                <w:bCs w:val="1"/>
                <w:color w:val="auto"/>
              </w:rPr>
              <w:t>(in millions)</w:t>
            </w:r>
          </w:p>
        </w:tc>
        <w:tc>
          <w:tcPr>
            <w:tcW w:w="1300" w:type="dxa"/>
            <w:vAlign w:val="bottom"/>
          </w:tcPr>
          <w:p>
            <w:pPr>
              <w:spacing w:after="0"/>
              <w:rPr>
                <w:sz w:val="17"/>
                <w:szCs w:val="17"/>
                <w:color w:val="auto"/>
              </w:rPr>
            </w:pPr>
          </w:p>
        </w:tc>
      </w:tr>
      <w:tr>
        <w:trPr>
          <w:trHeight w:val="200"/>
        </w:trPr>
        <w:tc>
          <w:tcPr>
            <w:tcW w:w="7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Operating revenues</w:t>
            </w:r>
          </w:p>
        </w:tc>
        <w:tc>
          <w:tcPr>
            <w:tcW w:w="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4"/>
                <w:szCs w:val="14"/>
                <w:color w:val="auto"/>
              </w:rPr>
              <w:t>756</w:t>
            </w:r>
          </w:p>
        </w:tc>
        <w:tc>
          <w:tcPr>
            <w:tcW w:w="580" w:type="dxa"/>
            <w:vAlign w:val="bottom"/>
            <w:tcBorders>
              <w:bottom w:val="single" w:sz="8" w:color="CCEEFF"/>
            </w:tcBorders>
            <w:shd w:val="clear" w:color="auto" w:fill="CCEEFF"/>
          </w:tcPr>
          <w:p>
            <w:pPr>
              <w:jc w:val="right"/>
              <w:ind w:right="355"/>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4"/>
                <w:szCs w:val="14"/>
                <w:color w:val="auto"/>
              </w:rPr>
              <w:t>1,917</w:t>
            </w:r>
          </w:p>
        </w:tc>
      </w:tr>
      <w:tr>
        <w:trPr>
          <w:trHeight w:val="193"/>
        </w:trPr>
        <w:tc>
          <w:tcPr>
            <w:tcW w:w="768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460" w:type="dxa"/>
            <w:vAlign w:val="bottom"/>
          </w:tcPr>
          <w:p>
            <w:pPr>
              <w:spacing w:after="0"/>
              <w:rPr>
                <w:sz w:val="16"/>
                <w:szCs w:val="16"/>
                <w:color w:val="auto"/>
              </w:rPr>
            </w:pPr>
          </w:p>
        </w:tc>
        <w:tc>
          <w:tcPr>
            <w:tcW w:w="1440" w:type="dxa"/>
            <w:vAlign w:val="bottom"/>
          </w:tcPr>
          <w:p>
            <w:pPr>
              <w:jc w:val="right"/>
              <w:ind w:right="95"/>
              <w:spacing w:after="0"/>
              <w:rPr>
                <w:sz w:val="20"/>
                <w:szCs w:val="20"/>
                <w:color w:val="auto"/>
              </w:rPr>
            </w:pPr>
            <w:r>
              <w:rPr>
                <w:rFonts w:ascii="Arial" w:cs="Arial" w:eastAsia="Arial" w:hAnsi="Arial"/>
                <w:sz w:val="14"/>
                <w:szCs w:val="14"/>
                <w:color w:val="auto"/>
              </w:rPr>
              <w:t>67</w:t>
            </w:r>
          </w:p>
        </w:tc>
        <w:tc>
          <w:tcPr>
            <w:tcW w:w="580" w:type="dxa"/>
            <w:vAlign w:val="bottom"/>
          </w:tcPr>
          <w:p>
            <w:pPr>
              <w:spacing w:after="0"/>
              <w:rPr>
                <w:sz w:val="16"/>
                <w:szCs w:val="16"/>
                <w:color w:val="auto"/>
              </w:rPr>
            </w:pPr>
          </w:p>
        </w:tc>
        <w:tc>
          <w:tcPr>
            <w:tcW w:w="1300" w:type="dxa"/>
            <w:vAlign w:val="bottom"/>
          </w:tcPr>
          <w:p>
            <w:pPr>
              <w:jc w:val="right"/>
              <w:ind w:right="33"/>
              <w:spacing w:after="0"/>
              <w:rPr>
                <w:sz w:val="20"/>
                <w:szCs w:val="20"/>
                <w:color w:val="auto"/>
              </w:rPr>
            </w:pPr>
            <w:r>
              <w:rPr>
                <w:rFonts w:ascii="Arial" w:cs="Arial" w:eastAsia="Arial" w:hAnsi="Arial"/>
                <w:sz w:val="14"/>
                <w:szCs w:val="14"/>
                <w:color w:val="auto"/>
              </w:rPr>
              <w:t>86</w:t>
            </w:r>
          </w:p>
        </w:tc>
      </w:tr>
    </w:tbl>
    <w:p>
      <w:pPr>
        <w:spacing w:after="0" w:line="357" w:lineRule="exact"/>
        <w:rPr>
          <w:sz w:val="20"/>
          <w:szCs w:val="20"/>
          <w:color w:val="auto"/>
        </w:rPr>
      </w:pPr>
    </w:p>
    <w:p>
      <w:pPr>
        <w:jc w:val="both"/>
        <w:ind w:firstLine="259"/>
        <w:spacing w:after="0" w:line="272" w:lineRule="auto"/>
        <w:rPr>
          <w:sz w:val="20"/>
          <w:szCs w:val="20"/>
          <w:color w:val="auto"/>
        </w:rPr>
      </w:pPr>
      <w:r>
        <w:rPr>
          <w:rFonts w:ascii="Arial" w:cs="Arial" w:eastAsia="Arial" w:hAnsi="Arial"/>
          <w:sz w:val="14"/>
          <w:szCs w:val="14"/>
          <w:color w:val="auto"/>
        </w:rPr>
        <w:t>The following unaudited pro forma financial information reflects the consolidated results of operations of CenterPoint Energy, assuming the Merger had taken place on January 1, 2018. The unaudited pro forma financial information has been presented for illustrative purposes only and is not necessarily indicative of the consolidated results of operations that would have been achieved had the Merger taken place on the dates indicated or of the future consolidated results of operations of the combined company.</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4140" w:type="dxa"/>
            <w:vAlign w:val="bottom"/>
          </w:tcPr>
          <w:p>
            <w:pPr>
              <w:spacing w:after="0"/>
              <w:rPr>
                <w:sz w:val="13"/>
                <w:szCs w:val="13"/>
                <w:color w:val="auto"/>
              </w:rPr>
            </w:pPr>
          </w:p>
        </w:tc>
        <w:tc>
          <w:tcPr>
            <w:tcW w:w="2740" w:type="dxa"/>
            <w:vAlign w:val="bottom"/>
            <w:tcBorders>
              <w:bottom w:val="single" w:sz="8" w:color="auto"/>
            </w:tcBorders>
            <w:gridSpan w:val="3"/>
          </w:tcPr>
          <w:p>
            <w:pPr>
              <w:jc w:val="right"/>
              <w:ind w:right="155"/>
              <w:spacing w:after="0"/>
              <w:rPr>
                <w:sz w:val="20"/>
                <w:szCs w:val="20"/>
                <w:color w:val="auto"/>
              </w:rPr>
            </w:pPr>
            <w:r>
              <w:rPr>
                <w:rFonts w:ascii="Arial" w:cs="Arial" w:eastAsia="Arial" w:hAnsi="Arial"/>
                <w:sz w:val="11"/>
                <w:szCs w:val="11"/>
                <w:b w:val="1"/>
                <w:bCs w:val="1"/>
                <w:color w:val="auto"/>
              </w:rPr>
              <w:t>Three Months Ended September 30,</w:t>
            </w:r>
          </w:p>
        </w:tc>
        <w:tc>
          <w:tcPr>
            <w:tcW w:w="4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6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2840" w:type="dxa"/>
            <w:vAlign w:val="bottom"/>
            <w:tcBorders>
              <w:bottom w:val="single" w:sz="8" w:color="auto"/>
            </w:tcBorders>
            <w:gridSpan w:val="3"/>
          </w:tcPr>
          <w:p>
            <w:pPr>
              <w:jc w:val="right"/>
              <w:ind w:right="633"/>
              <w:spacing w:after="0"/>
              <w:rPr>
                <w:sz w:val="20"/>
                <w:szCs w:val="20"/>
                <w:color w:val="auto"/>
              </w:rPr>
            </w:pPr>
            <w:r>
              <w:rPr>
                <w:rFonts w:ascii="Arial" w:cs="Arial" w:eastAsia="Arial" w:hAnsi="Arial"/>
                <w:sz w:val="11"/>
                <w:szCs w:val="11"/>
                <w:b w:val="1"/>
                <w:bCs w:val="1"/>
                <w:color w:val="auto"/>
              </w:rPr>
              <w:t>Nine Months Ended September 30,</w:t>
            </w:r>
          </w:p>
        </w:tc>
        <w:tc>
          <w:tcPr>
            <w:tcW w:w="460" w:type="dxa"/>
            <w:vAlign w:val="bottom"/>
          </w:tcPr>
          <w:p>
            <w:pPr>
              <w:spacing w:after="0"/>
              <w:rPr>
                <w:sz w:val="13"/>
                <w:szCs w:val="13"/>
                <w:color w:val="auto"/>
              </w:rPr>
            </w:pPr>
          </w:p>
        </w:tc>
      </w:tr>
      <w:tr>
        <w:trPr>
          <w:trHeight w:val="206"/>
        </w:trPr>
        <w:tc>
          <w:tcPr>
            <w:tcW w:w="4140" w:type="dxa"/>
            <w:vAlign w:val="bottom"/>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2019</w:t>
            </w:r>
          </w:p>
        </w:tc>
        <w:tc>
          <w:tcPr>
            <w:tcW w:w="7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15"/>
              <w:spacing w:after="0"/>
              <w:rPr>
                <w:sz w:val="20"/>
                <w:szCs w:val="20"/>
                <w:color w:val="auto"/>
              </w:rPr>
            </w:pPr>
            <w:r>
              <w:rPr>
                <w:rFonts w:ascii="Arial" w:cs="Arial" w:eastAsia="Arial" w:hAnsi="Arial"/>
                <w:sz w:val="11"/>
                <w:szCs w:val="11"/>
                <w:b w:val="1"/>
                <w:bCs w:val="1"/>
                <w:color w:val="auto"/>
              </w:rPr>
              <w:t>2018</w:t>
            </w:r>
          </w:p>
        </w:tc>
        <w:tc>
          <w:tcPr>
            <w:tcW w:w="4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55"/>
              <w:spacing w:after="0"/>
              <w:rPr>
                <w:sz w:val="20"/>
                <w:szCs w:val="20"/>
                <w:color w:val="auto"/>
              </w:rPr>
            </w:pPr>
            <w:r>
              <w:rPr>
                <w:rFonts w:ascii="Arial" w:cs="Arial" w:eastAsia="Arial" w:hAnsi="Arial"/>
                <w:sz w:val="11"/>
                <w:szCs w:val="11"/>
                <w:b w:val="1"/>
                <w:bCs w:val="1"/>
                <w:color w:val="auto"/>
              </w:rPr>
              <w:t>2019</w:t>
            </w:r>
          </w:p>
        </w:tc>
        <w:tc>
          <w:tcPr>
            <w:tcW w:w="8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93"/>
              <w:spacing w:after="0"/>
              <w:rPr>
                <w:sz w:val="20"/>
                <w:szCs w:val="20"/>
                <w:color w:val="auto"/>
              </w:rPr>
            </w:pPr>
            <w:r>
              <w:rPr>
                <w:rFonts w:ascii="Arial" w:cs="Arial" w:eastAsia="Arial" w:hAnsi="Arial"/>
                <w:sz w:val="11"/>
                <w:szCs w:val="11"/>
                <w:b w:val="1"/>
                <w:bCs w:val="1"/>
                <w:color w:val="auto"/>
              </w:rPr>
              <w:t>2018</w:t>
            </w:r>
          </w:p>
        </w:tc>
        <w:tc>
          <w:tcPr>
            <w:tcW w:w="460" w:type="dxa"/>
            <w:vAlign w:val="bottom"/>
          </w:tcPr>
          <w:p>
            <w:pPr>
              <w:spacing w:after="0"/>
              <w:rPr>
                <w:sz w:val="17"/>
                <w:szCs w:val="17"/>
                <w:color w:val="auto"/>
              </w:rPr>
            </w:pPr>
          </w:p>
        </w:tc>
      </w:tr>
      <w:tr>
        <w:trPr>
          <w:trHeight w:val="196"/>
        </w:trPr>
        <w:tc>
          <w:tcPr>
            <w:tcW w:w="4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gridSpan w:val="3"/>
          </w:tcPr>
          <w:p>
            <w:pPr>
              <w:jc w:val="right"/>
              <w:ind w:right="280"/>
              <w:spacing w:after="0"/>
              <w:rPr>
                <w:sz w:val="20"/>
                <w:szCs w:val="20"/>
                <w:color w:val="auto"/>
              </w:rPr>
            </w:pPr>
            <w:r>
              <w:rPr>
                <w:rFonts w:ascii="Arial" w:cs="Arial" w:eastAsia="Arial" w:hAnsi="Arial"/>
                <w:sz w:val="11"/>
                <w:szCs w:val="11"/>
                <w:b w:val="1"/>
                <w:bCs w:val="1"/>
                <w:color w:val="auto"/>
                <w:w w:val="93"/>
              </w:rPr>
              <w:t>(in millions)</w:t>
            </w:r>
          </w:p>
        </w:tc>
        <w:tc>
          <w:tcPr>
            <w:tcW w:w="10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60" w:type="dxa"/>
            <w:vAlign w:val="bottom"/>
          </w:tcPr>
          <w:p>
            <w:pPr>
              <w:spacing w:after="0"/>
              <w:rPr>
                <w:sz w:val="17"/>
                <w:szCs w:val="17"/>
                <w:color w:val="auto"/>
              </w:rPr>
            </w:pPr>
          </w:p>
        </w:tc>
      </w:tr>
      <w:tr>
        <w:trPr>
          <w:trHeight w:val="200"/>
        </w:trPr>
        <w:tc>
          <w:tcPr>
            <w:tcW w:w="4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Operating revenues</w:t>
            </w:r>
          </w:p>
        </w:tc>
        <w:tc>
          <w:tcPr>
            <w:tcW w:w="880" w:type="dxa"/>
            <w:vAlign w:val="bottom"/>
            <w:tcBorders>
              <w:bottom w:val="single" w:sz="8" w:color="CCEEFF"/>
            </w:tcBorders>
            <w:shd w:val="clear" w:color="auto" w:fill="CCEEFF"/>
          </w:tcPr>
          <w:p>
            <w:pPr>
              <w:jc w:val="right"/>
              <w:ind w:right="71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CCEEFF"/>
            </w:tcBorders>
            <w:shd w:val="clear" w:color="auto" w:fill="CCEEFF"/>
          </w:tcPr>
          <w:p>
            <w:pPr>
              <w:jc w:val="right"/>
              <w:ind w:right="228"/>
              <w:spacing w:after="0"/>
              <w:rPr>
                <w:sz w:val="20"/>
                <w:szCs w:val="20"/>
                <w:color w:val="auto"/>
              </w:rPr>
            </w:pPr>
            <w:r>
              <w:rPr>
                <w:rFonts w:ascii="Arial" w:cs="Arial" w:eastAsia="Arial" w:hAnsi="Arial"/>
                <w:sz w:val="14"/>
                <w:szCs w:val="14"/>
                <w:color w:val="auto"/>
              </w:rPr>
              <w:t>2,742</w:t>
            </w:r>
          </w:p>
        </w:tc>
        <w:tc>
          <w:tcPr>
            <w:tcW w:w="1160" w:type="dxa"/>
            <w:vAlign w:val="bottom"/>
            <w:tcBorders>
              <w:bottom w:val="single" w:sz="8" w:color="CCEEFF"/>
            </w:tcBorders>
            <w:shd w:val="clear" w:color="auto" w:fill="CCEEFF"/>
          </w:tcPr>
          <w:p>
            <w:pPr>
              <w:jc w:val="right"/>
              <w:ind w:right="715"/>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2,877</w:t>
            </w:r>
          </w:p>
        </w:tc>
        <w:tc>
          <w:tcPr>
            <w:tcW w:w="8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9,317</w:t>
            </w:r>
          </w:p>
        </w:tc>
        <w:tc>
          <w:tcPr>
            <w:tcW w:w="820" w:type="dxa"/>
            <w:vAlign w:val="bottom"/>
            <w:tcBorders>
              <w:bottom w:val="single" w:sz="8" w:color="CCEEFF"/>
            </w:tcBorders>
            <w:shd w:val="clear" w:color="auto" w:fill="CCEEFF"/>
          </w:tcPr>
          <w:p>
            <w:pPr>
              <w:jc w:val="right"/>
              <w:ind w:right="175"/>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4"/>
                <w:szCs w:val="14"/>
                <w:color w:val="auto"/>
              </w:rPr>
              <w:t>9,521</w:t>
            </w:r>
          </w:p>
        </w:tc>
        <w:tc>
          <w:tcPr>
            <w:tcW w:w="460" w:type="dxa"/>
            <w:vAlign w:val="bottom"/>
            <w:tcBorders>
              <w:bottom w:val="single" w:sz="8" w:color="CCEEFF"/>
            </w:tcBorders>
            <w:shd w:val="clear" w:color="auto" w:fill="CCEEFF"/>
          </w:tcPr>
          <w:p>
            <w:pPr>
              <w:spacing w:after="0"/>
              <w:rPr>
                <w:sz w:val="17"/>
                <w:szCs w:val="17"/>
                <w:color w:val="auto"/>
              </w:rPr>
            </w:pPr>
          </w:p>
        </w:tc>
      </w:tr>
      <w:tr>
        <w:trPr>
          <w:trHeight w:val="206"/>
        </w:trPr>
        <w:tc>
          <w:tcPr>
            <w:tcW w:w="414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880" w:type="dxa"/>
            <w:vAlign w:val="bottom"/>
          </w:tcPr>
          <w:p>
            <w:pPr>
              <w:spacing w:after="0"/>
              <w:rPr>
                <w:sz w:val="17"/>
                <w:szCs w:val="17"/>
                <w:color w:val="auto"/>
              </w:rPr>
            </w:pPr>
          </w:p>
        </w:tc>
        <w:tc>
          <w:tcPr>
            <w:tcW w:w="700" w:type="dxa"/>
            <w:vAlign w:val="bottom"/>
          </w:tcPr>
          <w:p>
            <w:pPr>
              <w:jc w:val="right"/>
              <w:ind w:right="228"/>
              <w:spacing w:after="0"/>
              <w:rPr>
                <w:sz w:val="20"/>
                <w:szCs w:val="20"/>
                <w:color w:val="auto"/>
              </w:rPr>
            </w:pPr>
            <w:r>
              <w:rPr>
                <w:rFonts w:ascii="Arial" w:cs="Arial" w:eastAsia="Arial" w:hAnsi="Arial"/>
                <w:sz w:val="14"/>
                <w:szCs w:val="14"/>
                <w:color w:val="auto"/>
              </w:rPr>
              <w:t>279</w:t>
            </w:r>
          </w:p>
        </w:tc>
        <w:tc>
          <w:tcPr>
            <w:tcW w:w="116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212</w:t>
            </w:r>
          </w:p>
        </w:tc>
        <w:tc>
          <w:tcPr>
            <w:tcW w:w="560" w:type="dxa"/>
            <w:vAlign w:val="bottom"/>
            <w:gridSpan w:val="2"/>
          </w:tcPr>
          <w:p>
            <w:pPr>
              <w:jc w:val="right"/>
              <w:ind w:right="300"/>
              <w:spacing w:after="0"/>
              <w:rPr>
                <w:sz w:val="20"/>
                <w:szCs w:val="20"/>
                <w:color w:val="auto"/>
              </w:rPr>
            </w:pPr>
            <w:r>
              <w:rPr>
                <w:rFonts w:ascii="Arial" w:cs="Arial" w:eastAsia="Arial" w:hAnsi="Arial"/>
                <w:sz w:val="11"/>
                <w:szCs w:val="11"/>
                <w:color w:val="auto"/>
              </w:rPr>
              <w:t>(1)</w:t>
            </w: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649</w:t>
            </w:r>
          </w:p>
        </w:tc>
        <w:tc>
          <w:tcPr>
            <w:tcW w:w="820" w:type="dxa"/>
            <w:vAlign w:val="bottom"/>
          </w:tcPr>
          <w:p>
            <w:pPr>
              <w:jc w:val="right"/>
              <w:ind w:right="555"/>
              <w:spacing w:after="0"/>
              <w:rPr>
                <w:sz w:val="20"/>
                <w:szCs w:val="20"/>
                <w:color w:val="auto"/>
              </w:rPr>
            </w:pPr>
            <w:r>
              <w:rPr>
                <w:rFonts w:ascii="Arial" w:cs="Arial" w:eastAsia="Arial" w:hAnsi="Arial"/>
                <w:sz w:val="11"/>
                <w:szCs w:val="11"/>
                <w:color w:val="auto"/>
              </w:rPr>
              <w:t>(2)</w:t>
            </w:r>
          </w:p>
        </w:tc>
        <w:tc>
          <w:tcPr>
            <w:tcW w:w="1020" w:type="dxa"/>
            <w:vAlign w:val="bottom"/>
          </w:tcPr>
          <w:p>
            <w:pPr>
              <w:jc w:val="right"/>
              <w:ind w:right="33"/>
              <w:spacing w:after="0"/>
              <w:rPr>
                <w:sz w:val="20"/>
                <w:szCs w:val="20"/>
                <w:color w:val="auto"/>
              </w:rPr>
            </w:pPr>
            <w:r>
              <w:rPr>
                <w:rFonts w:ascii="Arial" w:cs="Arial" w:eastAsia="Arial" w:hAnsi="Arial"/>
                <w:sz w:val="14"/>
                <w:szCs w:val="14"/>
                <w:color w:val="auto"/>
              </w:rPr>
              <w:t>282</w:t>
            </w:r>
          </w:p>
        </w:tc>
        <w:tc>
          <w:tcPr>
            <w:tcW w:w="460" w:type="dxa"/>
            <w:vAlign w:val="bottom"/>
          </w:tcPr>
          <w:p>
            <w:pPr>
              <w:jc w:val="right"/>
              <w:ind w:right="243"/>
              <w:spacing w:after="0"/>
              <w:rPr>
                <w:sz w:val="20"/>
                <w:szCs w:val="20"/>
                <w:color w:val="auto"/>
              </w:rPr>
            </w:pPr>
            <w:r>
              <w:rPr>
                <w:rFonts w:ascii="Arial" w:cs="Arial" w:eastAsia="Arial" w:hAnsi="Arial"/>
                <w:sz w:val="11"/>
                <w:szCs w:val="11"/>
                <w:color w:val="auto"/>
              </w:rPr>
              <w:t>(3)</w:t>
            </w:r>
          </w:p>
        </w:tc>
      </w:tr>
    </w:tbl>
    <w:p>
      <w:pPr>
        <w:spacing w:after="0" w:line="343" w:lineRule="exact"/>
        <w:rPr>
          <w:sz w:val="20"/>
          <w:szCs w:val="20"/>
          <w:color w:val="auto"/>
        </w:rPr>
      </w:pPr>
    </w:p>
    <w:p>
      <w:pPr>
        <w:ind w:left="520" w:hanging="255"/>
        <w:spacing w:after="0"/>
        <w:tabs>
          <w:tab w:leader="none" w:pos="520" w:val="left"/>
        </w:tabs>
        <w:numPr>
          <w:ilvl w:val="0"/>
          <w:numId w:val="8"/>
        </w:numPr>
        <w:rPr>
          <w:rFonts w:ascii="Arial" w:cs="Arial" w:eastAsia="Arial" w:hAnsi="Arial"/>
          <w:sz w:val="14"/>
          <w:szCs w:val="14"/>
          <w:color w:val="auto"/>
        </w:rPr>
      </w:pPr>
      <w:r>
        <w:rPr>
          <w:rFonts w:ascii="Arial" w:cs="Arial" w:eastAsia="Arial" w:hAnsi="Arial"/>
          <w:sz w:val="14"/>
          <w:szCs w:val="14"/>
          <w:color w:val="auto"/>
        </w:rPr>
        <w:t>Pro forma net income was adjusted to exclude $18 million of Vectren Merger-related transaction costs incurred in 2018 and reflected in the historical income statements.</w:t>
      </w:r>
    </w:p>
    <w:p>
      <w:pPr>
        <w:spacing w:after="0" w:line="183" w:lineRule="exact"/>
        <w:rPr>
          <w:rFonts w:ascii="Arial" w:cs="Arial" w:eastAsia="Arial" w:hAnsi="Arial"/>
          <w:sz w:val="14"/>
          <w:szCs w:val="14"/>
          <w:color w:val="auto"/>
        </w:rPr>
      </w:pPr>
    </w:p>
    <w:p>
      <w:pPr>
        <w:ind w:left="520" w:hanging="255"/>
        <w:spacing w:after="0"/>
        <w:tabs>
          <w:tab w:leader="none" w:pos="520" w:val="left"/>
        </w:tabs>
        <w:numPr>
          <w:ilvl w:val="0"/>
          <w:numId w:val="8"/>
        </w:numPr>
        <w:rPr>
          <w:rFonts w:ascii="Arial" w:cs="Arial" w:eastAsia="Arial" w:hAnsi="Arial"/>
          <w:sz w:val="14"/>
          <w:szCs w:val="14"/>
          <w:color w:val="auto"/>
        </w:rPr>
      </w:pPr>
      <w:r>
        <w:rPr>
          <w:rFonts w:ascii="Arial" w:cs="Arial" w:eastAsia="Arial" w:hAnsi="Arial"/>
          <w:sz w:val="14"/>
          <w:szCs w:val="14"/>
          <w:color w:val="auto"/>
        </w:rPr>
        <w:t>Pro forma net income was adjusted to exclude $37 million of Vectren Merger-related transaction costs incurred in 2019.</w:t>
      </w:r>
    </w:p>
    <w:p>
      <w:pPr>
        <w:spacing w:after="0" w:line="183" w:lineRule="exact"/>
        <w:rPr>
          <w:rFonts w:ascii="Arial" w:cs="Arial" w:eastAsia="Arial" w:hAnsi="Arial"/>
          <w:sz w:val="14"/>
          <w:szCs w:val="14"/>
          <w:color w:val="auto"/>
        </w:rPr>
      </w:pPr>
    </w:p>
    <w:p>
      <w:pPr>
        <w:ind w:left="520" w:hanging="255"/>
        <w:spacing w:after="0" w:line="288" w:lineRule="auto"/>
        <w:tabs>
          <w:tab w:leader="none" w:pos="520" w:val="left"/>
        </w:tabs>
        <w:numPr>
          <w:ilvl w:val="0"/>
          <w:numId w:val="8"/>
        </w:numPr>
        <w:rPr>
          <w:rFonts w:ascii="Arial" w:cs="Arial" w:eastAsia="Arial" w:hAnsi="Arial"/>
          <w:sz w:val="14"/>
          <w:szCs w:val="14"/>
          <w:color w:val="auto"/>
        </w:rPr>
      </w:pPr>
      <w:r>
        <w:rPr>
          <w:rFonts w:ascii="Arial" w:cs="Arial" w:eastAsia="Arial" w:hAnsi="Arial"/>
          <w:sz w:val="14"/>
          <w:szCs w:val="14"/>
          <w:color w:val="auto"/>
        </w:rPr>
        <w:t>Pro forma net income was adjusted to include $38 million and $1 million, respectively, of Vectren and CenterPoint Energy Merger-related transaction costs incurred from October 1, 2018 to September 30, 2019.</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ectPr>
          <w:pgSz w:w="11900" w:h="16838" w:orient="portrait"/>
          <w:cols w:equalWidth="0" w:num="1">
            <w:col w:w="11460"/>
          </w:cols>
          <w:pgMar w:left="220" w:top="129" w:right="219" w:bottom="1440" w:gutter="0" w:footer="0" w:header="0"/>
        </w:sectPr>
      </w:pPr>
    </w:p>
    <w:bookmarkStart w:id="33" w:name="page34"/>
    <w:bookmarkEnd w:id="33"/>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378" w:lineRule="exact"/>
        <w:rPr>
          <w:sz w:val="20"/>
          <w:szCs w:val="20"/>
          <w:color w:val="auto"/>
        </w:rPr>
      </w:pPr>
    </w:p>
    <w:p>
      <w:pPr>
        <w:jc w:val="both"/>
        <w:ind w:firstLine="259"/>
        <w:spacing w:after="0" w:line="288" w:lineRule="auto"/>
        <w:rPr>
          <w:sz w:val="20"/>
          <w:szCs w:val="20"/>
          <w:color w:val="auto"/>
        </w:rPr>
      </w:pPr>
      <w:r>
        <w:rPr>
          <w:rFonts w:ascii="Arial" w:cs="Arial" w:eastAsia="Arial" w:hAnsi="Arial"/>
          <w:sz w:val="14"/>
          <w:szCs w:val="14"/>
          <w:color w:val="auto"/>
        </w:rPr>
        <w:t>CenterPoint Energy incurred integration costs in connection with the Merger of $19 million and $67 million for the three and nine months ended September 30, 2019, respectively, which were included in Operation and maintenance expenses in CenterPoint Energy’s Condensed Statements of Consolidated Income.</w:t>
      </w:r>
    </w:p>
    <w:p>
      <w:pPr>
        <w:spacing w:after="0" w:line="131" w:lineRule="exact"/>
        <w:rPr>
          <w:sz w:val="20"/>
          <w:szCs w:val="20"/>
          <w:color w:val="auto"/>
        </w:rPr>
      </w:pPr>
    </w:p>
    <w:p>
      <w:pPr>
        <w:jc w:val="both"/>
        <w:ind w:firstLine="259"/>
        <w:spacing w:after="0" w:line="264" w:lineRule="auto"/>
        <w:rPr>
          <w:sz w:val="20"/>
          <w:szCs w:val="20"/>
          <w:color w:val="auto"/>
        </w:rPr>
      </w:pPr>
      <w:r>
        <w:rPr>
          <w:rFonts w:ascii="Arial" w:cs="Arial" w:eastAsia="Arial" w:hAnsi="Arial"/>
          <w:sz w:val="14"/>
          <w:szCs w:val="14"/>
          <w:i w:val="1"/>
          <w:iCs w:val="1"/>
          <w:color w:val="auto"/>
        </w:rPr>
        <w:t xml:space="preserve">Acquisition of Utility Pipeline Construction Company. </w:t>
      </w:r>
      <w:r>
        <w:rPr>
          <w:rFonts w:ascii="Arial" w:cs="Arial" w:eastAsia="Arial" w:hAnsi="Arial"/>
          <w:sz w:val="14"/>
          <w:szCs w:val="14"/>
          <w:color w:val="auto"/>
        </w:rPr>
        <w:t>An acquisition was made during the nine months ended September 30, 2019 by CenterPoint Energy’s Infrastructure Services reportable</w:t>
      </w:r>
      <w:r>
        <w:rPr>
          <w:rFonts w:ascii="Arial" w:cs="Arial" w:eastAsia="Arial" w:hAnsi="Arial"/>
          <w:sz w:val="14"/>
          <w:szCs w:val="14"/>
          <w:i w:val="1"/>
          <w:iCs w:val="1"/>
          <w:color w:val="auto"/>
        </w:rPr>
        <w:t xml:space="preserve"> </w:t>
      </w:r>
      <w:r>
        <w:rPr>
          <w:rFonts w:ascii="Arial" w:cs="Arial" w:eastAsia="Arial" w:hAnsi="Arial"/>
          <w:sz w:val="14"/>
          <w:szCs w:val="14"/>
          <w:color w:val="auto"/>
        </w:rPr>
        <w:t>segment, resulting in goodwill and intangible assets of approximately $6 million and $8 million, respectively. The intangible assets primarily relate to backlog and customer relationships. The allocation of the $25 million purchase price is preliminary and subject to change. The results of operations for the acquired company have been included in the consolidated financial statements from the date of acquisition and are not significant to the consolidated financial results of CenterPoint Energy. Pro forma results of operations have not been presented for the acquisition because the effects of the acquisition were not significant to CenterPoint Energy’s consolidated financial results for all periods presented.</w:t>
      </w:r>
    </w:p>
    <w:p>
      <w:pPr>
        <w:spacing w:after="0" w:line="14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(4) Revenue Recognition</w:t>
      </w:r>
    </w:p>
    <w:p>
      <w:pPr>
        <w:spacing w:after="0" w:line="188" w:lineRule="exact"/>
        <w:rPr>
          <w:sz w:val="20"/>
          <w:szCs w:val="20"/>
          <w:color w:val="auto"/>
        </w:rPr>
      </w:pPr>
    </w:p>
    <w:p>
      <w:pPr>
        <w:jc w:val="both"/>
        <w:ind w:firstLine="259"/>
        <w:spacing w:after="0" w:line="288" w:lineRule="auto"/>
        <w:rPr>
          <w:sz w:val="20"/>
          <w:szCs w:val="20"/>
          <w:color w:val="auto"/>
        </w:rPr>
      </w:pPr>
      <w:r>
        <w:rPr>
          <w:rFonts w:ascii="Arial" w:cs="Arial" w:eastAsia="Arial" w:hAnsi="Arial"/>
          <w:sz w:val="14"/>
          <w:szCs w:val="14"/>
          <w:color w:val="auto"/>
        </w:rPr>
        <w:t>In accordance with ASC 606, Revenue from Contracts with Customers, revenue is recognized when a customer obtains control of promised goods or services. The amount of revenue recognized reflects the consideration to which the Registrants expect to be entitled to receive in exchange for these goods or services.</w:t>
      </w:r>
    </w:p>
    <w:p>
      <w:pPr>
        <w:spacing w:after="0" w:line="131"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following tables disaggregate revenues by reportable segment and major source:</w:t>
      </w:r>
    </w:p>
    <w:p>
      <w:pPr>
        <w:spacing w:after="0" w:line="18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CenterPoint Energy</w:t>
      </w:r>
    </w:p>
    <w:p>
      <w:pPr>
        <w:spacing w:after="0" w:line="192" w:lineRule="exact"/>
        <w:rPr>
          <w:sz w:val="20"/>
          <w:szCs w:val="20"/>
          <w:color w:val="auto"/>
        </w:rPr>
      </w:pPr>
    </w:p>
    <w:p>
      <w:pPr>
        <w:ind w:left="5700"/>
        <w:spacing w:after="0"/>
        <w:rPr>
          <w:sz w:val="20"/>
          <w:szCs w:val="20"/>
          <w:color w:val="auto"/>
        </w:rPr>
      </w:pPr>
      <w:r>
        <w:rPr>
          <w:rFonts w:ascii="Arial" w:cs="Arial" w:eastAsia="Arial" w:hAnsi="Arial"/>
          <w:sz w:val="11"/>
          <w:szCs w:val="11"/>
          <w:b w:val="1"/>
          <w:bCs w:val="1"/>
          <w:color w:val="auto"/>
        </w:rPr>
        <w:t>Three Months Ended September 30,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1249680</wp:posOffset>
            </wp:positionH>
            <wp:positionV relativeFrom="paragraph">
              <wp:posOffset>19685</wp:posOffset>
            </wp:positionV>
            <wp:extent cx="6028690" cy="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6028690" cy="6985"/>
                    </a:xfrm>
                    <a:prstGeom prst="rect">
                      <a:avLst/>
                    </a:prstGeom>
                    <a:noFill/>
                  </pic:spPr>
                </pic:pic>
              </a:graphicData>
            </a:graphic>
          </wp:anchor>
        </w:drawing>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03"/>
        </w:trPr>
        <w:tc>
          <w:tcPr>
            <w:tcW w:w="19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9"/>
                <w:szCs w:val="9"/>
                <w:b w:val="1"/>
                <w:bCs w:val="1"/>
                <w:color w:val="auto"/>
                <w:w w:val="95"/>
              </w:rPr>
              <w:t>Indiana</w:t>
            </w:r>
          </w:p>
        </w:tc>
        <w:tc>
          <w:tcPr>
            <w:tcW w:w="1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9"/>
                <w:szCs w:val="9"/>
                <w:b w:val="1"/>
                <w:bCs w:val="1"/>
                <w:color w:val="auto"/>
                <w:w w:val="85"/>
              </w:rPr>
              <w:t>Energy</w:t>
            </w:r>
          </w:p>
        </w:tc>
        <w:tc>
          <w:tcPr>
            <w:tcW w:w="5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940" w:type="dxa"/>
            <w:vAlign w:val="bottom"/>
          </w:tcPr>
          <w:p>
            <w:pPr>
              <w:spacing w:after="0"/>
              <w:rPr>
                <w:sz w:val="8"/>
                <w:szCs w:val="8"/>
                <w:color w:val="auto"/>
              </w:rPr>
            </w:pPr>
          </w:p>
        </w:tc>
      </w:tr>
      <w:tr>
        <w:trPr>
          <w:trHeight w:val="121"/>
        </w:trPr>
        <w:tc>
          <w:tcPr>
            <w:tcW w:w="196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gridSpan w:val="2"/>
          </w:tcPr>
          <w:p>
            <w:pPr>
              <w:ind w:left="40"/>
              <w:spacing w:after="0"/>
              <w:rPr>
                <w:sz w:val="20"/>
                <w:szCs w:val="20"/>
                <w:color w:val="auto"/>
              </w:rPr>
            </w:pPr>
            <w:r>
              <w:rPr>
                <w:rFonts w:ascii="Arial" w:cs="Arial" w:eastAsia="Arial" w:hAnsi="Arial"/>
                <w:sz w:val="9"/>
                <w:szCs w:val="9"/>
                <w:b w:val="1"/>
                <w:bCs w:val="1"/>
                <w:color w:val="auto"/>
              </w:rPr>
              <w:t>Houston Electric T&amp;D (1)</w:t>
            </w:r>
          </w:p>
        </w:tc>
        <w:tc>
          <w:tcPr>
            <w:tcW w:w="12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9"/>
                <w:szCs w:val="9"/>
                <w:b w:val="1"/>
                <w:bCs w:val="1"/>
                <w:color w:val="auto"/>
                <w:w w:val="89"/>
              </w:rPr>
              <w:t>Electric Integrated (1)</w:t>
            </w:r>
          </w:p>
        </w:tc>
        <w:tc>
          <w:tcPr>
            <w:tcW w:w="10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9"/>
                <w:szCs w:val="9"/>
                <w:b w:val="1"/>
                <w:bCs w:val="1"/>
                <w:color w:val="auto"/>
                <w:w w:val="88"/>
              </w:rPr>
              <w:t>Natural Gas Distribution (1)</w:t>
            </w:r>
          </w:p>
        </w:tc>
        <w:tc>
          <w:tcPr>
            <w:tcW w:w="18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9"/>
                <w:szCs w:val="9"/>
                <w:b w:val="1"/>
                <w:bCs w:val="1"/>
                <w:color w:val="auto"/>
                <w:w w:val="83"/>
              </w:rPr>
              <w:t>Services (2)</w:t>
            </w:r>
          </w:p>
        </w:tc>
        <w:tc>
          <w:tcPr>
            <w:tcW w:w="136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9"/>
                <w:szCs w:val="9"/>
                <w:b w:val="1"/>
                <w:bCs w:val="1"/>
                <w:color w:val="auto"/>
                <w:w w:val="87"/>
              </w:rPr>
              <w:t>Infrastructure Services (2)</w:t>
            </w:r>
          </w:p>
        </w:tc>
        <w:tc>
          <w:tcPr>
            <w:tcW w:w="8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9"/>
                <w:szCs w:val="9"/>
                <w:b w:val="1"/>
                <w:bCs w:val="1"/>
                <w:color w:val="auto"/>
                <w:w w:val="88"/>
              </w:rPr>
              <w:t>Corporate and Other (2)</w:t>
            </w:r>
          </w:p>
        </w:tc>
        <w:tc>
          <w:tcPr>
            <w:tcW w:w="30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jc w:val="right"/>
              <w:ind w:right="465"/>
              <w:spacing w:after="0"/>
              <w:rPr>
                <w:sz w:val="20"/>
                <w:szCs w:val="20"/>
                <w:color w:val="auto"/>
              </w:rPr>
            </w:pPr>
            <w:r>
              <w:rPr>
                <w:rFonts w:ascii="Arial" w:cs="Arial" w:eastAsia="Arial" w:hAnsi="Arial"/>
                <w:sz w:val="9"/>
                <w:szCs w:val="9"/>
                <w:b w:val="1"/>
                <w:bCs w:val="1"/>
                <w:color w:val="auto"/>
              </w:rPr>
              <w:t>Total</w:t>
            </w:r>
          </w:p>
        </w:tc>
      </w:tr>
      <w:tr>
        <w:trPr>
          <w:trHeight w:val="200"/>
        </w:trPr>
        <w:tc>
          <w:tcPr>
            <w:tcW w:w="1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center"/>
              <w:ind w:right="380"/>
              <w:spacing w:after="0"/>
              <w:rPr>
                <w:sz w:val="20"/>
                <w:szCs w:val="20"/>
                <w:color w:val="auto"/>
              </w:rPr>
            </w:pPr>
            <w:r>
              <w:rPr>
                <w:rFonts w:ascii="Arial" w:cs="Arial" w:eastAsia="Arial" w:hAnsi="Arial"/>
                <w:sz w:val="11"/>
                <w:szCs w:val="11"/>
                <w:b w:val="1"/>
                <w:bCs w:val="1"/>
                <w:color w:val="auto"/>
                <w:w w:val="93"/>
              </w:rPr>
              <w:t>(in millions)</w:t>
            </w:r>
          </w:p>
        </w:tc>
        <w:tc>
          <w:tcPr>
            <w:tcW w:w="5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20"/>
        </w:trPr>
        <w:tc>
          <w:tcPr>
            <w:tcW w:w="1960" w:type="dxa"/>
            <w:vAlign w:val="bottom"/>
            <w:shd w:val="clear" w:color="auto" w:fill="CCEEFF"/>
          </w:tcPr>
          <w:p>
            <w:pPr>
              <w:ind w:left="20"/>
              <w:spacing w:after="0"/>
              <w:rPr>
                <w:sz w:val="20"/>
                <w:szCs w:val="20"/>
                <w:color w:val="auto"/>
              </w:rPr>
            </w:pPr>
            <w:r>
              <w:rPr>
                <w:rFonts w:ascii="Arial" w:cs="Arial" w:eastAsia="Arial" w:hAnsi="Arial"/>
                <w:sz w:val="11"/>
                <w:szCs w:val="11"/>
                <w:color w:val="auto"/>
              </w:rPr>
              <w:t>Revenue from contracts</w:t>
            </w: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160" w:type="dxa"/>
            <w:vAlign w:val="bottom"/>
            <w:shd w:val="clear" w:color="auto" w:fill="CCEEFF"/>
          </w:tcPr>
          <w:p>
            <w:pPr>
              <w:jc w:val="right"/>
              <w:ind w:right="65"/>
              <w:spacing w:after="0"/>
              <w:rPr>
                <w:sz w:val="20"/>
                <w:szCs w:val="20"/>
                <w:color w:val="auto"/>
              </w:rPr>
            </w:pPr>
            <w:r>
              <w:rPr>
                <w:rFonts w:ascii="Arial" w:cs="Arial" w:eastAsia="Arial" w:hAnsi="Arial"/>
                <w:sz w:val="11"/>
                <w:szCs w:val="11"/>
                <w:color w:val="auto"/>
              </w:rPr>
              <w:t>861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140" w:type="dxa"/>
            <w:vAlign w:val="bottom"/>
            <w:shd w:val="clear" w:color="auto" w:fill="CCEEFF"/>
          </w:tcPr>
          <w:p>
            <w:pPr>
              <w:jc w:val="right"/>
              <w:ind w:right="47"/>
              <w:spacing w:after="0"/>
              <w:rPr>
                <w:sz w:val="20"/>
                <w:szCs w:val="20"/>
                <w:color w:val="auto"/>
              </w:rPr>
            </w:pPr>
            <w:r>
              <w:rPr>
                <w:rFonts w:ascii="Arial" w:cs="Arial" w:eastAsia="Arial" w:hAnsi="Arial"/>
                <w:sz w:val="11"/>
                <w:szCs w:val="11"/>
                <w:color w:val="auto"/>
              </w:rPr>
              <w:t>165</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180" w:type="dxa"/>
            <w:vAlign w:val="bottom"/>
            <w:shd w:val="clear" w:color="auto" w:fill="CCEEFF"/>
          </w:tcPr>
          <w:p>
            <w:pPr>
              <w:jc w:val="right"/>
              <w:ind w:right="64"/>
              <w:spacing w:after="0"/>
              <w:rPr>
                <w:sz w:val="20"/>
                <w:szCs w:val="20"/>
                <w:color w:val="auto"/>
              </w:rPr>
            </w:pPr>
            <w:r>
              <w:rPr>
                <w:rFonts w:ascii="Arial" w:cs="Arial" w:eastAsia="Arial" w:hAnsi="Arial"/>
                <w:sz w:val="11"/>
                <w:szCs w:val="11"/>
                <w:color w:val="auto"/>
              </w:rPr>
              <w:t>518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w w:val="97"/>
              </w:rPr>
              <w:t>$</w:t>
            </w:r>
          </w:p>
        </w:tc>
        <w:tc>
          <w:tcPr>
            <w:tcW w:w="108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81</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447"/>
              <w:spacing w:after="0"/>
              <w:rPr>
                <w:sz w:val="20"/>
                <w:szCs w:val="20"/>
                <w:color w:val="auto"/>
              </w:rPr>
            </w:pPr>
            <w:r>
              <w:rPr>
                <w:rFonts w:ascii="Arial" w:cs="Arial" w:eastAsia="Arial" w:hAnsi="Arial"/>
                <w:sz w:val="11"/>
                <w:szCs w:val="11"/>
                <w:color w:val="auto"/>
                <w:w w:val="97"/>
              </w:rPr>
              <w:t>$</w:t>
            </w:r>
          </w:p>
        </w:tc>
        <w:tc>
          <w:tcPr>
            <w:tcW w:w="66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377</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160" w:type="dxa"/>
            <w:vAlign w:val="bottom"/>
            <w:shd w:val="clear" w:color="auto" w:fill="CCEEFF"/>
          </w:tcPr>
          <w:p>
            <w:pPr>
              <w:jc w:val="right"/>
              <w:ind w:right="65"/>
              <w:spacing w:after="0"/>
              <w:rPr>
                <w:sz w:val="20"/>
                <w:szCs w:val="20"/>
                <w:color w:val="auto"/>
              </w:rPr>
            </w:pPr>
            <w:r>
              <w:rPr>
                <w:rFonts w:ascii="Arial" w:cs="Arial" w:eastAsia="Arial" w:hAnsi="Arial"/>
                <w:sz w:val="11"/>
                <w:szCs w:val="11"/>
                <w:color w:val="auto"/>
              </w:rPr>
              <w:t>91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63"/>
              <w:spacing w:after="0"/>
              <w:rPr>
                <w:sz w:val="20"/>
                <w:szCs w:val="20"/>
                <w:color w:val="auto"/>
              </w:rPr>
            </w:pPr>
            <w:r>
              <w:rPr>
                <w:rFonts w:ascii="Arial" w:cs="Arial" w:eastAsia="Arial" w:hAnsi="Arial"/>
                <w:sz w:val="11"/>
                <w:szCs w:val="11"/>
                <w:color w:val="auto"/>
                <w:w w:val="97"/>
              </w:rPr>
              <w:t>$</w:t>
            </w:r>
          </w:p>
        </w:tc>
        <w:tc>
          <w:tcPr>
            <w:tcW w:w="940" w:type="dxa"/>
            <w:vAlign w:val="bottom"/>
            <w:shd w:val="clear" w:color="auto" w:fill="CCEEFF"/>
          </w:tcPr>
          <w:p>
            <w:pPr>
              <w:jc w:val="right"/>
              <w:ind w:right="45"/>
              <w:spacing w:after="0"/>
              <w:rPr>
                <w:sz w:val="20"/>
                <w:szCs w:val="20"/>
                <w:color w:val="auto"/>
              </w:rPr>
            </w:pPr>
            <w:r>
              <w:rPr>
                <w:rFonts w:ascii="Arial" w:cs="Arial" w:eastAsia="Arial" w:hAnsi="Arial"/>
                <w:sz w:val="11"/>
                <w:szCs w:val="11"/>
                <w:color w:val="auto"/>
              </w:rPr>
              <w:t>2,093</w:t>
            </w:r>
          </w:p>
        </w:tc>
      </w:tr>
      <w:tr>
        <w:trPr>
          <w:trHeight w:val="211"/>
        </w:trPr>
        <w:tc>
          <w:tcPr>
            <w:tcW w:w="1960" w:type="dxa"/>
            <w:vAlign w:val="bottom"/>
          </w:tcPr>
          <w:p>
            <w:pPr>
              <w:ind w:left="20"/>
              <w:spacing w:after="0"/>
              <w:rPr>
                <w:sz w:val="20"/>
                <w:szCs w:val="20"/>
                <w:color w:val="auto"/>
              </w:rPr>
            </w:pPr>
            <w:r>
              <w:rPr>
                <w:rFonts w:ascii="Arial" w:cs="Arial" w:eastAsia="Arial" w:hAnsi="Arial"/>
                <w:sz w:val="11"/>
                <w:szCs w:val="11"/>
                <w:color w:val="auto"/>
              </w:rPr>
              <w:t>Derivatives income</w:t>
            </w:r>
          </w:p>
        </w:tc>
        <w:tc>
          <w:tcPr>
            <w:tcW w:w="12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8"/>
                <w:szCs w:val="18"/>
                <w:color w:val="auto"/>
              </w:rPr>
            </w:pPr>
          </w:p>
        </w:tc>
        <w:tc>
          <w:tcPr>
            <w:tcW w:w="1080" w:type="dxa"/>
            <w:vAlign w:val="bottom"/>
          </w:tcPr>
          <w:p>
            <w:pPr>
              <w:jc w:val="right"/>
              <w:ind w:right="46"/>
              <w:spacing w:after="0"/>
              <w:rPr>
                <w:sz w:val="20"/>
                <w:szCs w:val="20"/>
                <w:color w:val="auto"/>
              </w:rPr>
            </w:pPr>
            <w:r>
              <w:rPr>
                <w:rFonts w:ascii="Arial" w:cs="Arial" w:eastAsia="Arial" w:hAnsi="Arial"/>
                <w:sz w:val="11"/>
                <w:szCs w:val="11"/>
                <w:color w:val="auto"/>
              </w:rPr>
              <w:t>664</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8"/>
                <w:szCs w:val="18"/>
                <w:color w:val="auto"/>
              </w:rPr>
            </w:pPr>
          </w:p>
        </w:tc>
        <w:tc>
          <w:tcPr>
            <w:tcW w:w="940" w:type="dxa"/>
            <w:vAlign w:val="bottom"/>
          </w:tcPr>
          <w:p>
            <w:pPr>
              <w:jc w:val="right"/>
              <w:ind w:right="45"/>
              <w:spacing w:after="0"/>
              <w:rPr>
                <w:sz w:val="20"/>
                <w:szCs w:val="20"/>
                <w:color w:val="auto"/>
              </w:rPr>
            </w:pPr>
            <w:r>
              <w:rPr>
                <w:rFonts w:ascii="Arial" w:cs="Arial" w:eastAsia="Arial" w:hAnsi="Arial"/>
                <w:sz w:val="11"/>
                <w:szCs w:val="11"/>
                <w:color w:val="auto"/>
              </w:rPr>
              <w:t>664</w:t>
            </w:r>
          </w:p>
        </w:tc>
      </w:tr>
      <w:tr>
        <w:trPr>
          <w:trHeight w:val="220"/>
        </w:trPr>
        <w:tc>
          <w:tcPr>
            <w:tcW w:w="1960" w:type="dxa"/>
            <w:vAlign w:val="bottom"/>
            <w:shd w:val="clear" w:color="auto" w:fill="CCEEFF"/>
          </w:tcPr>
          <w:p>
            <w:pPr>
              <w:ind w:left="20"/>
              <w:spacing w:after="0"/>
              <w:rPr>
                <w:sz w:val="20"/>
                <w:szCs w:val="20"/>
                <w:color w:val="auto"/>
              </w:rPr>
            </w:pPr>
            <w:r>
              <w:rPr>
                <w:rFonts w:ascii="Arial" w:cs="Arial" w:eastAsia="Arial" w:hAnsi="Arial"/>
                <w:sz w:val="11"/>
                <w:szCs w:val="11"/>
                <w:color w:val="auto"/>
              </w:rPr>
              <w:t xml:space="preserve">Other </w:t>
            </w:r>
            <w:r>
              <w:rPr>
                <w:rFonts w:ascii="Arial" w:cs="Arial" w:eastAsia="Arial" w:hAnsi="Arial"/>
                <w:sz w:val="8"/>
                <w:szCs w:val="8"/>
                <w:color w:val="auto"/>
              </w:rPr>
              <w:t>(3)</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25"/>
              <w:spacing w:after="0"/>
              <w:rPr>
                <w:sz w:val="20"/>
                <w:szCs w:val="20"/>
                <w:color w:val="auto"/>
              </w:rPr>
            </w:pPr>
            <w:r>
              <w:rPr>
                <w:rFonts w:ascii="Arial" w:cs="Arial" w:eastAsia="Arial" w:hAnsi="Arial"/>
                <w:sz w:val="11"/>
                <w:szCs w:val="11"/>
                <w:color w:val="auto"/>
              </w:rPr>
              <w:t>(2)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64"/>
              <w:spacing w:after="0"/>
              <w:rPr>
                <w:sz w:val="20"/>
                <w:szCs w:val="20"/>
                <w:color w:val="auto"/>
              </w:rPr>
            </w:pPr>
            <w:r>
              <w:rPr>
                <w:rFonts w:ascii="Arial" w:cs="Arial" w:eastAsia="Arial" w:hAnsi="Arial"/>
                <w:sz w:val="11"/>
                <w:szCs w:val="11"/>
                <w:color w:val="auto"/>
              </w:rPr>
              <w:t>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5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65"/>
              <w:spacing w:after="0"/>
              <w:rPr>
                <w:sz w:val="20"/>
                <w:szCs w:val="20"/>
                <w:color w:val="auto"/>
              </w:rPr>
            </w:pPr>
            <w:r>
              <w:rPr>
                <w:rFonts w:ascii="Arial" w:cs="Arial" w:eastAsia="Arial" w:hAnsi="Arial"/>
                <w:sz w:val="11"/>
                <w:szCs w:val="11"/>
                <w:color w:val="auto"/>
              </w:rPr>
              <w:t>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45"/>
              <w:spacing w:after="0"/>
              <w:rPr>
                <w:sz w:val="20"/>
                <w:szCs w:val="20"/>
                <w:color w:val="auto"/>
              </w:rPr>
            </w:pPr>
            <w:r>
              <w:rPr>
                <w:rFonts w:ascii="Arial" w:cs="Arial" w:eastAsia="Arial" w:hAnsi="Arial"/>
                <w:sz w:val="11"/>
                <w:szCs w:val="11"/>
                <w:color w:val="auto"/>
              </w:rPr>
              <w:t>6</w:t>
            </w:r>
          </w:p>
        </w:tc>
      </w:tr>
      <w:tr>
        <w:trPr>
          <w:trHeight w:val="211"/>
        </w:trPr>
        <w:tc>
          <w:tcPr>
            <w:tcW w:w="1960" w:type="dxa"/>
            <w:vAlign w:val="bottom"/>
          </w:tcPr>
          <w:p>
            <w:pPr>
              <w:ind w:left="20"/>
              <w:spacing w:after="0"/>
              <w:rPr>
                <w:sz w:val="20"/>
                <w:szCs w:val="20"/>
                <w:color w:val="auto"/>
              </w:rPr>
            </w:pPr>
            <w:r>
              <w:rPr>
                <w:rFonts w:ascii="Arial" w:cs="Arial" w:eastAsia="Arial" w:hAnsi="Arial"/>
                <w:sz w:val="11"/>
                <w:szCs w:val="11"/>
                <w:color w:val="auto"/>
              </w:rPr>
              <w:t>Eliminations</w:t>
            </w:r>
          </w:p>
        </w:tc>
        <w:tc>
          <w:tcPr>
            <w:tcW w:w="12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8"/>
                <w:szCs w:val="18"/>
                <w:color w:val="auto"/>
              </w:rPr>
            </w:pPr>
          </w:p>
        </w:tc>
        <w:tc>
          <w:tcPr>
            <w:tcW w:w="1180" w:type="dxa"/>
            <w:vAlign w:val="bottom"/>
          </w:tcPr>
          <w:p>
            <w:pPr>
              <w:jc w:val="right"/>
              <w:ind w:right="24"/>
              <w:spacing w:after="0"/>
              <w:rPr>
                <w:sz w:val="20"/>
                <w:szCs w:val="20"/>
                <w:color w:val="auto"/>
              </w:rPr>
            </w:pPr>
            <w:r>
              <w:rPr>
                <w:rFonts w:ascii="Arial" w:cs="Arial" w:eastAsia="Arial" w:hAnsi="Arial"/>
                <w:sz w:val="11"/>
                <w:szCs w:val="11"/>
                <w:color w:val="auto"/>
              </w:rPr>
              <w:t>(9)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ind w:right="26"/>
              <w:spacing w:after="0"/>
              <w:rPr>
                <w:sz w:val="20"/>
                <w:szCs w:val="20"/>
                <w:color w:val="auto"/>
              </w:rPr>
            </w:pPr>
            <w:r>
              <w:rPr>
                <w:rFonts w:ascii="Arial" w:cs="Arial" w:eastAsia="Arial" w:hAnsi="Arial"/>
                <w:sz w:val="11"/>
                <w:szCs w:val="11"/>
                <w:color w:val="auto"/>
              </w:rPr>
              <w:t>(11)</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0" w:type="dxa"/>
            <w:vAlign w:val="bottom"/>
          </w:tcPr>
          <w:p>
            <w:pPr>
              <w:jc w:val="right"/>
              <w:ind w:right="3"/>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8"/>
                <w:szCs w:val="18"/>
                <w:color w:val="auto"/>
              </w:rPr>
            </w:pPr>
          </w:p>
        </w:tc>
        <w:tc>
          <w:tcPr>
            <w:tcW w:w="940" w:type="dxa"/>
            <w:vAlign w:val="bottom"/>
          </w:tcPr>
          <w:p>
            <w:pPr>
              <w:jc w:val="right"/>
              <w:ind w:right="5"/>
              <w:spacing w:after="0"/>
              <w:rPr>
                <w:sz w:val="20"/>
                <w:szCs w:val="20"/>
                <w:color w:val="auto"/>
              </w:rPr>
            </w:pPr>
            <w:r>
              <w:rPr>
                <w:rFonts w:ascii="Arial" w:cs="Arial" w:eastAsia="Arial" w:hAnsi="Arial"/>
                <w:sz w:val="11"/>
                <w:szCs w:val="11"/>
                <w:color w:val="auto"/>
              </w:rPr>
              <w:t>(21)</w:t>
            </w:r>
          </w:p>
        </w:tc>
      </w:tr>
      <w:tr>
        <w:trPr>
          <w:trHeight w:val="189"/>
        </w:trPr>
        <w:tc>
          <w:tcPr>
            <w:tcW w:w="196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1"/>
                <w:szCs w:val="11"/>
                <w:color w:val="auto"/>
              </w:rPr>
              <w:t>Total revenues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16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1"/>
                <w:szCs w:val="11"/>
                <w:color w:val="auto"/>
              </w:rPr>
              <w:t>859</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14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1"/>
                <w:szCs w:val="11"/>
                <w:color w:val="auto"/>
              </w:rPr>
              <w:t>165</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180" w:type="dxa"/>
            <w:vAlign w:val="bottom"/>
            <w:tcBorders>
              <w:top w:val="single" w:sz="8" w:color="auto"/>
              <w:bottom w:val="single" w:sz="8" w:color="auto"/>
            </w:tcBorders>
            <w:shd w:val="clear" w:color="auto" w:fill="CCEEFF"/>
          </w:tcPr>
          <w:p>
            <w:pPr>
              <w:jc w:val="right"/>
              <w:ind w:right="64"/>
              <w:spacing w:after="0"/>
              <w:rPr>
                <w:sz w:val="20"/>
                <w:szCs w:val="20"/>
                <w:color w:val="auto"/>
              </w:rPr>
            </w:pPr>
            <w:r>
              <w:rPr>
                <w:rFonts w:ascii="Arial" w:cs="Arial" w:eastAsia="Arial" w:hAnsi="Arial"/>
                <w:sz w:val="11"/>
                <w:szCs w:val="11"/>
                <w:color w:val="auto"/>
              </w:rPr>
              <w:t>515</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Arial" w:cs="Arial" w:eastAsia="Arial" w:hAnsi="Arial"/>
                <w:sz w:val="11"/>
                <w:szCs w:val="11"/>
                <w:color w:val="auto"/>
                <w:w w:val="97"/>
              </w:rPr>
              <w:t>$</w:t>
            </w:r>
          </w:p>
        </w:tc>
        <w:tc>
          <w:tcPr>
            <w:tcW w:w="1080" w:type="dxa"/>
            <w:vAlign w:val="bottom"/>
            <w:tcBorders>
              <w:top w:val="single" w:sz="8" w:color="auto"/>
              <w:bottom w:val="single" w:sz="8" w:color="auto"/>
            </w:tcBorders>
            <w:shd w:val="clear" w:color="auto" w:fill="CCEEFF"/>
          </w:tcPr>
          <w:p>
            <w:pPr>
              <w:jc w:val="right"/>
              <w:ind w:right="46"/>
              <w:spacing w:after="0"/>
              <w:rPr>
                <w:sz w:val="20"/>
                <w:szCs w:val="20"/>
                <w:color w:val="auto"/>
              </w:rPr>
            </w:pPr>
            <w:r>
              <w:rPr>
                <w:rFonts w:ascii="Arial" w:cs="Arial" w:eastAsia="Arial" w:hAnsi="Arial"/>
                <w:sz w:val="11"/>
                <w:szCs w:val="11"/>
                <w:color w:val="auto"/>
              </w:rPr>
              <w:t>734</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580" w:type="dxa"/>
            <w:vAlign w:val="bottom"/>
            <w:tcBorders>
              <w:top w:val="single" w:sz="8" w:color="auto"/>
              <w:bottom w:val="single" w:sz="8" w:color="auto"/>
            </w:tcBorders>
            <w:shd w:val="clear" w:color="auto" w:fill="CCEEFF"/>
          </w:tcPr>
          <w:p>
            <w:pPr>
              <w:jc w:val="right"/>
              <w:ind w:right="447"/>
              <w:spacing w:after="0"/>
              <w:rPr>
                <w:sz w:val="20"/>
                <w:szCs w:val="20"/>
                <w:color w:val="auto"/>
              </w:rPr>
            </w:pPr>
            <w:r>
              <w:rPr>
                <w:rFonts w:ascii="Arial" w:cs="Arial" w:eastAsia="Arial" w:hAnsi="Arial"/>
                <w:sz w:val="11"/>
                <w:szCs w:val="11"/>
                <w:color w:val="auto"/>
                <w:w w:val="97"/>
              </w:rPr>
              <w:t>$</w:t>
            </w:r>
          </w:p>
        </w:tc>
        <w:tc>
          <w:tcPr>
            <w:tcW w:w="66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Arial" w:cs="Arial" w:eastAsia="Arial" w:hAnsi="Arial"/>
                <w:sz w:val="11"/>
                <w:szCs w:val="11"/>
                <w:color w:val="auto"/>
              </w:rPr>
              <w:t>376</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16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1"/>
                <w:szCs w:val="11"/>
                <w:color w:val="auto"/>
              </w:rPr>
              <w:t>93</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300" w:type="dxa"/>
            <w:vAlign w:val="bottom"/>
            <w:tcBorders>
              <w:top w:val="single" w:sz="8" w:color="auto"/>
              <w:bottom w:val="single" w:sz="8" w:color="auto"/>
            </w:tcBorders>
            <w:shd w:val="clear" w:color="auto" w:fill="CCEEFF"/>
          </w:tcPr>
          <w:p>
            <w:pPr>
              <w:jc w:val="right"/>
              <w:ind w:right="163"/>
              <w:spacing w:after="0"/>
              <w:rPr>
                <w:sz w:val="20"/>
                <w:szCs w:val="20"/>
                <w:color w:val="auto"/>
              </w:rPr>
            </w:pPr>
            <w:r>
              <w:rPr>
                <w:rFonts w:ascii="Arial" w:cs="Arial" w:eastAsia="Arial" w:hAnsi="Arial"/>
                <w:sz w:val="11"/>
                <w:szCs w:val="11"/>
                <w:color w:val="auto"/>
                <w:w w:val="97"/>
              </w:rPr>
              <w:t>$</w:t>
            </w:r>
          </w:p>
        </w:tc>
        <w:tc>
          <w:tcPr>
            <w:tcW w:w="94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1"/>
                <w:szCs w:val="11"/>
                <w:color w:val="auto"/>
              </w:rPr>
              <w:t>2,742</w:t>
            </w:r>
          </w:p>
        </w:tc>
      </w:tr>
      <w:tr>
        <w:trPr>
          <w:trHeight w:val="20"/>
        </w:trPr>
        <w:tc>
          <w:tcPr>
            <w:tcW w:w="19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410"/>
        </w:trPr>
        <w:tc>
          <w:tcPr>
            <w:tcW w:w="19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gridSpan w:val="6"/>
          </w:tcPr>
          <w:p>
            <w:pPr>
              <w:jc w:val="center"/>
              <w:ind w:left="464"/>
              <w:spacing w:after="0"/>
              <w:rPr>
                <w:sz w:val="20"/>
                <w:szCs w:val="20"/>
                <w:color w:val="auto"/>
              </w:rPr>
            </w:pPr>
            <w:r>
              <w:rPr>
                <w:rFonts w:ascii="Arial" w:cs="Arial" w:eastAsia="Arial" w:hAnsi="Arial"/>
                <w:sz w:val="11"/>
                <w:szCs w:val="11"/>
                <w:b w:val="1"/>
                <w:bCs w:val="1"/>
                <w:color w:val="auto"/>
                <w:w w:val="94"/>
              </w:rPr>
              <w:t>Nine Months Ended September 30, 2019</w:t>
            </w:r>
          </w:p>
        </w:tc>
        <w:tc>
          <w:tcPr>
            <w:tcW w:w="6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r>
      <w:tr>
        <w:trPr>
          <w:trHeight w:val="102"/>
        </w:trPr>
        <w:tc>
          <w:tcPr>
            <w:tcW w:w="19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9"/>
                <w:szCs w:val="9"/>
                <w:b w:val="1"/>
                <w:bCs w:val="1"/>
                <w:color w:val="auto"/>
                <w:w w:val="95"/>
              </w:rPr>
              <w:t>Indiana</w:t>
            </w:r>
          </w:p>
        </w:tc>
        <w:tc>
          <w:tcPr>
            <w:tcW w:w="1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9"/>
                <w:szCs w:val="9"/>
                <w:b w:val="1"/>
                <w:bCs w:val="1"/>
                <w:color w:val="auto"/>
                <w:w w:val="85"/>
              </w:rPr>
              <w:t>Energy</w:t>
            </w:r>
          </w:p>
        </w:tc>
        <w:tc>
          <w:tcPr>
            <w:tcW w:w="5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940" w:type="dxa"/>
            <w:vAlign w:val="bottom"/>
          </w:tcPr>
          <w:p>
            <w:pPr>
              <w:spacing w:after="0"/>
              <w:rPr>
                <w:sz w:val="8"/>
                <w:szCs w:val="8"/>
                <w:color w:val="auto"/>
              </w:rPr>
            </w:pPr>
          </w:p>
        </w:tc>
      </w:tr>
      <w:tr>
        <w:trPr>
          <w:trHeight w:val="121"/>
        </w:trPr>
        <w:tc>
          <w:tcPr>
            <w:tcW w:w="196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gridSpan w:val="2"/>
          </w:tcPr>
          <w:p>
            <w:pPr>
              <w:ind w:left="40"/>
              <w:spacing w:after="0"/>
              <w:rPr>
                <w:sz w:val="20"/>
                <w:szCs w:val="20"/>
                <w:color w:val="auto"/>
              </w:rPr>
            </w:pPr>
            <w:r>
              <w:rPr>
                <w:rFonts w:ascii="Arial" w:cs="Arial" w:eastAsia="Arial" w:hAnsi="Arial"/>
                <w:sz w:val="9"/>
                <w:szCs w:val="9"/>
                <w:b w:val="1"/>
                <w:bCs w:val="1"/>
                <w:color w:val="auto"/>
              </w:rPr>
              <w:t>Houston Electric T&amp;D (1)</w:t>
            </w:r>
          </w:p>
        </w:tc>
        <w:tc>
          <w:tcPr>
            <w:tcW w:w="12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9"/>
                <w:szCs w:val="9"/>
                <w:b w:val="1"/>
                <w:bCs w:val="1"/>
                <w:color w:val="auto"/>
                <w:w w:val="89"/>
              </w:rPr>
              <w:t>Electric Integrated (1) (4)</w:t>
            </w:r>
          </w:p>
        </w:tc>
        <w:tc>
          <w:tcPr>
            <w:tcW w:w="140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9"/>
                <w:szCs w:val="9"/>
                <w:b w:val="1"/>
                <w:bCs w:val="1"/>
                <w:color w:val="auto"/>
                <w:w w:val="88"/>
              </w:rPr>
              <w:t>Natural Gas Distribution (1) (4)</w:t>
            </w:r>
          </w:p>
        </w:tc>
        <w:tc>
          <w:tcPr>
            <w:tcW w:w="18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9"/>
                <w:szCs w:val="9"/>
                <w:b w:val="1"/>
                <w:bCs w:val="1"/>
                <w:color w:val="auto"/>
                <w:w w:val="83"/>
              </w:rPr>
              <w:t>Services (2)</w:t>
            </w:r>
          </w:p>
        </w:tc>
        <w:tc>
          <w:tcPr>
            <w:tcW w:w="136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9"/>
                <w:szCs w:val="9"/>
                <w:b w:val="1"/>
                <w:bCs w:val="1"/>
                <w:color w:val="auto"/>
                <w:w w:val="87"/>
              </w:rPr>
              <w:t>Infrastructure Services (2) (4)</w:t>
            </w:r>
          </w:p>
        </w:tc>
        <w:tc>
          <w:tcPr>
            <w:tcW w:w="8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9"/>
                <w:szCs w:val="9"/>
                <w:b w:val="1"/>
                <w:bCs w:val="1"/>
                <w:color w:val="auto"/>
                <w:w w:val="88"/>
              </w:rPr>
              <w:t>Corporate and Other (2) (4)</w:t>
            </w:r>
          </w:p>
        </w:tc>
        <w:tc>
          <w:tcPr>
            <w:tcW w:w="30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jc w:val="right"/>
              <w:ind w:right="465"/>
              <w:spacing w:after="0"/>
              <w:rPr>
                <w:sz w:val="20"/>
                <w:szCs w:val="20"/>
                <w:color w:val="auto"/>
              </w:rPr>
            </w:pPr>
            <w:r>
              <w:rPr>
                <w:rFonts w:ascii="Arial" w:cs="Arial" w:eastAsia="Arial" w:hAnsi="Arial"/>
                <w:sz w:val="9"/>
                <w:szCs w:val="9"/>
                <w:b w:val="1"/>
                <w:bCs w:val="1"/>
                <w:color w:val="auto"/>
              </w:rPr>
              <w:t>Total</w:t>
            </w:r>
          </w:p>
        </w:tc>
      </w:tr>
      <w:tr>
        <w:trPr>
          <w:trHeight w:val="200"/>
        </w:trPr>
        <w:tc>
          <w:tcPr>
            <w:tcW w:w="1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center"/>
              <w:ind w:right="380"/>
              <w:spacing w:after="0"/>
              <w:rPr>
                <w:sz w:val="20"/>
                <w:szCs w:val="20"/>
                <w:color w:val="auto"/>
              </w:rPr>
            </w:pPr>
            <w:r>
              <w:rPr>
                <w:rFonts w:ascii="Arial" w:cs="Arial" w:eastAsia="Arial" w:hAnsi="Arial"/>
                <w:sz w:val="11"/>
                <w:szCs w:val="11"/>
                <w:b w:val="1"/>
                <w:bCs w:val="1"/>
                <w:color w:val="auto"/>
                <w:w w:val="93"/>
              </w:rPr>
              <w:t>(in millions)</w:t>
            </w:r>
          </w:p>
        </w:tc>
        <w:tc>
          <w:tcPr>
            <w:tcW w:w="5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20"/>
        </w:trPr>
        <w:tc>
          <w:tcPr>
            <w:tcW w:w="1960" w:type="dxa"/>
            <w:vAlign w:val="bottom"/>
            <w:shd w:val="clear" w:color="auto" w:fill="CCEEFF"/>
          </w:tcPr>
          <w:p>
            <w:pPr>
              <w:ind w:left="20"/>
              <w:spacing w:after="0"/>
              <w:rPr>
                <w:sz w:val="20"/>
                <w:szCs w:val="20"/>
                <w:color w:val="auto"/>
              </w:rPr>
            </w:pPr>
            <w:r>
              <w:rPr>
                <w:rFonts w:ascii="Arial" w:cs="Arial" w:eastAsia="Arial" w:hAnsi="Arial"/>
                <w:sz w:val="11"/>
                <w:szCs w:val="11"/>
                <w:color w:val="auto"/>
              </w:rPr>
              <w:t>Revenue from contracts</w:t>
            </w: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160" w:type="dxa"/>
            <w:vAlign w:val="bottom"/>
            <w:shd w:val="clear" w:color="auto" w:fill="CCEEFF"/>
          </w:tcPr>
          <w:p>
            <w:pPr>
              <w:jc w:val="right"/>
              <w:ind w:right="65"/>
              <w:spacing w:after="0"/>
              <w:rPr>
                <w:sz w:val="20"/>
                <w:szCs w:val="20"/>
                <w:color w:val="auto"/>
              </w:rPr>
            </w:pPr>
            <w:r>
              <w:rPr>
                <w:rFonts w:ascii="Arial" w:cs="Arial" w:eastAsia="Arial" w:hAnsi="Arial"/>
                <w:sz w:val="11"/>
                <w:szCs w:val="11"/>
                <w:color w:val="auto"/>
              </w:rPr>
              <w:t>2,319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140" w:type="dxa"/>
            <w:vAlign w:val="bottom"/>
            <w:shd w:val="clear" w:color="auto" w:fill="CCEEFF"/>
          </w:tcPr>
          <w:p>
            <w:pPr>
              <w:jc w:val="right"/>
              <w:ind w:right="47"/>
              <w:spacing w:after="0"/>
              <w:rPr>
                <w:sz w:val="20"/>
                <w:szCs w:val="20"/>
                <w:color w:val="auto"/>
              </w:rPr>
            </w:pPr>
            <w:r>
              <w:rPr>
                <w:rFonts w:ascii="Arial" w:cs="Arial" w:eastAsia="Arial" w:hAnsi="Arial"/>
                <w:sz w:val="11"/>
                <w:szCs w:val="11"/>
                <w:color w:val="auto"/>
              </w:rPr>
              <w:t>388</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180" w:type="dxa"/>
            <w:vAlign w:val="bottom"/>
            <w:shd w:val="clear" w:color="auto" w:fill="CCEEFF"/>
          </w:tcPr>
          <w:p>
            <w:pPr>
              <w:jc w:val="right"/>
              <w:ind w:right="64"/>
              <w:spacing w:after="0"/>
              <w:rPr>
                <w:sz w:val="20"/>
                <w:szCs w:val="20"/>
                <w:color w:val="auto"/>
              </w:rPr>
            </w:pPr>
            <w:r>
              <w:rPr>
                <w:rFonts w:ascii="Arial" w:cs="Arial" w:eastAsia="Arial" w:hAnsi="Arial"/>
                <w:sz w:val="11"/>
                <w:szCs w:val="11"/>
                <w:color w:val="auto"/>
              </w:rPr>
              <w:t>2,581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w w:val="97"/>
              </w:rPr>
              <w:t>$</w:t>
            </w:r>
          </w:p>
        </w:tc>
        <w:tc>
          <w:tcPr>
            <w:tcW w:w="108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341</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447"/>
              <w:spacing w:after="0"/>
              <w:rPr>
                <w:sz w:val="20"/>
                <w:szCs w:val="20"/>
                <w:color w:val="auto"/>
              </w:rPr>
            </w:pPr>
            <w:r>
              <w:rPr>
                <w:rFonts w:ascii="Arial" w:cs="Arial" w:eastAsia="Arial" w:hAnsi="Arial"/>
                <w:sz w:val="11"/>
                <w:szCs w:val="11"/>
                <w:color w:val="auto"/>
                <w:w w:val="97"/>
              </w:rPr>
              <w:t>$</w:t>
            </w:r>
          </w:p>
        </w:tc>
        <w:tc>
          <w:tcPr>
            <w:tcW w:w="66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849</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160" w:type="dxa"/>
            <w:vAlign w:val="bottom"/>
            <w:shd w:val="clear" w:color="auto" w:fill="CCEEFF"/>
          </w:tcPr>
          <w:p>
            <w:pPr>
              <w:jc w:val="right"/>
              <w:ind w:right="65"/>
              <w:spacing w:after="0"/>
              <w:rPr>
                <w:sz w:val="20"/>
                <w:szCs w:val="20"/>
                <w:color w:val="auto"/>
              </w:rPr>
            </w:pPr>
            <w:r>
              <w:rPr>
                <w:rFonts w:ascii="Arial" w:cs="Arial" w:eastAsia="Arial" w:hAnsi="Arial"/>
                <w:sz w:val="11"/>
                <w:szCs w:val="11"/>
                <w:color w:val="auto"/>
              </w:rPr>
              <w:t>210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63"/>
              <w:spacing w:after="0"/>
              <w:rPr>
                <w:sz w:val="20"/>
                <w:szCs w:val="20"/>
                <w:color w:val="auto"/>
              </w:rPr>
            </w:pPr>
            <w:r>
              <w:rPr>
                <w:rFonts w:ascii="Arial" w:cs="Arial" w:eastAsia="Arial" w:hAnsi="Arial"/>
                <w:sz w:val="11"/>
                <w:szCs w:val="11"/>
                <w:color w:val="auto"/>
                <w:w w:val="97"/>
              </w:rPr>
              <w:t>$</w:t>
            </w:r>
          </w:p>
        </w:tc>
        <w:tc>
          <w:tcPr>
            <w:tcW w:w="940" w:type="dxa"/>
            <w:vAlign w:val="bottom"/>
            <w:shd w:val="clear" w:color="auto" w:fill="CCEEFF"/>
          </w:tcPr>
          <w:p>
            <w:pPr>
              <w:jc w:val="right"/>
              <w:ind w:right="45"/>
              <w:spacing w:after="0"/>
              <w:rPr>
                <w:sz w:val="20"/>
                <w:szCs w:val="20"/>
                <w:color w:val="auto"/>
              </w:rPr>
            </w:pPr>
            <w:r>
              <w:rPr>
                <w:rFonts w:ascii="Arial" w:cs="Arial" w:eastAsia="Arial" w:hAnsi="Arial"/>
                <w:sz w:val="11"/>
                <w:szCs w:val="11"/>
                <w:color w:val="auto"/>
              </w:rPr>
              <w:t>6,688</w:t>
            </w:r>
          </w:p>
        </w:tc>
      </w:tr>
      <w:tr>
        <w:trPr>
          <w:trHeight w:val="211"/>
        </w:trPr>
        <w:tc>
          <w:tcPr>
            <w:tcW w:w="1960" w:type="dxa"/>
            <w:vAlign w:val="bottom"/>
          </w:tcPr>
          <w:p>
            <w:pPr>
              <w:ind w:left="20"/>
              <w:spacing w:after="0"/>
              <w:rPr>
                <w:sz w:val="20"/>
                <w:szCs w:val="20"/>
                <w:color w:val="auto"/>
              </w:rPr>
            </w:pPr>
            <w:r>
              <w:rPr>
                <w:rFonts w:ascii="Arial" w:cs="Arial" w:eastAsia="Arial" w:hAnsi="Arial"/>
                <w:sz w:val="11"/>
                <w:szCs w:val="11"/>
                <w:color w:val="auto"/>
              </w:rPr>
              <w:t>Derivatives income</w:t>
            </w:r>
          </w:p>
        </w:tc>
        <w:tc>
          <w:tcPr>
            <w:tcW w:w="120" w:type="dxa"/>
            <w:vAlign w:val="bottom"/>
          </w:tcPr>
          <w:p>
            <w:pPr>
              <w:spacing w:after="0"/>
              <w:rPr>
                <w:sz w:val="18"/>
                <w:szCs w:val="18"/>
                <w:color w:val="auto"/>
              </w:rPr>
            </w:pPr>
          </w:p>
        </w:tc>
        <w:tc>
          <w:tcPr>
            <w:tcW w:w="1160" w:type="dxa"/>
            <w:vAlign w:val="bottom"/>
          </w:tcPr>
          <w:p>
            <w:pPr>
              <w:jc w:val="right"/>
              <w:ind w:right="65"/>
              <w:spacing w:after="0"/>
              <w:rPr>
                <w:sz w:val="20"/>
                <w:szCs w:val="20"/>
                <w:color w:val="auto"/>
              </w:rPr>
            </w:pPr>
            <w:r>
              <w:rPr>
                <w:rFonts w:ascii="Arial" w:cs="Arial" w:eastAsia="Arial" w:hAnsi="Arial"/>
                <w:sz w:val="11"/>
                <w:szCs w:val="11"/>
                <w:color w:val="auto"/>
              </w:rPr>
              <w:t>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8"/>
                <w:szCs w:val="18"/>
                <w:color w:val="auto"/>
              </w:rPr>
            </w:pPr>
          </w:p>
        </w:tc>
        <w:tc>
          <w:tcPr>
            <w:tcW w:w="1080" w:type="dxa"/>
            <w:vAlign w:val="bottom"/>
          </w:tcPr>
          <w:p>
            <w:pPr>
              <w:jc w:val="right"/>
              <w:ind w:right="46"/>
              <w:spacing w:after="0"/>
              <w:rPr>
                <w:sz w:val="20"/>
                <w:szCs w:val="20"/>
                <w:color w:val="auto"/>
              </w:rPr>
            </w:pPr>
            <w:r>
              <w:rPr>
                <w:rFonts w:ascii="Arial" w:cs="Arial" w:eastAsia="Arial" w:hAnsi="Arial"/>
                <w:sz w:val="11"/>
                <w:szCs w:val="11"/>
                <w:color w:val="auto"/>
              </w:rPr>
              <w:t>2,505</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8"/>
                <w:szCs w:val="18"/>
                <w:color w:val="auto"/>
              </w:rPr>
            </w:pPr>
          </w:p>
        </w:tc>
        <w:tc>
          <w:tcPr>
            <w:tcW w:w="940" w:type="dxa"/>
            <w:vAlign w:val="bottom"/>
          </w:tcPr>
          <w:p>
            <w:pPr>
              <w:jc w:val="right"/>
              <w:ind w:right="45"/>
              <w:spacing w:after="0"/>
              <w:rPr>
                <w:sz w:val="20"/>
                <w:szCs w:val="20"/>
                <w:color w:val="auto"/>
              </w:rPr>
            </w:pPr>
            <w:r>
              <w:rPr>
                <w:rFonts w:ascii="Arial" w:cs="Arial" w:eastAsia="Arial" w:hAnsi="Arial"/>
                <w:sz w:val="11"/>
                <w:szCs w:val="11"/>
                <w:color w:val="auto"/>
              </w:rPr>
              <w:t>2,508</w:t>
            </w:r>
          </w:p>
        </w:tc>
      </w:tr>
      <w:tr>
        <w:trPr>
          <w:trHeight w:val="220"/>
        </w:trPr>
        <w:tc>
          <w:tcPr>
            <w:tcW w:w="1960" w:type="dxa"/>
            <w:vAlign w:val="bottom"/>
            <w:shd w:val="clear" w:color="auto" w:fill="CCEEFF"/>
          </w:tcPr>
          <w:p>
            <w:pPr>
              <w:ind w:left="20"/>
              <w:spacing w:after="0"/>
              <w:rPr>
                <w:sz w:val="20"/>
                <w:szCs w:val="20"/>
                <w:color w:val="auto"/>
              </w:rPr>
            </w:pPr>
            <w:r>
              <w:rPr>
                <w:rFonts w:ascii="Arial" w:cs="Arial" w:eastAsia="Arial" w:hAnsi="Arial"/>
                <w:sz w:val="11"/>
                <w:szCs w:val="11"/>
                <w:color w:val="auto"/>
              </w:rPr>
              <w:t xml:space="preserve">Other </w:t>
            </w:r>
            <w:r>
              <w:rPr>
                <w:rFonts w:ascii="Arial" w:cs="Arial" w:eastAsia="Arial" w:hAnsi="Arial"/>
                <w:sz w:val="8"/>
                <w:szCs w:val="8"/>
                <w:color w:val="auto"/>
              </w:rPr>
              <w:t>(3)</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25"/>
              <w:spacing w:after="0"/>
              <w:rPr>
                <w:sz w:val="20"/>
                <w:szCs w:val="20"/>
                <w:color w:val="auto"/>
              </w:rPr>
            </w:pPr>
            <w:r>
              <w:rPr>
                <w:rFonts w:ascii="Arial" w:cs="Arial" w:eastAsia="Arial" w:hAnsi="Arial"/>
                <w:sz w:val="11"/>
                <w:szCs w:val="11"/>
                <w:color w:val="auto"/>
              </w:rPr>
              <w:t>(9)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64"/>
              <w:spacing w:after="0"/>
              <w:rPr>
                <w:sz w:val="20"/>
                <w:szCs w:val="20"/>
                <w:color w:val="auto"/>
              </w:rPr>
            </w:pPr>
            <w:r>
              <w:rPr>
                <w:rFonts w:ascii="Arial" w:cs="Arial" w:eastAsia="Arial" w:hAnsi="Arial"/>
                <w:sz w:val="11"/>
                <w:szCs w:val="11"/>
                <w:color w:val="auto"/>
              </w:rPr>
              <w:t>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5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65"/>
              <w:spacing w:after="0"/>
              <w:rPr>
                <w:sz w:val="20"/>
                <w:szCs w:val="20"/>
                <w:color w:val="auto"/>
              </w:rPr>
            </w:pPr>
            <w:r>
              <w:rPr>
                <w:rFonts w:ascii="Arial" w:cs="Arial" w:eastAsia="Arial" w:hAnsi="Arial"/>
                <w:sz w:val="11"/>
                <w:szCs w:val="11"/>
                <w:color w:val="auto"/>
              </w:rPr>
              <w:t>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(2)</w:t>
            </w:r>
          </w:p>
        </w:tc>
      </w:tr>
      <w:tr>
        <w:trPr>
          <w:trHeight w:val="211"/>
        </w:trPr>
        <w:tc>
          <w:tcPr>
            <w:tcW w:w="1960" w:type="dxa"/>
            <w:vAlign w:val="bottom"/>
          </w:tcPr>
          <w:p>
            <w:pPr>
              <w:ind w:left="20"/>
              <w:spacing w:after="0"/>
              <w:rPr>
                <w:sz w:val="20"/>
                <w:szCs w:val="20"/>
                <w:color w:val="auto"/>
              </w:rPr>
            </w:pPr>
            <w:r>
              <w:rPr>
                <w:rFonts w:ascii="Arial" w:cs="Arial" w:eastAsia="Arial" w:hAnsi="Arial"/>
                <w:sz w:val="11"/>
                <w:szCs w:val="11"/>
                <w:color w:val="auto"/>
              </w:rPr>
              <w:t>Eliminations</w:t>
            </w:r>
          </w:p>
        </w:tc>
        <w:tc>
          <w:tcPr>
            <w:tcW w:w="12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8"/>
                <w:szCs w:val="18"/>
                <w:color w:val="auto"/>
              </w:rPr>
            </w:pPr>
          </w:p>
        </w:tc>
        <w:tc>
          <w:tcPr>
            <w:tcW w:w="1180" w:type="dxa"/>
            <w:vAlign w:val="bottom"/>
          </w:tcPr>
          <w:p>
            <w:pPr>
              <w:jc w:val="right"/>
              <w:ind w:right="24"/>
              <w:spacing w:after="0"/>
              <w:rPr>
                <w:sz w:val="20"/>
                <w:szCs w:val="20"/>
                <w:color w:val="auto"/>
              </w:rPr>
            </w:pPr>
            <w:r>
              <w:rPr>
                <w:rFonts w:ascii="Arial" w:cs="Arial" w:eastAsia="Arial" w:hAnsi="Arial"/>
                <w:sz w:val="11"/>
                <w:szCs w:val="11"/>
                <w:color w:val="auto"/>
              </w:rPr>
              <w:t>(29)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ind w:right="26"/>
              <w:spacing w:after="0"/>
              <w:rPr>
                <w:sz w:val="20"/>
                <w:szCs w:val="20"/>
                <w:color w:val="auto"/>
              </w:rPr>
            </w:pPr>
            <w:r>
              <w:rPr>
                <w:rFonts w:ascii="Arial" w:cs="Arial" w:eastAsia="Arial" w:hAnsi="Arial"/>
                <w:sz w:val="11"/>
                <w:szCs w:val="11"/>
                <w:color w:val="auto"/>
              </w:rPr>
              <w:t>(92)</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0" w:type="dxa"/>
            <w:vAlign w:val="bottom"/>
          </w:tcPr>
          <w:p>
            <w:pPr>
              <w:jc w:val="right"/>
              <w:ind w:right="3"/>
              <w:spacing w:after="0"/>
              <w:rPr>
                <w:sz w:val="20"/>
                <w:szCs w:val="20"/>
                <w:color w:val="auto"/>
              </w:rPr>
            </w:pPr>
            <w:r>
              <w:rPr>
                <w:rFonts w:ascii="Arial" w:cs="Arial" w:eastAsia="Arial" w:hAnsi="Arial"/>
                <w:sz w:val="11"/>
                <w:szCs w:val="11"/>
                <w:color w:val="auto"/>
              </w:rPr>
              <w:t>(2)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8"/>
                <w:szCs w:val="18"/>
                <w:color w:val="auto"/>
              </w:rPr>
            </w:pPr>
          </w:p>
        </w:tc>
        <w:tc>
          <w:tcPr>
            <w:tcW w:w="940" w:type="dxa"/>
            <w:vAlign w:val="bottom"/>
          </w:tcPr>
          <w:p>
            <w:pPr>
              <w:jc w:val="right"/>
              <w:ind w:right="5"/>
              <w:spacing w:after="0"/>
              <w:rPr>
                <w:sz w:val="20"/>
                <w:szCs w:val="20"/>
                <w:color w:val="auto"/>
              </w:rPr>
            </w:pPr>
            <w:r>
              <w:rPr>
                <w:rFonts w:ascii="Arial" w:cs="Arial" w:eastAsia="Arial" w:hAnsi="Arial"/>
                <w:sz w:val="11"/>
                <w:szCs w:val="11"/>
                <w:color w:val="auto"/>
              </w:rPr>
              <w:t>(123)</w:t>
            </w:r>
          </w:p>
        </w:tc>
      </w:tr>
      <w:tr>
        <w:trPr>
          <w:trHeight w:val="189"/>
        </w:trPr>
        <w:tc>
          <w:tcPr>
            <w:tcW w:w="196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1"/>
                <w:szCs w:val="11"/>
                <w:color w:val="auto"/>
              </w:rPr>
              <w:t>Total revenues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16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1"/>
                <w:szCs w:val="11"/>
                <w:color w:val="auto"/>
              </w:rPr>
              <w:t>2,313</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14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1"/>
                <w:szCs w:val="11"/>
                <w:color w:val="auto"/>
              </w:rPr>
              <w:t>388</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180" w:type="dxa"/>
            <w:vAlign w:val="bottom"/>
            <w:tcBorders>
              <w:top w:val="single" w:sz="8" w:color="auto"/>
              <w:bottom w:val="single" w:sz="8" w:color="auto"/>
            </w:tcBorders>
            <w:shd w:val="clear" w:color="auto" w:fill="CCEEFF"/>
          </w:tcPr>
          <w:p>
            <w:pPr>
              <w:jc w:val="right"/>
              <w:ind w:right="64"/>
              <w:spacing w:after="0"/>
              <w:rPr>
                <w:sz w:val="20"/>
                <w:szCs w:val="20"/>
                <w:color w:val="auto"/>
              </w:rPr>
            </w:pPr>
            <w:r>
              <w:rPr>
                <w:rFonts w:ascii="Arial" w:cs="Arial" w:eastAsia="Arial" w:hAnsi="Arial"/>
                <w:sz w:val="11"/>
                <w:szCs w:val="11"/>
                <w:color w:val="auto"/>
              </w:rPr>
              <w:t>2,554</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Arial" w:cs="Arial" w:eastAsia="Arial" w:hAnsi="Arial"/>
                <w:sz w:val="11"/>
                <w:szCs w:val="11"/>
                <w:color w:val="auto"/>
                <w:w w:val="97"/>
              </w:rPr>
              <w:t>$</w:t>
            </w:r>
          </w:p>
        </w:tc>
        <w:tc>
          <w:tcPr>
            <w:tcW w:w="1080" w:type="dxa"/>
            <w:vAlign w:val="bottom"/>
            <w:tcBorders>
              <w:top w:val="single" w:sz="8" w:color="auto"/>
              <w:bottom w:val="single" w:sz="8" w:color="auto"/>
            </w:tcBorders>
            <w:shd w:val="clear" w:color="auto" w:fill="CCEEFF"/>
          </w:tcPr>
          <w:p>
            <w:pPr>
              <w:jc w:val="right"/>
              <w:ind w:right="46"/>
              <w:spacing w:after="0"/>
              <w:rPr>
                <w:sz w:val="20"/>
                <w:szCs w:val="20"/>
                <w:color w:val="auto"/>
              </w:rPr>
            </w:pPr>
            <w:r>
              <w:rPr>
                <w:rFonts w:ascii="Arial" w:cs="Arial" w:eastAsia="Arial" w:hAnsi="Arial"/>
                <w:sz w:val="11"/>
                <w:szCs w:val="11"/>
                <w:color w:val="auto"/>
              </w:rPr>
              <w:t>2,754</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580" w:type="dxa"/>
            <w:vAlign w:val="bottom"/>
            <w:tcBorders>
              <w:top w:val="single" w:sz="8" w:color="auto"/>
              <w:bottom w:val="single" w:sz="8" w:color="auto"/>
            </w:tcBorders>
            <w:shd w:val="clear" w:color="auto" w:fill="CCEEFF"/>
          </w:tcPr>
          <w:p>
            <w:pPr>
              <w:jc w:val="right"/>
              <w:ind w:right="447"/>
              <w:spacing w:after="0"/>
              <w:rPr>
                <w:sz w:val="20"/>
                <w:szCs w:val="20"/>
                <w:color w:val="auto"/>
              </w:rPr>
            </w:pPr>
            <w:r>
              <w:rPr>
                <w:rFonts w:ascii="Arial" w:cs="Arial" w:eastAsia="Arial" w:hAnsi="Arial"/>
                <w:sz w:val="11"/>
                <w:szCs w:val="11"/>
                <w:color w:val="auto"/>
                <w:w w:val="97"/>
              </w:rPr>
              <w:t>$</w:t>
            </w:r>
          </w:p>
        </w:tc>
        <w:tc>
          <w:tcPr>
            <w:tcW w:w="66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Arial" w:cs="Arial" w:eastAsia="Arial" w:hAnsi="Arial"/>
                <w:sz w:val="11"/>
                <w:szCs w:val="11"/>
                <w:color w:val="auto"/>
              </w:rPr>
              <w:t>847</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16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1"/>
                <w:szCs w:val="11"/>
                <w:color w:val="auto"/>
              </w:rPr>
              <w:t>215</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300" w:type="dxa"/>
            <w:vAlign w:val="bottom"/>
            <w:tcBorders>
              <w:top w:val="single" w:sz="8" w:color="auto"/>
              <w:bottom w:val="single" w:sz="8" w:color="auto"/>
            </w:tcBorders>
            <w:shd w:val="clear" w:color="auto" w:fill="CCEEFF"/>
          </w:tcPr>
          <w:p>
            <w:pPr>
              <w:jc w:val="right"/>
              <w:ind w:right="163"/>
              <w:spacing w:after="0"/>
              <w:rPr>
                <w:sz w:val="20"/>
                <w:szCs w:val="20"/>
                <w:color w:val="auto"/>
              </w:rPr>
            </w:pPr>
            <w:r>
              <w:rPr>
                <w:rFonts w:ascii="Arial" w:cs="Arial" w:eastAsia="Arial" w:hAnsi="Arial"/>
                <w:sz w:val="11"/>
                <w:szCs w:val="11"/>
                <w:color w:val="auto"/>
                <w:w w:val="97"/>
              </w:rPr>
              <w:t>$</w:t>
            </w:r>
          </w:p>
        </w:tc>
        <w:tc>
          <w:tcPr>
            <w:tcW w:w="94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1"/>
                <w:szCs w:val="11"/>
                <w:color w:val="auto"/>
              </w:rPr>
              <w:t>9,071</w:t>
            </w:r>
          </w:p>
        </w:tc>
      </w:tr>
      <w:tr>
        <w:trPr>
          <w:trHeight w:val="20"/>
        </w:trPr>
        <w:tc>
          <w:tcPr>
            <w:tcW w:w="19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3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ectPr>
          <w:pgSz w:w="11900" w:h="16838" w:orient="portrait"/>
          <w:cols w:equalWidth="0" w:num="1">
            <w:col w:w="11460"/>
          </w:cols>
          <w:pgMar w:left="220" w:top="129" w:right="219" w:bottom="1440" w:gutter="0" w:footer="0" w:header="0"/>
        </w:sectPr>
      </w:pPr>
    </w:p>
    <w:bookmarkStart w:id="34" w:name="page35"/>
    <w:bookmarkEnd w:id="34"/>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382" w:lineRule="exact"/>
        <w:rPr>
          <w:sz w:val="20"/>
          <w:szCs w:val="20"/>
          <w:color w:val="auto"/>
        </w:rPr>
      </w:pPr>
    </w:p>
    <w:p>
      <w:pPr>
        <w:ind w:left="5700"/>
        <w:spacing w:after="0"/>
        <w:rPr>
          <w:sz w:val="20"/>
          <w:szCs w:val="20"/>
          <w:color w:val="auto"/>
        </w:rPr>
      </w:pPr>
      <w:r>
        <w:rPr>
          <w:rFonts w:ascii="Arial" w:cs="Arial" w:eastAsia="Arial" w:hAnsi="Arial"/>
          <w:sz w:val="11"/>
          <w:szCs w:val="11"/>
          <w:b w:val="1"/>
          <w:bCs w:val="1"/>
          <w:color w:val="auto"/>
        </w:rPr>
        <w:t>Three Months Ended September 30,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1249680</wp:posOffset>
            </wp:positionH>
            <wp:positionV relativeFrom="paragraph">
              <wp:posOffset>19685</wp:posOffset>
            </wp:positionV>
            <wp:extent cx="6028690" cy="69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6028690" cy="6985"/>
                    </a:xfrm>
                    <a:prstGeom prst="rect">
                      <a:avLst/>
                    </a:prstGeom>
                    <a:noFill/>
                  </pic:spPr>
                </pic:pic>
              </a:graphicData>
            </a:graphic>
          </wp:anchor>
        </w:drawing>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03"/>
        </w:trPr>
        <w:tc>
          <w:tcPr>
            <w:tcW w:w="19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9"/>
                <w:szCs w:val="9"/>
                <w:b w:val="1"/>
                <w:bCs w:val="1"/>
                <w:color w:val="auto"/>
                <w:w w:val="95"/>
              </w:rPr>
              <w:t>Indiana</w:t>
            </w:r>
          </w:p>
        </w:tc>
        <w:tc>
          <w:tcPr>
            <w:tcW w:w="1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9"/>
                <w:szCs w:val="9"/>
                <w:b w:val="1"/>
                <w:bCs w:val="1"/>
                <w:color w:val="auto"/>
                <w:w w:val="85"/>
              </w:rPr>
              <w:t>Energy</w:t>
            </w:r>
          </w:p>
        </w:tc>
        <w:tc>
          <w:tcPr>
            <w:tcW w:w="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940" w:type="dxa"/>
            <w:vAlign w:val="bottom"/>
          </w:tcPr>
          <w:p>
            <w:pPr>
              <w:spacing w:after="0"/>
              <w:rPr>
                <w:sz w:val="8"/>
                <w:szCs w:val="8"/>
                <w:color w:val="auto"/>
              </w:rPr>
            </w:pPr>
          </w:p>
        </w:tc>
      </w:tr>
      <w:tr>
        <w:trPr>
          <w:trHeight w:val="121"/>
        </w:trPr>
        <w:tc>
          <w:tcPr>
            <w:tcW w:w="196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gridSpan w:val="2"/>
          </w:tcPr>
          <w:p>
            <w:pPr>
              <w:ind w:left="40"/>
              <w:spacing w:after="0"/>
              <w:rPr>
                <w:sz w:val="20"/>
                <w:szCs w:val="20"/>
                <w:color w:val="auto"/>
              </w:rPr>
            </w:pPr>
            <w:r>
              <w:rPr>
                <w:rFonts w:ascii="Arial" w:cs="Arial" w:eastAsia="Arial" w:hAnsi="Arial"/>
                <w:sz w:val="9"/>
                <w:szCs w:val="9"/>
                <w:b w:val="1"/>
                <w:bCs w:val="1"/>
                <w:color w:val="auto"/>
              </w:rPr>
              <w:t>Houston Electric T&amp;D (1)</w:t>
            </w:r>
          </w:p>
        </w:tc>
        <w:tc>
          <w:tcPr>
            <w:tcW w:w="16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9"/>
                <w:szCs w:val="9"/>
                <w:b w:val="1"/>
                <w:bCs w:val="1"/>
                <w:color w:val="auto"/>
                <w:w w:val="89"/>
              </w:rPr>
              <w:t>Electric Integrated (1)</w:t>
            </w:r>
          </w:p>
        </w:tc>
        <w:tc>
          <w:tcPr>
            <w:tcW w:w="10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gridSpan w:val="2"/>
          </w:tcPr>
          <w:p>
            <w:pPr>
              <w:ind w:left="20"/>
              <w:spacing w:after="0"/>
              <w:rPr>
                <w:sz w:val="20"/>
                <w:szCs w:val="20"/>
                <w:color w:val="auto"/>
              </w:rPr>
            </w:pPr>
            <w:r>
              <w:rPr>
                <w:rFonts w:ascii="Arial" w:cs="Arial" w:eastAsia="Arial" w:hAnsi="Arial"/>
                <w:sz w:val="9"/>
                <w:szCs w:val="9"/>
                <w:b w:val="1"/>
                <w:bCs w:val="1"/>
                <w:color w:val="auto"/>
              </w:rPr>
              <w:t>Natural Gas Distribution (1)</w:t>
            </w:r>
          </w:p>
        </w:tc>
        <w:tc>
          <w:tcPr>
            <w:tcW w:w="18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9"/>
                <w:szCs w:val="9"/>
                <w:b w:val="1"/>
                <w:bCs w:val="1"/>
                <w:color w:val="auto"/>
                <w:w w:val="83"/>
              </w:rPr>
              <w:t>Services (2)</w:t>
            </w:r>
          </w:p>
        </w:tc>
        <w:tc>
          <w:tcPr>
            <w:tcW w:w="12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gridSpan w:val="2"/>
          </w:tcPr>
          <w:p>
            <w:pPr>
              <w:ind w:left="20"/>
              <w:spacing w:after="0"/>
              <w:rPr>
                <w:sz w:val="20"/>
                <w:szCs w:val="20"/>
                <w:color w:val="auto"/>
              </w:rPr>
            </w:pPr>
            <w:r>
              <w:rPr>
                <w:rFonts w:ascii="Arial" w:cs="Arial" w:eastAsia="Arial" w:hAnsi="Arial"/>
                <w:sz w:val="9"/>
                <w:szCs w:val="9"/>
                <w:b w:val="1"/>
                <w:bCs w:val="1"/>
                <w:color w:val="auto"/>
              </w:rPr>
              <w:t>Infrastructure Services (2)</w:t>
            </w:r>
          </w:p>
        </w:tc>
        <w:tc>
          <w:tcPr>
            <w:tcW w:w="12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gridSpan w:val="2"/>
          </w:tcPr>
          <w:p>
            <w:pPr>
              <w:ind w:left="40"/>
              <w:spacing w:after="0"/>
              <w:rPr>
                <w:sz w:val="20"/>
                <w:szCs w:val="20"/>
                <w:color w:val="auto"/>
              </w:rPr>
            </w:pPr>
            <w:r>
              <w:rPr>
                <w:rFonts w:ascii="Arial" w:cs="Arial" w:eastAsia="Arial" w:hAnsi="Arial"/>
                <w:sz w:val="9"/>
                <w:szCs w:val="9"/>
                <w:b w:val="1"/>
                <w:bCs w:val="1"/>
                <w:color w:val="auto"/>
              </w:rPr>
              <w:t>Corporate and Other (2)</w:t>
            </w:r>
          </w:p>
        </w:tc>
        <w:tc>
          <w:tcPr>
            <w:tcW w:w="30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jc w:val="right"/>
              <w:ind w:right="465"/>
              <w:spacing w:after="0"/>
              <w:rPr>
                <w:sz w:val="20"/>
                <w:szCs w:val="20"/>
                <w:color w:val="auto"/>
              </w:rPr>
            </w:pPr>
            <w:r>
              <w:rPr>
                <w:rFonts w:ascii="Arial" w:cs="Arial" w:eastAsia="Arial" w:hAnsi="Arial"/>
                <w:sz w:val="9"/>
                <w:szCs w:val="9"/>
                <w:b w:val="1"/>
                <w:bCs w:val="1"/>
                <w:color w:val="auto"/>
              </w:rPr>
              <w:t>Total</w:t>
            </w:r>
          </w:p>
        </w:tc>
      </w:tr>
      <w:tr>
        <w:trPr>
          <w:trHeight w:val="200"/>
        </w:trPr>
        <w:tc>
          <w:tcPr>
            <w:tcW w:w="1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center"/>
              <w:ind w:right="380"/>
              <w:spacing w:after="0"/>
              <w:rPr>
                <w:sz w:val="20"/>
                <w:szCs w:val="20"/>
                <w:color w:val="auto"/>
              </w:rPr>
            </w:pPr>
            <w:r>
              <w:rPr>
                <w:rFonts w:ascii="Arial" w:cs="Arial" w:eastAsia="Arial" w:hAnsi="Arial"/>
                <w:sz w:val="11"/>
                <w:szCs w:val="11"/>
                <w:b w:val="1"/>
                <w:bCs w:val="1"/>
                <w:color w:val="auto"/>
                <w:w w:val="93"/>
              </w:rPr>
              <w:t>(in millions)</w:t>
            </w: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20"/>
        </w:trPr>
        <w:tc>
          <w:tcPr>
            <w:tcW w:w="1960" w:type="dxa"/>
            <w:vAlign w:val="bottom"/>
            <w:shd w:val="clear" w:color="auto" w:fill="CCEEFF"/>
          </w:tcPr>
          <w:p>
            <w:pPr>
              <w:ind w:left="20"/>
              <w:spacing w:after="0"/>
              <w:rPr>
                <w:sz w:val="20"/>
                <w:szCs w:val="20"/>
                <w:color w:val="auto"/>
              </w:rPr>
            </w:pPr>
            <w:r>
              <w:rPr>
                <w:rFonts w:ascii="Arial" w:cs="Arial" w:eastAsia="Arial" w:hAnsi="Arial"/>
                <w:sz w:val="11"/>
                <w:szCs w:val="11"/>
                <w:color w:val="auto"/>
              </w:rPr>
              <w:t>Revenue from contracts</w:t>
            </w: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160" w:type="dxa"/>
            <w:vAlign w:val="bottom"/>
            <w:shd w:val="clear" w:color="auto" w:fill="CCEEFF"/>
          </w:tcPr>
          <w:p>
            <w:pPr>
              <w:jc w:val="right"/>
              <w:ind w:right="65"/>
              <w:spacing w:after="0"/>
              <w:rPr>
                <w:sz w:val="20"/>
                <w:szCs w:val="20"/>
                <w:color w:val="auto"/>
              </w:rPr>
            </w:pPr>
            <w:r>
              <w:rPr>
                <w:rFonts w:ascii="Arial" w:cs="Arial" w:eastAsia="Arial" w:hAnsi="Arial"/>
                <w:sz w:val="11"/>
                <w:szCs w:val="11"/>
                <w:color w:val="auto"/>
              </w:rPr>
              <w:t>904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w w:val="97"/>
              </w:rPr>
              <w:t>$</w:t>
            </w:r>
          </w:p>
        </w:tc>
        <w:tc>
          <w:tcPr>
            <w:tcW w:w="1220" w:type="dxa"/>
            <w:vAlign w:val="bottom"/>
            <w:gridSpan w:val="2"/>
            <w:shd w:val="clear" w:color="auto" w:fill="CCEEFF"/>
          </w:tcPr>
          <w:p>
            <w:pPr>
              <w:ind w:left="88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180" w:type="dxa"/>
            <w:vAlign w:val="bottom"/>
            <w:shd w:val="clear" w:color="auto" w:fill="CCEEFF"/>
          </w:tcPr>
          <w:p>
            <w:pPr>
              <w:jc w:val="right"/>
              <w:ind w:right="65"/>
              <w:spacing w:after="0"/>
              <w:rPr>
                <w:sz w:val="20"/>
                <w:szCs w:val="20"/>
                <w:color w:val="auto"/>
              </w:rPr>
            </w:pPr>
            <w:r>
              <w:rPr>
                <w:rFonts w:ascii="Arial" w:cs="Arial" w:eastAsia="Arial" w:hAnsi="Arial"/>
                <w:sz w:val="11"/>
                <w:szCs w:val="11"/>
                <w:color w:val="auto"/>
              </w:rPr>
              <w:t>398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w w:val="97"/>
              </w:rPr>
              <w:t>$</w:t>
            </w:r>
          </w:p>
        </w:tc>
        <w:tc>
          <w:tcPr>
            <w:tcW w:w="108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82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240" w:type="dxa"/>
            <w:vAlign w:val="bottom"/>
            <w:gridSpan w:val="2"/>
            <w:shd w:val="clear" w:color="auto" w:fill="CCEEFF"/>
          </w:tcPr>
          <w:p>
            <w:pPr>
              <w:ind w:left="90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120" w:type="dxa"/>
            <w:vAlign w:val="bottom"/>
            <w:shd w:val="clear" w:color="auto" w:fill="CCEEFF"/>
          </w:tcPr>
          <w:p>
            <w:pPr>
              <w:jc w:val="right"/>
              <w:ind w:right="65"/>
              <w:spacing w:after="0"/>
              <w:rPr>
                <w:sz w:val="20"/>
                <w:szCs w:val="20"/>
                <w:color w:val="auto"/>
              </w:rPr>
            </w:pPr>
            <w:r>
              <w:rPr>
                <w:rFonts w:ascii="Arial" w:cs="Arial" w:eastAsia="Arial" w:hAnsi="Arial"/>
                <w:sz w:val="11"/>
                <w:szCs w:val="11"/>
                <w:color w:val="auto"/>
              </w:rPr>
              <w:t>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63"/>
              <w:spacing w:after="0"/>
              <w:rPr>
                <w:sz w:val="20"/>
                <w:szCs w:val="20"/>
                <w:color w:val="auto"/>
              </w:rPr>
            </w:pPr>
            <w:r>
              <w:rPr>
                <w:rFonts w:ascii="Arial" w:cs="Arial" w:eastAsia="Arial" w:hAnsi="Arial"/>
                <w:sz w:val="11"/>
                <w:szCs w:val="11"/>
                <w:color w:val="auto"/>
                <w:w w:val="97"/>
              </w:rPr>
              <w:t>$</w:t>
            </w:r>
          </w:p>
        </w:tc>
        <w:tc>
          <w:tcPr>
            <w:tcW w:w="940" w:type="dxa"/>
            <w:vAlign w:val="bottom"/>
            <w:shd w:val="clear" w:color="auto" w:fill="CCEEFF"/>
          </w:tcPr>
          <w:p>
            <w:pPr>
              <w:jc w:val="right"/>
              <w:ind w:right="45"/>
              <w:spacing w:after="0"/>
              <w:rPr>
                <w:sz w:val="20"/>
                <w:szCs w:val="20"/>
                <w:color w:val="auto"/>
              </w:rPr>
            </w:pPr>
            <w:r>
              <w:rPr>
                <w:rFonts w:ascii="Arial" w:cs="Arial" w:eastAsia="Arial" w:hAnsi="Arial"/>
                <w:sz w:val="11"/>
                <w:szCs w:val="11"/>
                <w:color w:val="auto"/>
              </w:rPr>
              <w:t>1,385</w:t>
            </w:r>
          </w:p>
        </w:tc>
      </w:tr>
      <w:tr>
        <w:trPr>
          <w:trHeight w:val="211"/>
        </w:trPr>
        <w:tc>
          <w:tcPr>
            <w:tcW w:w="1960" w:type="dxa"/>
            <w:vAlign w:val="bottom"/>
          </w:tcPr>
          <w:p>
            <w:pPr>
              <w:ind w:left="20"/>
              <w:spacing w:after="0"/>
              <w:rPr>
                <w:sz w:val="20"/>
                <w:szCs w:val="20"/>
                <w:color w:val="auto"/>
              </w:rPr>
            </w:pPr>
            <w:r>
              <w:rPr>
                <w:rFonts w:ascii="Arial" w:cs="Arial" w:eastAsia="Arial" w:hAnsi="Arial"/>
                <w:sz w:val="11"/>
                <w:szCs w:val="11"/>
                <w:color w:val="auto"/>
              </w:rPr>
              <w:t>Derivatives income</w:t>
            </w:r>
          </w:p>
        </w:tc>
        <w:tc>
          <w:tcPr>
            <w:tcW w:w="12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8"/>
                <w:szCs w:val="18"/>
                <w:color w:val="auto"/>
              </w:rPr>
            </w:pPr>
          </w:p>
        </w:tc>
        <w:tc>
          <w:tcPr>
            <w:tcW w:w="1220" w:type="dxa"/>
            <w:vAlign w:val="bottom"/>
            <w:gridSpan w:val="2"/>
          </w:tcPr>
          <w:p>
            <w:pPr>
              <w:ind w:left="8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8"/>
                <w:szCs w:val="18"/>
                <w:color w:val="auto"/>
              </w:rPr>
            </w:pPr>
          </w:p>
        </w:tc>
        <w:tc>
          <w:tcPr>
            <w:tcW w:w="1080" w:type="dxa"/>
            <w:vAlign w:val="bottom"/>
          </w:tcPr>
          <w:p>
            <w:pPr>
              <w:jc w:val="right"/>
              <w:ind w:right="46"/>
              <w:spacing w:after="0"/>
              <w:rPr>
                <w:sz w:val="20"/>
                <w:szCs w:val="20"/>
                <w:color w:val="auto"/>
              </w:rPr>
            </w:pPr>
            <w:r>
              <w:rPr>
                <w:rFonts w:ascii="Arial" w:cs="Arial" w:eastAsia="Arial" w:hAnsi="Arial"/>
                <w:sz w:val="11"/>
                <w:szCs w:val="11"/>
                <w:color w:val="auto"/>
              </w:rPr>
              <w:t>838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ind w:left="9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8"/>
                <w:szCs w:val="18"/>
                <w:color w:val="auto"/>
              </w:rPr>
            </w:pPr>
          </w:p>
        </w:tc>
        <w:tc>
          <w:tcPr>
            <w:tcW w:w="940" w:type="dxa"/>
            <w:vAlign w:val="bottom"/>
          </w:tcPr>
          <w:p>
            <w:pPr>
              <w:jc w:val="right"/>
              <w:ind w:right="45"/>
              <w:spacing w:after="0"/>
              <w:rPr>
                <w:sz w:val="20"/>
                <w:szCs w:val="20"/>
                <w:color w:val="auto"/>
              </w:rPr>
            </w:pPr>
            <w:r>
              <w:rPr>
                <w:rFonts w:ascii="Arial" w:cs="Arial" w:eastAsia="Arial" w:hAnsi="Arial"/>
                <w:sz w:val="11"/>
                <w:szCs w:val="11"/>
                <w:color w:val="auto"/>
              </w:rPr>
              <w:t>838</w:t>
            </w:r>
          </w:p>
        </w:tc>
      </w:tr>
      <w:tr>
        <w:trPr>
          <w:trHeight w:val="220"/>
        </w:trPr>
        <w:tc>
          <w:tcPr>
            <w:tcW w:w="1960" w:type="dxa"/>
            <w:vAlign w:val="bottom"/>
            <w:shd w:val="clear" w:color="auto" w:fill="CCEEFF"/>
          </w:tcPr>
          <w:p>
            <w:pPr>
              <w:ind w:left="20"/>
              <w:spacing w:after="0"/>
              <w:rPr>
                <w:sz w:val="20"/>
                <w:szCs w:val="20"/>
                <w:color w:val="auto"/>
              </w:rPr>
            </w:pPr>
            <w:r>
              <w:rPr>
                <w:rFonts w:ascii="Arial" w:cs="Arial" w:eastAsia="Arial" w:hAnsi="Arial"/>
                <w:sz w:val="11"/>
                <w:szCs w:val="11"/>
                <w:color w:val="auto"/>
              </w:rPr>
              <w:t xml:space="preserve">Other </w:t>
            </w:r>
            <w:r>
              <w:rPr>
                <w:rFonts w:ascii="Arial" w:cs="Arial" w:eastAsia="Arial" w:hAnsi="Arial"/>
                <w:sz w:val="8"/>
                <w:szCs w:val="8"/>
                <w:color w:val="auto"/>
              </w:rPr>
              <w:t>(3)</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25"/>
              <w:spacing w:after="0"/>
              <w:rPr>
                <w:sz w:val="20"/>
                <w:szCs w:val="20"/>
                <w:color w:val="auto"/>
              </w:rPr>
            </w:pPr>
            <w:r>
              <w:rPr>
                <w:rFonts w:ascii="Arial" w:cs="Arial" w:eastAsia="Arial" w:hAnsi="Arial"/>
                <w:sz w:val="11"/>
                <w:szCs w:val="11"/>
                <w:color w:val="auto"/>
              </w:rPr>
              <w:t>(7)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8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65"/>
              <w:spacing w:after="0"/>
              <w:rPr>
                <w:sz w:val="20"/>
                <w:szCs w:val="20"/>
                <w:color w:val="auto"/>
              </w:rPr>
            </w:pPr>
            <w:r>
              <w:rPr>
                <w:rFonts w:ascii="Arial" w:cs="Arial" w:eastAsia="Arial" w:hAnsi="Arial"/>
                <w:sz w:val="11"/>
                <w:szCs w:val="11"/>
                <w:color w:val="auto"/>
              </w:rPr>
              <w:t>12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90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65"/>
              <w:spacing w:after="0"/>
              <w:rPr>
                <w:sz w:val="20"/>
                <w:szCs w:val="20"/>
                <w:color w:val="auto"/>
              </w:rPr>
            </w:pPr>
            <w:r>
              <w:rPr>
                <w:rFonts w:ascii="Arial" w:cs="Arial" w:eastAsia="Arial" w:hAnsi="Arial"/>
                <w:sz w:val="11"/>
                <w:szCs w:val="11"/>
                <w:color w:val="auto"/>
              </w:rPr>
              <w:t>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45"/>
              <w:spacing w:after="0"/>
              <w:rPr>
                <w:sz w:val="20"/>
                <w:szCs w:val="20"/>
                <w:color w:val="auto"/>
              </w:rPr>
            </w:pPr>
            <w:r>
              <w:rPr>
                <w:rFonts w:ascii="Arial" w:cs="Arial" w:eastAsia="Arial" w:hAnsi="Arial"/>
                <w:sz w:val="11"/>
                <w:szCs w:val="11"/>
                <w:color w:val="auto"/>
              </w:rPr>
              <w:t>7</w:t>
            </w:r>
          </w:p>
        </w:tc>
      </w:tr>
      <w:tr>
        <w:trPr>
          <w:trHeight w:val="211"/>
        </w:trPr>
        <w:tc>
          <w:tcPr>
            <w:tcW w:w="196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Eliminations</w:t>
            </w: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65"/>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ind w:left="88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25"/>
              <w:spacing w:after="0"/>
              <w:rPr>
                <w:sz w:val="20"/>
                <w:szCs w:val="20"/>
                <w:color w:val="auto"/>
              </w:rPr>
            </w:pPr>
            <w:r>
              <w:rPr>
                <w:rFonts w:ascii="Arial" w:cs="Arial" w:eastAsia="Arial" w:hAnsi="Arial"/>
                <w:sz w:val="11"/>
                <w:szCs w:val="11"/>
                <w:color w:val="auto"/>
              </w:rPr>
              <w:t>(8)</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color w:val="auto"/>
              </w:rPr>
              <w:t>(10)</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ind w:left="9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65"/>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5"/>
              <w:spacing w:after="0"/>
              <w:rPr>
                <w:sz w:val="20"/>
                <w:szCs w:val="20"/>
                <w:color w:val="auto"/>
              </w:rPr>
            </w:pPr>
            <w:r>
              <w:rPr>
                <w:rFonts w:ascii="Arial" w:cs="Arial" w:eastAsia="Arial" w:hAnsi="Arial"/>
                <w:sz w:val="11"/>
                <w:szCs w:val="11"/>
                <w:color w:val="auto"/>
              </w:rPr>
              <w:t>(18)</w:t>
            </w:r>
          </w:p>
        </w:tc>
      </w:tr>
      <w:tr>
        <w:trPr>
          <w:trHeight w:val="189"/>
        </w:trPr>
        <w:tc>
          <w:tcPr>
            <w:tcW w:w="19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1"/>
                <w:szCs w:val="11"/>
                <w:color w:val="auto"/>
              </w:rPr>
              <w:t>Total revenues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16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1"/>
                <w:szCs w:val="11"/>
                <w:color w:val="auto"/>
              </w:rPr>
              <w:t>897</w:t>
            </w: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1"/>
                <w:szCs w:val="11"/>
                <w:color w:val="auto"/>
                <w:w w:val="97"/>
              </w:rPr>
              <w:t>$</w:t>
            </w:r>
          </w:p>
        </w:tc>
        <w:tc>
          <w:tcPr>
            <w:tcW w:w="1100" w:type="dxa"/>
            <w:vAlign w:val="bottom"/>
            <w:tcBorders>
              <w:bottom w:val="single" w:sz="8" w:color="auto"/>
            </w:tcBorders>
            <w:shd w:val="clear" w:color="auto" w:fill="CCEEFF"/>
          </w:tcPr>
          <w:p>
            <w:pPr>
              <w:ind w:left="88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18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1"/>
                <w:szCs w:val="11"/>
                <w:color w:val="auto"/>
              </w:rPr>
              <w:t>402</w:t>
            </w:r>
          </w:p>
        </w:tc>
        <w:tc>
          <w:tcPr>
            <w:tcW w:w="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1"/>
                <w:szCs w:val="11"/>
                <w:color w:val="auto"/>
                <w:w w:val="97"/>
              </w:rPr>
              <w:t>$</w:t>
            </w:r>
          </w:p>
        </w:tc>
        <w:tc>
          <w:tcPr>
            <w:tcW w:w="108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1"/>
                <w:szCs w:val="11"/>
                <w:color w:val="auto"/>
              </w:rPr>
              <w:t>910</w:t>
            </w: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120" w:type="dxa"/>
            <w:vAlign w:val="bottom"/>
            <w:tcBorders>
              <w:bottom w:val="single" w:sz="8" w:color="auto"/>
            </w:tcBorders>
            <w:shd w:val="clear" w:color="auto" w:fill="CCEEFF"/>
          </w:tcPr>
          <w:p>
            <w:pPr>
              <w:ind w:left="9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12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1"/>
                <w:szCs w:val="11"/>
                <w:color w:val="auto"/>
              </w:rPr>
              <w:t>3</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63"/>
              <w:spacing w:after="0"/>
              <w:rPr>
                <w:sz w:val="20"/>
                <w:szCs w:val="20"/>
                <w:color w:val="auto"/>
              </w:rPr>
            </w:pPr>
            <w:r>
              <w:rPr>
                <w:rFonts w:ascii="Arial" w:cs="Arial" w:eastAsia="Arial" w:hAnsi="Arial"/>
                <w:sz w:val="11"/>
                <w:szCs w:val="11"/>
                <w:color w:val="auto"/>
                <w:w w:val="97"/>
              </w:rPr>
              <w:t>$</w:t>
            </w:r>
          </w:p>
        </w:tc>
        <w:tc>
          <w:tcPr>
            <w:tcW w:w="94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1"/>
                <w:szCs w:val="11"/>
                <w:color w:val="auto"/>
              </w:rPr>
              <w:t>2,212</w:t>
            </w:r>
          </w:p>
        </w:tc>
      </w:tr>
      <w:tr>
        <w:trPr>
          <w:trHeight w:val="20"/>
        </w:trPr>
        <w:tc>
          <w:tcPr>
            <w:tcW w:w="19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410"/>
        </w:trPr>
        <w:tc>
          <w:tcPr>
            <w:tcW w:w="19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40" w:type="dxa"/>
            <w:vAlign w:val="bottom"/>
            <w:tcBorders>
              <w:bottom w:val="single" w:sz="8" w:color="auto"/>
            </w:tcBorders>
            <w:gridSpan w:val="8"/>
          </w:tcPr>
          <w:p>
            <w:pPr>
              <w:jc w:val="center"/>
              <w:ind w:right="260"/>
              <w:spacing w:after="0"/>
              <w:rPr>
                <w:sz w:val="20"/>
                <w:szCs w:val="20"/>
                <w:color w:val="auto"/>
              </w:rPr>
            </w:pPr>
            <w:r>
              <w:rPr>
                <w:rFonts w:ascii="Arial" w:cs="Arial" w:eastAsia="Arial" w:hAnsi="Arial"/>
                <w:sz w:val="11"/>
                <w:szCs w:val="11"/>
                <w:b w:val="1"/>
                <w:bCs w:val="1"/>
                <w:color w:val="auto"/>
                <w:w w:val="94"/>
              </w:rPr>
              <w:t>Nine Months Ended September 30, 2018</w:t>
            </w: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r>
      <w:tr>
        <w:trPr>
          <w:trHeight w:val="102"/>
        </w:trPr>
        <w:tc>
          <w:tcPr>
            <w:tcW w:w="19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9"/>
                <w:szCs w:val="9"/>
                <w:b w:val="1"/>
                <w:bCs w:val="1"/>
                <w:color w:val="auto"/>
                <w:w w:val="95"/>
              </w:rPr>
              <w:t>Indiana</w:t>
            </w:r>
          </w:p>
        </w:tc>
        <w:tc>
          <w:tcPr>
            <w:tcW w:w="1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9"/>
                <w:szCs w:val="9"/>
                <w:b w:val="1"/>
                <w:bCs w:val="1"/>
                <w:color w:val="auto"/>
                <w:w w:val="85"/>
              </w:rPr>
              <w:t>Energy</w:t>
            </w:r>
          </w:p>
        </w:tc>
        <w:tc>
          <w:tcPr>
            <w:tcW w:w="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940" w:type="dxa"/>
            <w:vAlign w:val="bottom"/>
          </w:tcPr>
          <w:p>
            <w:pPr>
              <w:spacing w:after="0"/>
              <w:rPr>
                <w:sz w:val="8"/>
                <w:szCs w:val="8"/>
                <w:color w:val="auto"/>
              </w:rPr>
            </w:pPr>
          </w:p>
        </w:tc>
      </w:tr>
      <w:tr>
        <w:trPr>
          <w:trHeight w:val="121"/>
        </w:trPr>
        <w:tc>
          <w:tcPr>
            <w:tcW w:w="196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gridSpan w:val="2"/>
          </w:tcPr>
          <w:p>
            <w:pPr>
              <w:ind w:left="40"/>
              <w:spacing w:after="0"/>
              <w:rPr>
                <w:sz w:val="20"/>
                <w:szCs w:val="20"/>
                <w:color w:val="auto"/>
              </w:rPr>
            </w:pPr>
            <w:r>
              <w:rPr>
                <w:rFonts w:ascii="Arial" w:cs="Arial" w:eastAsia="Arial" w:hAnsi="Arial"/>
                <w:sz w:val="9"/>
                <w:szCs w:val="9"/>
                <w:b w:val="1"/>
                <w:bCs w:val="1"/>
                <w:color w:val="auto"/>
              </w:rPr>
              <w:t>Houston Electric T&amp;D (1)</w:t>
            </w:r>
          </w:p>
        </w:tc>
        <w:tc>
          <w:tcPr>
            <w:tcW w:w="16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9"/>
                <w:szCs w:val="9"/>
                <w:b w:val="1"/>
                <w:bCs w:val="1"/>
                <w:color w:val="auto"/>
                <w:w w:val="89"/>
              </w:rPr>
              <w:t>Electric Integrated (1)</w:t>
            </w:r>
          </w:p>
        </w:tc>
        <w:tc>
          <w:tcPr>
            <w:tcW w:w="10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gridSpan w:val="2"/>
          </w:tcPr>
          <w:p>
            <w:pPr>
              <w:ind w:left="20"/>
              <w:spacing w:after="0"/>
              <w:rPr>
                <w:sz w:val="20"/>
                <w:szCs w:val="20"/>
                <w:color w:val="auto"/>
              </w:rPr>
            </w:pPr>
            <w:r>
              <w:rPr>
                <w:rFonts w:ascii="Arial" w:cs="Arial" w:eastAsia="Arial" w:hAnsi="Arial"/>
                <w:sz w:val="9"/>
                <w:szCs w:val="9"/>
                <w:b w:val="1"/>
                <w:bCs w:val="1"/>
                <w:color w:val="auto"/>
              </w:rPr>
              <w:t>Natural Gas Distribution (1)</w:t>
            </w:r>
          </w:p>
        </w:tc>
        <w:tc>
          <w:tcPr>
            <w:tcW w:w="18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9"/>
                <w:szCs w:val="9"/>
                <w:b w:val="1"/>
                <w:bCs w:val="1"/>
                <w:color w:val="auto"/>
                <w:w w:val="83"/>
              </w:rPr>
              <w:t>Services (2)</w:t>
            </w:r>
          </w:p>
        </w:tc>
        <w:tc>
          <w:tcPr>
            <w:tcW w:w="12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gridSpan w:val="2"/>
          </w:tcPr>
          <w:p>
            <w:pPr>
              <w:ind w:left="20"/>
              <w:spacing w:after="0"/>
              <w:rPr>
                <w:sz w:val="20"/>
                <w:szCs w:val="20"/>
                <w:color w:val="auto"/>
              </w:rPr>
            </w:pPr>
            <w:r>
              <w:rPr>
                <w:rFonts w:ascii="Arial" w:cs="Arial" w:eastAsia="Arial" w:hAnsi="Arial"/>
                <w:sz w:val="9"/>
                <w:szCs w:val="9"/>
                <w:b w:val="1"/>
                <w:bCs w:val="1"/>
                <w:color w:val="auto"/>
              </w:rPr>
              <w:t>Infrastructure Services (2)</w:t>
            </w:r>
          </w:p>
        </w:tc>
        <w:tc>
          <w:tcPr>
            <w:tcW w:w="12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gridSpan w:val="2"/>
          </w:tcPr>
          <w:p>
            <w:pPr>
              <w:ind w:left="40"/>
              <w:spacing w:after="0"/>
              <w:rPr>
                <w:sz w:val="20"/>
                <w:szCs w:val="20"/>
                <w:color w:val="auto"/>
              </w:rPr>
            </w:pPr>
            <w:r>
              <w:rPr>
                <w:rFonts w:ascii="Arial" w:cs="Arial" w:eastAsia="Arial" w:hAnsi="Arial"/>
                <w:sz w:val="9"/>
                <w:szCs w:val="9"/>
                <w:b w:val="1"/>
                <w:bCs w:val="1"/>
                <w:color w:val="auto"/>
              </w:rPr>
              <w:t>Corporate and Other (2)</w:t>
            </w:r>
          </w:p>
        </w:tc>
        <w:tc>
          <w:tcPr>
            <w:tcW w:w="30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jc w:val="right"/>
              <w:ind w:right="465"/>
              <w:spacing w:after="0"/>
              <w:rPr>
                <w:sz w:val="20"/>
                <w:szCs w:val="20"/>
                <w:color w:val="auto"/>
              </w:rPr>
            </w:pPr>
            <w:r>
              <w:rPr>
                <w:rFonts w:ascii="Arial" w:cs="Arial" w:eastAsia="Arial" w:hAnsi="Arial"/>
                <w:sz w:val="9"/>
                <w:szCs w:val="9"/>
                <w:b w:val="1"/>
                <w:bCs w:val="1"/>
                <w:color w:val="auto"/>
              </w:rPr>
              <w:t>Total</w:t>
            </w:r>
          </w:p>
        </w:tc>
      </w:tr>
      <w:tr>
        <w:trPr>
          <w:trHeight w:val="200"/>
        </w:trPr>
        <w:tc>
          <w:tcPr>
            <w:tcW w:w="1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center"/>
              <w:ind w:right="380"/>
              <w:spacing w:after="0"/>
              <w:rPr>
                <w:sz w:val="20"/>
                <w:szCs w:val="20"/>
                <w:color w:val="auto"/>
              </w:rPr>
            </w:pPr>
            <w:r>
              <w:rPr>
                <w:rFonts w:ascii="Arial" w:cs="Arial" w:eastAsia="Arial" w:hAnsi="Arial"/>
                <w:sz w:val="11"/>
                <w:szCs w:val="11"/>
                <w:b w:val="1"/>
                <w:bCs w:val="1"/>
                <w:color w:val="auto"/>
                <w:w w:val="93"/>
              </w:rPr>
              <w:t>(in millions)</w:t>
            </w: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20"/>
        </w:trPr>
        <w:tc>
          <w:tcPr>
            <w:tcW w:w="1960" w:type="dxa"/>
            <w:vAlign w:val="bottom"/>
            <w:shd w:val="clear" w:color="auto" w:fill="CCEEFF"/>
          </w:tcPr>
          <w:p>
            <w:pPr>
              <w:ind w:left="20"/>
              <w:spacing w:after="0"/>
              <w:rPr>
                <w:sz w:val="20"/>
                <w:szCs w:val="20"/>
                <w:color w:val="auto"/>
              </w:rPr>
            </w:pPr>
            <w:r>
              <w:rPr>
                <w:rFonts w:ascii="Arial" w:cs="Arial" w:eastAsia="Arial" w:hAnsi="Arial"/>
                <w:sz w:val="11"/>
                <w:szCs w:val="11"/>
                <w:color w:val="auto"/>
              </w:rPr>
              <w:t>Revenue from contracts</w:t>
            </w: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160" w:type="dxa"/>
            <w:vAlign w:val="bottom"/>
            <w:shd w:val="clear" w:color="auto" w:fill="CCEEFF"/>
          </w:tcPr>
          <w:p>
            <w:pPr>
              <w:jc w:val="right"/>
              <w:ind w:right="65"/>
              <w:spacing w:after="0"/>
              <w:rPr>
                <w:sz w:val="20"/>
                <w:szCs w:val="20"/>
                <w:color w:val="auto"/>
              </w:rPr>
            </w:pPr>
            <w:r>
              <w:rPr>
                <w:rFonts w:ascii="Arial" w:cs="Arial" w:eastAsia="Arial" w:hAnsi="Arial"/>
                <w:sz w:val="11"/>
                <w:szCs w:val="11"/>
                <w:color w:val="auto"/>
              </w:rPr>
              <w:t>2,525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w w:val="97"/>
              </w:rPr>
              <w:t>$</w:t>
            </w:r>
          </w:p>
        </w:tc>
        <w:tc>
          <w:tcPr>
            <w:tcW w:w="1220" w:type="dxa"/>
            <w:vAlign w:val="bottom"/>
            <w:gridSpan w:val="2"/>
            <w:shd w:val="clear" w:color="auto" w:fill="CCEEFF"/>
          </w:tcPr>
          <w:p>
            <w:pPr>
              <w:ind w:left="88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180" w:type="dxa"/>
            <w:vAlign w:val="bottom"/>
            <w:shd w:val="clear" w:color="auto" w:fill="CCEEFF"/>
          </w:tcPr>
          <w:p>
            <w:pPr>
              <w:jc w:val="right"/>
              <w:ind w:right="65"/>
              <w:spacing w:after="0"/>
              <w:rPr>
                <w:sz w:val="20"/>
                <w:szCs w:val="20"/>
                <w:color w:val="auto"/>
              </w:rPr>
            </w:pPr>
            <w:r>
              <w:rPr>
                <w:rFonts w:ascii="Arial" w:cs="Arial" w:eastAsia="Arial" w:hAnsi="Arial"/>
                <w:sz w:val="11"/>
                <w:szCs w:val="11"/>
                <w:color w:val="auto"/>
              </w:rPr>
              <w:t>2,093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w w:val="97"/>
              </w:rPr>
              <w:t>$</w:t>
            </w:r>
          </w:p>
        </w:tc>
        <w:tc>
          <w:tcPr>
            <w:tcW w:w="108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338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240" w:type="dxa"/>
            <w:vAlign w:val="bottom"/>
            <w:gridSpan w:val="2"/>
            <w:shd w:val="clear" w:color="auto" w:fill="CCEEFF"/>
          </w:tcPr>
          <w:p>
            <w:pPr>
              <w:ind w:left="90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120" w:type="dxa"/>
            <w:vAlign w:val="bottom"/>
            <w:shd w:val="clear" w:color="auto" w:fill="CCEEFF"/>
          </w:tcPr>
          <w:p>
            <w:pPr>
              <w:jc w:val="right"/>
              <w:ind w:right="65"/>
              <w:spacing w:after="0"/>
              <w:rPr>
                <w:sz w:val="20"/>
                <w:szCs w:val="20"/>
                <w:color w:val="auto"/>
              </w:rPr>
            </w:pPr>
            <w:r>
              <w:rPr>
                <w:rFonts w:ascii="Arial" w:cs="Arial" w:eastAsia="Arial" w:hAnsi="Arial"/>
                <w:sz w:val="11"/>
                <w:szCs w:val="11"/>
                <w:color w:val="auto"/>
              </w:rPr>
              <w:t>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63"/>
              <w:spacing w:after="0"/>
              <w:rPr>
                <w:sz w:val="20"/>
                <w:szCs w:val="20"/>
                <w:color w:val="auto"/>
              </w:rPr>
            </w:pPr>
            <w:r>
              <w:rPr>
                <w:rFonts w:ascii="Arial" w:cs="Arial" w:eastAsia="Arial" w:hAnsi="Arial"/>
                <w:sz w:val="11"/>
                <w:szCs w:val="11"/>
                <w:color w:val="auto"/>
                <w:w w:val="97"/>
              </w:rPr>
              <w:t>$</w:t>
            </w:r>
          </w:p>
        </w:tc>
        <w:tc>
          <w:tcPr>
            <w:tcW w:w="940" w:type="dxa"/>
            <w:vAlign w:val="bottom"/>
            <w:shd w:val="clear" w:color="auto" w:fill="CCEEFF"/>
          </w:tcPr>
          <w:p>
            <w:pPr>
              <w:jc w:val="right"/>
              <w:ind w:right="45"/>
              <w:spacing w:after="0"/>
              <w:rPr>
                <w:sz w:val="20"/>
                <w:szCs w:val="20"/>
                <w:color w:val="auto"/>
              </w:rPr>
            </w:pPr>
            <w:r>
              <w:rPr>
                <w:rFonts w:ascii="Arial" w:cs="Arial" w:eastAsia="Arial" w:hAnsi="Arial"/>
                <w:sz w:val="11"/>
                <w:szCs w:val="11"/>
                <w:color w:val="auto"/>
              </w:rPr>
              <w:t>4,960</w:t>
            </w:r>
          </w:p>
        </w:tc>
      </w:tr>
      <w:tr>
        <w:trPr>
          <w:trHeight w:val="211"/>
        </w:trPr>
        <w:tc>
          <w:tcPr>
            <w:tcW w:w="1960" w:type="dxa"/>
            <w:vAlign w:val="bottom"/>
          </w:tcPr>
          <w:p>
            <w:pPr>
              <w:ind w:left="20"/>
              <w:spacing w:after="0"/>
              <w:rPr>
                <w:sz w:val="20"/>
                <w:szCs w:val="20"/>
                <w:color w:val="auto"/>
              </w:rPr>
            </w:pPr>
            <w:r>
              <w:rPr>
                <w:rFonts w:ascii="Arial" w:cs="Arial" w:eastAsia="Arial" w:hAnsi="Arial"/>
                <w:sz w:val="11"/>
                <w:szCs w:val="11"/>
                <w:color w:val="auto"/>
              </w:rPr>
              <w:t>Derivatives income</w:t>
            </w:r>
          </w:p>
        </w:tc>
        <w:tc>
          <w:tcPr>
            <w:tcW w:w="120" w:type="dxa"/>
            <w:vAlign w:val="bottom"/>
          </w:tcPr>
          <w:p>
            <w:pPr>
              <w:spacing w:after="0"/>
              <w:rPr>
                <w:sz w:val="18"/>
                <w:szCs w:val="18"/>
                <w:color w:val="auto"/>
              </w:rPr>
            </w:pPr>
          </w:p>
        </w:tc>
        <w:tc>
          <w:tcPr>
            <w:tcW w:w="1160" w:type="dxa"/>
            <w:vAlign w:val="bottom"/>
          </w:tcPr>
          <w:p>
            <w:pPr>
              <w:jc w:val="right"/>
              <w:ind w:right="25"/>
              <w:spacing w:after="0"/>
              <w:rPr>
                <w:sz w:val="20"/>
                <w:szCs w:val="20"/>
                <w:color w:val="auto"/>
              </w:rPr>
            </w:pPr>
            <w:r>
              <w:rPr>
                <w:rFonts w:ascii="Arial" w:cs="Arial" w:eastAsia="Arial" w:hAnsi="Arial"/>
                <w:sz w:val="11"/>
                <w:szCs w:val="11"/>
                <w:color w:val="auto"/>
              </w:rPr>
              <w:t>(4)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ind w:left="8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8"/>
                <w:szCs w:val="18"/>
                <w:color w:val="auto"/>
              </w:rPr>
            </w:pPr>
          </w:p>
        </w:tc>
        <w:tc>
          <w:tcPr>
            <w:tcW w:w="1080" w:type="dxa"/>
            <w:vAlign w:val="bottom"/>
          </w:tcPr>
          <w:p>
            <w:pPr>
              <w:jc w:val="right"/>
              <w:ind w:right="46"/>
              <w:spacing w:after="0"/>
              <w:rPr>
                <w:sz w:val="20"/>
                <w:szCs w:val="20"/>
                <w:color w:val="auto"/>
              </w:rPr>
            </w:pPr>
            <w:r>
              <w:rPr>
                <w:rFonts w:ascii="Arial" w:cs="Arial" w:eastAsia="Arial" w:hAnsi="Arial"/>
                <w:sz w:val="11"/>
                <w:szCs w:val="11"/>
                <w:color w:val="auto"/>
              </w:rPr>
              <w:t>2,727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ind w:left="9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8"/>
                <w:szCs w:val="18"/>
                <w:color w:val="auto"/>
              </w:rPr>
            </w:pPr>
          </w:p>
        </w:tc>
        <w:tc>
          <w:tcPr>
            <w:tcW w:w="940" w:type="dxa"/>
            <w:vAlign w:val="bottom"/>
          </w:tcPr>
          <w:p>
            <w:pPr>
              <w:jc w:val="right"/>
              <w:ind w:right="45"/>
              <w:spacing w:after="0"/>
              <w:rPr>
                <w:sz w:val="20"/>
                <w:szCs w:val="20"/>
                <w:color w:val="auto"/>
              </w:rPr>
            </w:pPr>
            <w:r>
              <w:rPr>
                <w:rFonts w:ascii="Arial" w:cs="Arial" w:eastAsia="Arial" w:hAnsi="Arial"/>
                <w:sz w:val="11"/>
                <w:szCs w:val="11"/>
                <w:color w:val="auto"/>
              </w:rPr>
              <w:t>2,723</w:t>
            </w:r>
          </w:p>
        </w:tc>
      </w:tr>
      <w:tr>
        <w:trPr>
          <w:trHeight w:val="220"/>
        </w:trPr>
        <w:tc>
          <w:tcPr>
            <w:tcW w:w="1960" w:type="dxa"/>
            <w:vAlign w:val="bottom"/>
            <w:shd w:val="clear" w:color="auto" w:fill="CCEEFF"/>
          </w:tcPr>
          <w:p>
            <w:pPr>
              <w:ind w:left="20"/>
              <w:spacing w:after="0"/>
              <w:rPr>
                <w:sz w:val="20"/>
                <w:szCs w:val="20"/>
                <w:color w:val="auto"/>
              </w:rPr>
            </w:pPr>
            <w:r>
              <w:rPr>
                <w:rFonts w:ascii="Arial" w:cs="Arial" w:eastAsia="Arial" w:hAnsi="Arial"/>
                <w:sz w:val="11"/>
                <w:szCs w:val="11"/>
                <w:color w:val="auto"/>
              </w:rPr>
              <w:t xml:space="preserve">Other </w:t>
            </w:r>
            <w:r>
              <w:rPr>
                <w:rFonts w:ascii="Arial" w:cs="Arial" w:eastAsia="Arial" w:hAnsi="Arial"/>
                <w:sz w:val="8"/>
                <w:szCs w:val="8"/>
                <w:color w:val="auto"/>
              </w:rPr>
              <w:t>(3)</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25"/>
              <w:spacing w:after="0"/>
              <w:rPr>
                <w:sz w:val="20"/>
                <w:szCs w:val="20"/>
                <w:color w:val="auto"/>
              </w:rPr>
            </w:pPr>
            <w:r>
              <w:rPr>
                <w:rFonts w:ascii="Arial" w:cs="Arial" w:eastAsia="Arial" w:hAnsi="Arial"/>
                <w:sz w:val="11"/>
                <w:szCs w:val="11"/>
                <w:color w:val="auto"/>
              </w:rPr>
              <w:t>(19)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8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25"/>
              <w:spacing w:after="0"/>
              <w:rPr>
                <w:sz w:val="20"/>
                <w:szCs w:val="20"/>
                <w:color w:val="auto"/>
              </w:rPr>
            </w:pPr>
            <w:r>
              <w:rPr>
                <w:rFonts w:ascii="Arial" w:cs="Arial" w:eastAsia="Arial" w:hAnsi="Arial"/>
                <w:sz w:val="11"/>
                <w:szCs w:val="11"/>
                <w:color w:val="auto"/>
              </w:rPr>
              <w:t>(35)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90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65"/>
              <w:spacing w:after="0"/>
              <w:rPr>
                <w:sz w:val="20"/>
                <w:szCs w:val="20"/>
                <w:color w:val="auto"/>
              </w:rPr>
            </w:pPr>
            <w:r>
              <w:rPr>
                <w:rFonts w:ascii="Arial" w:cs="Arial" w:eastAsia="Arial" w:hAnsi="Arial"/>
                <w:sz w:val="11"/>
                <w:szCs w:val="11"/>
                <w:color w:val="auto"/>
              </w:rPr>
              <w:t>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(47)</w:t>
            </w:r>
          </w:p>
        </w:tc>
      </w:tr>
      <w:tr>
        <w:trPr>
          <w:trHeight w:val="211"/>
        </w:trPr>
        <w:tc>
          <w:tcPr>
            <w:tcW w:w="196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Eliminations</w:t>
            </w: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65"/>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ind w:left="88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25"/>
              <w:spacing w:after="0"/>
              <w:rPr>
                <w:sz w:val="20"/>
                <w:szCs w:val="20"/>
                <w:color w:val="auto"/>
              </w:rPr>
            </w:pPr>
            <w:r>
              <w:rPr>
                <w:rFonts w:ascii="Arial" w:cs="Arial" w:eastAsia="Arial" w:hAnsi="Arial"/>
                <w:sz w:val="11"/>
                <w:szCs w:val="11"/>
                <w:color w:val="auto"/>
              </w:rPr>
              <w:t>(26)</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color w:val="auto"/>
              </w:rPr>
              <w:t>(57)</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ind w:left="9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65"/>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5"/>
              <w:spacing w:after="0"/>
              <w:rPr>
                <w:sz w:val="20"/>
                <w:szCs w:val="20"/>
                <w:color w:val="auto"/>
              </w:rPr>
            </w:pPr>
            <w:r>
              <w:rPr>
                <w:rFonts w:ascii="Arial" w:cs="Arial" w:eastAsia="Arial" w:hAnsi="Arial"/>
                <w:sz w:val="11"/>
                <w:szCs w:val="11"/>
                <w:color w:val="auto"/>
              </w:rPr>
              <w:t>(83)</w:t>
            </w:r>
          </w:p>
        </w:tc>
      </w:tr>
      <w:tr>
        <w:trPr>
          <w:trHeight w:val="189"/>
        </w:trPr>
        <w:tc>
          <w:tcPr>
            <w:tcW w:w="1960" w:type="dxa"/>
            <w:vAlign w:val="bottom"/>
            <w:shd w:val="clear" w:color="auto" w:fill="CCEEFF"/>
          </w:tcPr>
          <w:p>
            <w:pPr>
              <w:ind w:left="140"/>
              <w:spacing w:after="0"/>
              <w:rPr>
                <w:sz w:val="20"/>
                <w:szCs w:val="20"/>
                <w:color w:val="auto"/>
              </w:rPr>
            </w:pPr>
            <w:r>
              <w:rPr>
                <w:rFonts w:ascii="Arial" w:cs="Arial" w:eastAsia="Arial" w:hAnsi="Arial"/>
                <w:sz w:val="11"/>
                <w:szCs w:val="11"/>
                <w:color w:val="auto"/>
              </w:rPr>
              <w:t>Total revenues</w:t>
            </w: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160" w:type="dxa"/>
            <w:vAlign w:val="bottom"/>
            <w:shd w:val="clear" w:color="auto" w:fill="CCEEFF"/>
          </w:tcPr>
          <w:p>
            <w:pPr>
              <w:jc w:val="right"/>
              <w:ind w:right="65"/>
              <w:spacing w:after="0"/>
              <w:rPr>
                <w:sz w:val="20"/>
                <w:szCs w:val="20"/>
                <w:color w:val="auto"/>
              </w:rPr>
            </w:pPr>
            <w:r>
              <w:rPr>
                <w:rFonts w:ascii="Arial" w:cs="Arial" w:eastAsia="Arial" w:hAnsi="Arial"/>
                <w:sz w:val="11"/>
                <w:szCs w:val="11"/>
                <w:color w:val="auto"/>
              </w:rPr>
              <w:t>2,502</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w w:val="97"/>
              </w:rPr>
              <w:t>$</w:t>
            </w:r>
          </w:p>
        </w:tc>
        <w:tc>
          <w:tcPr>
            <w:tcW w:w="1220" w:type="dxa"/>
            <w:vAlign w:val="bottom"/>
            <w:gridSpan w:val="2"/>
            <w:shd w:val="clear" w:color="auto" w:fill="CCEEFF"/>
          </w:tcPr>
          <w:p>
            <w:pPr>
              <w:ind w:left="88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180" w:type="dxa"/>
            <w:vAlign w:val="bottom"/>
            <w:shd w:val="clear" w:color="auto" w:fill="CCEEFF"/>
          </w:tcPr>
          <w:p>
            <w:pPr>
              <w:jc w:val="right"/>
              <w:ind w:right="65"/>
              <w:spacing w:after="0"/>
              <w:rPr>
                <w:sz w:val="20"/>
                <w:szCs w:val="20"/>
                <w:color w:val="auto"/>
              </w:rPr>
            </w:pPr>
            <w:r>
              <w:rPr>
                <w:rFonts w:ascii="Arial" w:cs="Arial" w:eastAsia="Arial" w:hAnsi="Arial"/>
                <w:sz w:val="11"/>
                <w:szCs w:val="11"/>
                <w:color w:val="auto"/>
              </w:rPr>
              <w:t>2,032</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w w:val="97"/>
              </w:rPr>
              <w:t>$</w:t>
            </w:r>
          </w:p>
        </w:tc>
        <w:tc>
          <w:tcPr>
            <w:tcW w:w="108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3,008</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240" w:type="dxa"/>
            <w:vAlign w:val="bottom"/>
            <w:gridSpan w:val="2"/>
            <w:shd w:val="clear" w:color="auto" w:fill="CCEEFF"/>
          </w:tcPr>
          <w:p>
            <w:pPr>
              <w:ind w:left="90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120" w:type="dxa"/>
            <w:vAlign w:val="bottom"/>
            <w:shd w:val="clear" w:color="auto" w:fill="CCEEFF"/>
          </w:tcPr>
          <w:p>
            <w:pPr>
              <w:jc w:val="right"/>
              <w:ind w:right="65"/>
              <w:spacing w:after="0"/>
              <w:rPr>
                <w:sz w:val="20"/>
                <w:szCs w:val="20"/>
                <w:color w:val="auto"/>
              </w:rPr>
            </w:pPr>
            <w:r>
              <w:rPr>
                <w:rFonts w:ascii="Arial" w:cs="Arial" w:eastAsia="Arial" w:hAnsi="Arial"/>
                <w:sz w:val="11"/>
                <w:szCs w:val="11"/>
                <w:color w:val="auto"/>
              </w:rPr>
              <w:t>11</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63"/>
              <w:spacing w:after="0"/>
              <w:rPr>
                <w:sz w:val="20"/>
                <w:szCs w:val="20"/>
                <w:color w:val="auto"/>
              </w:rPr>
            </w:pPr>
            <w:r>
              <w:rPr>
                <w:rFonts w:ascii="Arial" w:cs="Arial" w:eastAsia="Arial" w:hAnsi="Arial"/>
                <w:sz w:val="11"/>
                <w:szCs w:val="11"/>
                <w:color w:val="auto"/>
                <w:w w:val="97"/>
              </w:rPr>
              <w:t>$</w:t>
            </w:r>
          </w:p>
        </w:tc>
        <w:tc>
          <w:tcPr>
            <w:tcW w:w="940" w:type="dxa"/>
            <w:vAlign w:val="bottom"/>
            <w:shd w:val="clear" w:color="auto" w:fill="CCEEFF"/>
          </w:tcPr>
          <w:p>
            <w:pPr>
              <w:jc w:val="right"/>
              <w:ind w:right="45"/>
              <w:spacing w:after="0"/>
              <w:rPr>
                <w:sz w:val="20"/>
                <w:szCs w:val="20"/>
                <w:color w:val="auto"/>
              </w:rPr>
            </w:pPr>
            <w:r>
              <w:rPr>
                <w:rFonts w:ascii="Arial" w:cs="Arial" w:eastAsia="Arial" w:hAnsi="Arial"/>
                <w:sz w:val="11"/>
                <w:szCs w:val="11"/>
                <w:color w:val="auto"/>
              </w:rPr>
              <w:t>7,553</w:t>
            </w:r>
          </w:p>
        </w:tc>
      </w:tr>
      <w:tr>
        <w:trPr>
          <w:trHeight w:val="20"/>
        </w:trPr>
        <w:tc>
          <w:tcPr>
            <w:tcW w:w="1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162" w:lineRule="exact"/>
        <w:rPr>
          <w:sz w:val="20"/>
          <w:szCs w:val="20"/>
          <w:color w:val="auto"/>
        </w:rPr>
      </w:pPr>
    </w:p>
    <w:p>
      <w:pPr>
        <w:ind w:left="520" w:hanging="255"/>
        <w:spacing w:after="0"/>
        <w:tabs>
          <w:tab w:leader="none" w:pos="520" w:val="left"/>
        </w:tabs>
        <w:numPr>
          <w:ilvl w:val="0"/>
          <w:numId w:val="9"/>
        </w:numPr>
        <w:rPr>
          <w:rFonts w:ascii="Arial" w:cs="Arial" w:eastAsia="Arial" w:hAnsi="Arial"/>
          <w:sz w:val="14"/>
          <w:szCs w:val="14"/>
          <w:color w:val="auto"/>
        </w:rPr>
      </w:pPr>
      <w:r>
        <w:rPr>
          <w:rFonts w:ascii="Arial" w:cs="Arial" w:eastAsia="Arial" w:hAnsi="Arial"/>
          <w:sz w:val="14"/>
          <w:szCs w:val="14"/>
          <w:color w:val="auto"/>
        </w:rPr>
        <w:t>Reflected in Utility revenues in the Condensed Statements of Consolidated Income.</w:t>
      </w:r>
    </w:p>
    <w:p>
      <w:pPr>
        <w:spacing w:after="0" w:line="183" w:lineRule="exact"/>
        <w:rPr>
          <w:rFonts w:ascii="Arial" w:cs="Arial" w:eastAsia="Arial" w:hAnsi="Arial"/>
          <w:sz w:val="14"/>
          <w:szCs w:val="14"/>
          <w:color w:val="auto"/>
        </w:rPr>
      </w:pPr>
    </w:p>
    <w:p>
      <w:pPr>
        <w:ind w:left="520" w:hanging="255"/>
        <w:spacing w:after="0"/>
        <w:tabs>
          <w:tab w:leader="none" w:pos="520" w:val="left"/>
        </w:tabs>
        <w:numPr>
          <w:ilvl w:val="0"/>
          <w:numId w:val="9"/>
        </w:numPr>
        <w:rPr>
          <w:rFonts w:ascii="Arial" w:cs="Arial" w:eastAsia="Arial" w:hAnsi="Arial"/>
          <w:sz w:val="14"/>
          <w:szCs w:val="14"/>
          <w:color w:val="auto"/>
        </w:rPr>
      </w:pPr>
      <w:r>
        <w:rPr>
          <w:rFonts w:ascii="Arial" w:cs="Arial" w:eastAsia="Arial" w:hAnsi="Arial"/>
          <w:sz w:val="14"/>
          <w:szCs w:val="14"/>
          <w:color w:val="auto"/>
        </w:rPr>
        <w:t>Reflected in Non-utility revenues in the Condensed Statements of Consolidated Income.</w:t>
      </w:r>
    </w:p>
    <w:p>
      <w:pPr>
        <w:spacing w:after="0" w:line="183" w:lineRule="exact"/>
        <w:rPr>
          <w:rFonts w:ascii="Arial" w:cs="Arial" w:eastAsia="Arial" w:hAnsi="Arial"/>
          <w:sz w:val="14"/>
          <w:szCs w:val="14"/>
          <w:color w:val="auto"/>
        </w:rPr>
      </w:pPr>
    </w:p>
    <w:p>
      <w:pPr>
        <w:jc w:val="both"/>
        <w:ind w:left="520" w:hanging="255"/>
        <w:spacing w:after="0" w:line="267" w:lineRule="auto"/>
        <w:tabs>
          <w:tab w:leader="none" w:pos="520" w:val="left"/>
        </w:tabs>
        <w:numPr>
          <w:ilvl w:val="0"/>
          <w:numId w:val="9"/>
        </w:numPr>
        <w:rPr>
          <w:rFonts w:ascii="Arial" w:cs="Arial" w:eastAsia="Arial" w:hAnsi="Arial"/>
          <w:sz w:val="14"/>
          <w:szCs w:val="14"/>
          <w:color w:val="auto"/>
        </w:rPr>
      </w:pPr>
      <w:r>
        <w:rPr>
          <w:rFonts w:ascii="Arial" w:cs="Arial" w:eastAsia="Arial" w:hAnsi="Arial"/>
          <w:sz w:val="14"/>
          <w:szCs w:val="14"/>
          <w:color w:val="auto"/>
        </w:rPr>
        <w:t>Primarily consists of income from ARPs and leases. ARPs are contracts between the utility and its regulators, not between the utility and a customer. The Registrants recognize ARP revenue as other revenues when the regulator-specified conditions for recognition have been met. Upon recovery of ARP revenue through incorporation in rates charged for utility service to customers, ARP revenue is reversed and recorded as revenue from contracts with customers. The recognition of ARP revenues and the reversal of ARP revenues upon recovery through rates charged for utility service may not occur in the same period.</w:t>
      </w:r>
    </w:p>
    <w:p>
      <w:pPr>
        <w:spacing w:after="0" w:line="145" w:lineRule="exact"/>
        <w:rPr>
          <w:rFonts w:ascii="Arial" w:cs="Arial" w:eastAsia="Arial" w:hAnsi="Arial"/>
          <w:sz w:val="14"/>
          <w:szCs w:val="14"/>
          <w:color w:val="auto"/>
        </w:rPr>
      </w:pPr>
    </w:p>
    <w:p>
      <w:pPr>
        <w:ind w:left="520" w:hanging="255"/>
        <w:spacing w:after="0"/>
        <w:tabs>
          <w:tab w:leader="none" w:pos="520" w:val="left"/>
        </w:tabs>
        <w:numPr>
          <w:ilvl w:val="0"/>
          <w:numId w:val="9"/>
        </w:numPr>
        <w:rPr>
          <w:rFonts w:ascii="Arial" w:cs="Arial" w:eastAsia="Arial" w:hAnsi="Arial"/>
          <w:sz w:val="14"/>
          <w:szCs w:val="14"/>
          <w:color w:val="auto"/>
        </w:rPr>
      </w:pPr>
      <w:r>
        <w:rPr>
          <w:rFonts w:ascii="Arial" w:cs="Arial" w:eastAsia="Arial" w:hAnsi="Arial"/>
          <w:sz w:val="14"/>
          <w:szCs w:val="14"/>
          <w:color w:val="auto"/>
        </w:rPr>
        <w:t>Reflects revenues from Vectren subsidiaries for the period from February 1, 2019 to September 30, 2019.</w:t>
      </w:r>
    </w:p>
    <w:p>
      <w:pPr>
        <w:spacing w:after="0" w:line="18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Houston Electric</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5160" w:type="dxa"/>
            <w:vAlign w:val="bottom"/>
          </w:tcPr>
          <w:p>
            <w:pPr>
              <w:spacing w:after="0"/>
              <w:rPr>
                <w:sz w:val="13"/>
                <w:szCs w:val="13"/>
                <w:color w:val="auto"/>
              </w:rPr>
            </w:pPr>
          </w:p>
        </w:tc>
        <w:tc>
          <w:tcPr>
            <w:tcW w:w="2640" w:type="dxa"/>
            <w:vAlign w:val="bottom"/>
            <w:tcBorders>
              <w:bottom w:val="single" w:sz="8" w:color="auto"/>
            </w:tcBorders>
            <w:gridSpan w:val="4"/>
          </w:tcPr>
          <w:p>
            <w:pPr>
              <w:jc w:val="right"/>
              <w:ind w:right="113"/>
              <w:spacing w:after="0"/>
              <w:rPr>
                <w:sz w:val="20"/>
                <w:szCs w:val="20"/>
                <w:color w:val="auto"/>
              </w:rPr>
            </w:pPr>
            <w:r>
              <w:rPr>
                <w:rFonts w:ascii="Arial" w:cs="Arial" w:eastAsia="Arial" w:hAnsi="Arial"/>
                <w:sz w:val="11"/>
                <w:szCs w:val="11"/>
                <w:b w:val="1"/>
                <w:bCs w:val="1"/>
                <w:color w:val="auto"/>
              </w:rPr>
              <w:t>Three Months Ended September 30,</w:t>
            </w:r>
          </w:p>
        </w:tc>
        <w:tc>
          <w:tcPr>
            <w:tcW w:w="48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2640" w:type="dxa"/>
            <w:vAlign w:val="bottom"/>
            <w:tcBorders>
              <w:bottom w:val="single" w:sz="8" w:color="auto"/>
            </w:tcBorders>
            <w:gridSpan w:val="4"/>
          </w:tcPr>
          <w:p>
            <w:pPr>
              <w:jc w:val="right"/>
              <w:ind w:right="592"/>
              <w:spacing w:after="0"/>
              <w:rPr>
                <w:sz w:val="20"/>
                <w:szCs w:val="20"/>
                <w:color w:val="auto"/>
              </w:rPr>
            </w:pPr>
            <w:r>
              <w:rPr>
                <w:rFonts w:ascii="Arial" w:cs="Arial" w:eastAsia="Arial" w:hAnsi="Arial"/>
                <w:sz w:val="11"/>
                <w:szCs w:val="11"/>
                <w:b w:val="1"/>
                <w:bCs w:val="1"/>
                <w:color w:val="auto"/>
              </w:rPr>
              <w:t>Nine Months Ended September 30,</w:t>
            </w:r>
          </w:p>
        </w:tc>
      </w:tr>
      <w:tr>
        <w:trPr>
          <w:trHeight w:val="206"/>
        </w:trPr>
        <w:tc>
          <w:tcPr>
            <w:tcW w:w="5160" w:type="dxa"/>
            <w:vAlign w:val="bottom"/>
          </w:tcPr>
          <w:p>
            <w:pPr>
              <w:spacing w:after="0"/>
              <w:rPr>
                <w:sz w:val="17"/>
                <w:szCs w:val="17"/>
                <w:color w:val="auto"/>
              </w:rPr>
            </w:pPr>
          </w:p>
        </w:tc>
        <w:tc>
          <w:tcPr>
            <w:tcW w:w="1020" w:type="dxa"/>
            <w:vAlign w:val="bottom"/>
            <w:tcBorders>
              <w:bottom w:val="single" w:sz="8" w:color="auto"/>
            </w:tcBorders>
          </w:tcPr>
          <w:p>
            <w:pPr>
              <w:jc w:val="right"/>
              <w:ind w:right="75"/>
              <w:spacing w:after="0"/>
              <w:rPr>
                <w:sz w:val="20"/>
                <w:szCs w:val="20"/>
                <w:color w:val="auto"/>
              </w:rPr>
            </w:pPr>
            <w:r>
              <w:rPr>
                <w:rFonts w:ascii="Arial" w:cs="Arial" w:eastAsia="Arial" w:hAnsi="Arial"/>
                <w:sz w:val="11"/>
                <w:szCs w:val="11"/>
                <w:b w:val="1"/>
                <w:bCs w:val="1"/>
                <w:color w:val="auto"/>
              </w:rPr>
              <w:t>2019</w:t>
            </w:r>
          </w:p>
        </w:tc>
        <w:tc>
          <w:tcPr>
            <w:tcW w:w="4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93"/>
              <w:spacing w:after="0"/>
              <w:rPr>
                <w:sz w:val="20"/>
                <w:szCs w:val="20"/>
                <w:color w:val="auto"/>
              </w:rPr>
            </w:pPr>
            <w:r>
              <w:rPr>
                <w:rFonts w:ascii="Arial" w:cs="Arial" w:eastAsia="Arial" w:hAnsi="Arial"/>
                <w:sz w:val="11"/>
                <w:szCs w:val="11"/>
                <w:b w:val="1"/>
                <w:bCs w:val="1"/>
                <w:color w:val="auto"/>
              </w:rPr>
              <w:t>2018</w:t>
            </w:r>
          </w:p>
        </w:tc>
        <w:tc>
          <w:tcPr>
            <w:tcW w:w="4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554"/>
              <w:spacing w:after="0"/>
              <w:rPr>
                <w:sz w:val="20"/>
                <w:szCs w:val="20"/>
                <w:color w:val="auto"/>
              </w:rPr>
            </w:pPr>
            <w:r>
              <w:rPr>
                <w:rFonts w:ascii="Arial" w:cs="Arial" w:eastAsia="Arial" w:hAnsi="Arial"/>
                <w:sz w:val="11"/>
                <w:szCs w:val="11"/>
                <w:b w:val="1"/>
                <w:bCs w:val="1"/>
                <w:color w:val="auto"/>
              </w:rPr>
              <w:t>2019</w:t>
            </w:r>
          </w:p>
        </w:tc>
        <w:tc>
          <w:tcPr>
            <w:tcW w:w="1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552"/>
              <w:spacing w:after="0"/>
              <w:rPr>
                <w:sz w:val="20"/>
                <w:szCs w:val="20"/>
                <w:color w:val="auto"/>
              </w:rPr>
            </w:pPr>
            <w:r>
              <w:rPr>
                <w:rFonts w:ascii="Arial" w:cs="Arial" w:eastAsia="Arial" w:hAnsi="Arial"/>
                <w:sz w:val="11"/>
                <w:szCs w:val="11"/>
                <w:b w:val="1"/>
                <w:bCs w:val="1"/>
                <w:color w:val="auto"/>
              </w:rPr>
              <w:t>2018</w:t>
            </w:r>
          </w:p>
        </w:tc>
      </w:tr>
      <w:tr>
        <w:trPr>
          <w:trHeight w:val="196"/>
        </w:trPr>
        <w:tc>
          <w:tcPr>
            <w:tcW w:w="5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20" w:type="dxa"/>
            <w:vAlign w:val="bottom"/>
            <w:gridSpan w:val="3"/>
          </w:tcPr>
          <w:p>
            <w:pPr>
              <w:jc w:val="right"/>
              <w:ind w:right="128"/>
              <w:spacing w:after="0"/>
              <w:rPr>
                <w:sz w:val="20"/>
                <w:szCs w:val="20"/>
                <w:color w:val="auto"/>
              </w:rPr>
            </w:pPr>
            <w:r>
              <w:rPr>
                <w:rFonts w:ascii="Arial" w:cs="Arial" w:eastAsia="Arial" w:hAnsi="Arial"/>
                <w:sz w:val="11"/>
                <w:szCs w:val="11"/>
                <w:b w:val="1"/>
                <w:bCs w:val="1"/>
                <w:color w:val="auto"/>
              </w:rPr>
              <w:t>(in millions)</w:t>
            </w: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0"/>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Revenue from contracts</w:t>
            </w:r>
          </w:p>
        </w:tc>
        <w:tc>
          <w:tcPr>
            <w:tcW w:w="1020" w:type="dxa"/>
            <w:vAlign w:val="bottom"/>
            <w:tcBorders>
              <w:bottom w:val="single" w:sz="8" w:color="CCEEFF"/>
            </w:tcBorders>
            <w:shd w:val="clear" w:color="auto" w:fill="CCEEFF"/>
          </w:tcPr>
          <w:p>
            <w:pPr>
              <w:jc w:val="right"/>
              <w:ind w:right="855"/>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861</w:t>
            </w:r>
          </w:p>
        </w:tc>
        <w:tc>
          <w:tcPr>
            <w:tcW w:w="12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ind w:right="853"/>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904</w:t>
            </w:r>
          </w:p>
        </w:tc>
        <w:tc>
          <w:tcPr>
            <w:tcW w:w="12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4"/>
                <w:szCs w:val="14"/>
                <w:color w:val="auto"/>
              </w:rPr>
              <w:t>2,319</w:t>
            </w:r>
          </w:p>
        </w:tc>
        <w:tc>
          <w:tcPr>
            <w:tcW w:w="1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jc w:val="right"/>
              <w:ind w:right="208"/>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2,525</w:t>
            </w:r>
          </w:p>
        </w:tc>
      </w:tr>
      <w:tr>
        <w:trPr>
          <w:trHeight w:val="193"/>
        </w:trPr>
        <w:tc>
          <w:tcPr>
            <w:tcW w:w="5160" w:type="dxa"/>
            <w:vAlign w:val="bottom"/>
          </w:tcPr>
          <w:p>
            <w:pPr>
              <w:ind w:left="20"/>
              <w:spacing w:after="0"/>
              <w:rPr>
                <w:sz w:val="20"/>
                <w:szCs w:val="20"/>
                <w:color w:val="auto"/>
              </w:rPr>
            </w:pPr>
            <w:r>
              <w:rPr>
                <w:rFonts w:ascii="Arial" w:cs="Arial" w:eastAsia="Arial" w:hAnsi="Arial"/>
                <w:sz w:val="14"/>
                <w:szCs w:val="14"/>
                <w:color w:val="auto"/>
              </w:rPr>
              <w:t>Other (1)</w:t>
            </w:r>
          </w:p>
        </w:tc>
        <w:tc>
          <w:tcPr>
            <w:tcW w:w="102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(19)</w:t>
            </w:r>
          </w:p>
        </w:tc>
      </w:tr>
      <w:tr>
        <w:trPr>
          <w:trHeight w:val="23"/>
        </w:trPr>
        <w:tc>
          <w:tcPr>
            <w:tcW w:w="516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00"/>
        </w:trPr>
        <w:tc>
          <w:tcPr>
            <w:tcW w:w="51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Total revenues</w:t>
            </w:r>
          </w:p>
        </w:tc>
        <w:tc>
          <w:tcPr>
            <w:tcW w:w="1020" w:type="dxa"/>
            <w:vAlign w:val="bottom"/>
            <w:tcBorders>
              <w:bottom w:val="single" w:sz="8" w:color="auto"/>
            </w:tcBorders>
            <w:shd w:val="clear" w:color="auto" w:fill="CCEEFF"/>
          </w:tcPr>
          <w:p>
            <w:pPr>
              <w:jc w:val="right"/>
              <w:ind w:right="855"/>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859</w:t>
            </w:r>
          </w:p>
        </w:tc>
        <w:tc>
          <w:tcPr>
            <w:tcW w:w="12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853"/>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897</w:t>
            </w:r>
          </w:p>
        </w:tc>
        <w:tc>
          <w:tcPr>
            <w:tcW w:w="12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4"/>
                <w:szCs w:val="14"/>
                <w:color w:val="auto"/>
              </w:rPr>
              <w:t>2,310</w:t>
            </w:r>
          </w:p>
        </w:tc>
        <w:tc>
          <w:tcPr>
            <w:tcW w:w="1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2,506</w:t>
            </w:r>
          </w:p>
        </w:tc>
      </w:tr>
      <w:tr>
        <w:trPr>
          <w:trHeight w:val="20"/>
        </w:trPr>
        <w:tc>
          <w:tcPr>
            <w:tcW w:w="51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62" w:lineRule="exact"/>
        <w:rPr>
          <w:sz w:val="20"/>
          <w:szCs w:val="20"/>
          <w:color w:val="auto"/>
        </w:rPr>
      </w:pPr>
    </w:p>
    <w:p>
      <w:pPr>
        <w:jc w:val="both"/>
        <w:ind w:left="520" w:hanging="255"/>
        <w:spacing w:after="0" w:line="267" w:lineRule="auto"/>
        <w:tabs>
          <w:tab w:leader="none" w:pos="5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Primarily consists of income from ARPs and leases. ARPs are contracts between the utility and its regulators, not between the utility and a customer. The Registrants recognize ARP revenue as other revenues when the regulator-specified conditions for recognition have been met. Upon recovery of ARP revenue through incorporation in rates charged for utility service to customers, ARP revenue is reversed and recorded as revenue from contracts with customers. The recognition of ARP revenues and the reversal of ARP revenues upon recovery through rates charged for utility service may not occur in the same period.</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ectPr>
          <w:pgSz w:w="11900" w:h="16838" w:orient="portrait"/>
          <w:cols w:equalWidth="0" w:num="1">
            <w:col w:w="11460"/>
          </w:cols>
          <w:pgMar w:left="220" w:top="129" w:right="219" w:bottom="1440" w:gutter="0" w:footer="0" w:header="0"/>
        </w:sectPr>
      </w:pPr>
    </w:p>
    <w:bookmarkStart w:id="35" w:name="page36"/>
    <w:bookmarkEnd w:id="35"/>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37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CERC</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1960" w:type="dxa"/>
            <w:vAlign w:val="bottom"/>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400" w:type="dxa"/>
            <w:vAlign w:val="bottom"/>
            <w:tcBorders>
              <w:bottom w:val="single" w:sz="8" w:color="auto"/>
            </w:tcBorders>
            <w:gridSpan w:val="5"/>
          </w:tcPr>
          <w:p>
            <w:pPr>
              <w:jc w:val="center"/>
              <w:ind w:right="540"/>
              <w:spacing w:after="0"/>
              <w:rPr>
                <w:sz w:val="20"/>
                <w:szCs w:val="20"/>
                <w:color w:val="auto"/>
              </w:rPr>
            </w:pPr>
            <w:r>
              <w:rPr>
                <w:rFonts w:ascii="Arial" w:cs="Arial" w:eastAsia="Arial" w:hAnsi="Arial"/>
                <w:sz w:val="11"/>
                <w:szCs w:val="11"/>
                <w:b w:val="1"/>
                <w:bCs w:val="1"/>
                <w:color w:val="auto"/>
                <w:w w:val="95"/>
              </w:rPr>
              <w:t>Three Months Ended September 30,</w:t>
            </w:r>
          </w:p>
        </w:tc>
        <w:tc>
          <w:tcPr>
            <w:tcW w:w="1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r>
      <w:tr>
        <w:trPr>
          <w:trHeight w:val="206"/>
        </w:trPr>
        <w:tc>
          <w:tcPr>
            <w:tcW w:w="196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1"/>
                <w:szCs w:val="11"/>
                <w:b w:val="1"/>
                <w:bCs w:val="1"/>
                <w:color w:val="auto"/>
              </w:rPr>
              <w:t>2019</w:t>
            </w:r>
          </w:p>
        </w:tc>
        <w:tc>
          <w:tcPr>
            <w:tcW w:w="2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1"/>
                <w:szCs w:val="11"/>
                <w:b w:val="1"/>
                <w:bCs w:val="1"/>
                <w:color w:val="auto"/>
              </w:rPr>
              <w:t>2018</w:t>
            </w:r>
          </w:p>
        </w:tc>
        <w:tc>
          <w:tcPr>
            <w:tcW w:w="2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r>
      <w:tr>
        <w:trPr>
          <w:trHeight w:val="111"/>
        </w:trPr>
        <w:tc>
          <w:tcPr>
            <w:tcW w:w="1960" w:type="dxa"/>
            <w:vAlign w:val="bottom"/>
          </w:tcPr>
          <w:p>
            <w:pPr>
              <w:spacing w:after="0"/>
              <w:rPr>
                <w:sz w:val="9"/>
                <w:szCs w:val="9"/>
                <w:color w:val="auto"/>
              </w:rPr>
            </w:pPr>
          </w:p>
        </w:tc>
        <w:tc>
          <w:tcPr>
            <w:tcW w:w="5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80" w:type="dxa"/>
            <w:vAlign w:val="bottom"/>
            <w:gridSpan w:val="2"/>
          </w:tcPr>
          <w:p>
            <w:pPr>
              <w:jc w:val="center"/>
              <w:ind w:right="300"/>
              <w:spacing w:after="0" w:line="112" w:lineRule="exact"/>
              <w:rPr>
                <w:sz w:val="20"/>
                <w:szCs w:val="20"/>
                <w:color w:val="auto"/>
              </w:rPr>
            </w:pPr>
            <w:r>
              <w:rPr>
                <w:rFonts w:ascii="Arial" w:cs="Arial" w:eastAsia="Arial" w:hAnsi="Arial"/>
                <w:sz w:val="10"/>
                <w:szCs w:val="10"/>
                <w:b w:val="1"/>
                <w:bCs w:val="1"/>
                <w:color w:val="auto"/>
                <w:w w:val="94"/>
              </w:rPr>
              <w:t>Energy</w:t>
            </w:r>
          </w:p>
        </w:tc>
        <w:tc>
          <w:tcPr>
            <w:tcW w:w="2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40" w:type="dxa"/>
            <w:vAlign w:val="bottom"/>
            <w:gridSpan w:val="2"/>
          </w:tcPr>
          <w:p>
            <w:pPr>
              <w:jc w:val="center"/>
              <w:ind w:right="260"/>
              <w:spacing w:after="0" w:line="112" w:lineRule="exact"/>
              <w:rPr>
                <w:sz w:val="20"/>
                <w:szCs w:val="20"/>
                <w:color w:val="auto"/>
              </w:rPr>
            </w:pPr>
            <w:r>
              <w:rPr>
                <w:rFonts w:ascii="Arial" w:cs="Arial" w:eastAsia="Arial" w:hAnsi="Arial"/>
                <w:sz w:val="10"/>
                <w:szCs w:val="10"/>
                <w:b w:val="1"/>
                <w:bCs w:val="1"/>
                <w:color w:val="auto"/>
                <w:w w:val="94"/>
              </w:rPr>
              <w:t>Energy</w:t>
            </w:r>
          </w:p>
        </w:tc>
        <w:tc>
          <w:tcPr>
            <w:tcW w:w="2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780" w:type="dxa"/>
            <w:vAlign w:val="bottom"/>
          </w:tcPr>
          <w:p>
            <w:pPr>
              <w:spacing w:after="0"/>
              <w:rPr>
                <w:sz w:val="9"/>
                <w:szCs w:val="9"/>
                <w:color w:val="auto"/>
              </w:rPr>
            </w:pPr>
          </w:p>
        </w:tc>
      </w:tr>
      <w:tr>
        <w:trPr>
          <w:trHeight w:val="108"/>
        </w:trPr>
        <w:tc>
          <w:tcPr>
            <w:tcW w:w="1960" w:type="dxa"/>
            <w:vAlign w:val="bottom"/>
          </w:tcPr>
          <w:p>
            <w:pPr>
              <w:spacing w:after="0"/>
              <w:rPr>
                <w:sz w:val="9"/>
                <w:szCs w:val="9"/>
                <w:color w:val="auto"/>
              </w:rPr>
            </w:pPr>
          </w:p>
        </w:tc>
        <w:tc>
          <w:tcPr>
            <w:tcW w:w="5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80" w:type="dxa"/>
            <w:vAlign w:val="bottom"/>
            <w:gridSpan w:val="2"/>
          </w:tcPr>
          <w:p>
            <w:pPr>
              <w:jc w:val="center"/>
              <w:ind w:right="280"/>
              <w:spacing w:after="0" w:line="108" w:lineRule="exact"/>
              <w:rPr>
                <w:sz w:val="20"/>
                <w:szCs w:val="20"/>
                <w:color w:val="auto"/>
              </w:rPr>
            </w:pPr>
            <w:r>
              <w:rPr>
                <w:rFonts w:ascii="Arial" w:cs="Arial" w:eastAsia="Arial" w:hAnsi="Arial"/>
                <w:sz w:val="10"/>
                <w:szCs w:val="10"/>
                <w:b w:val="1"/>
                <w:bCs w:val="1"/>
                <w:color w:val="auto"/>
                <w:w w:val="82"/>
              </w:rPr>
              <w:t>Services</w:t>
            </w:r>
          </w:p>
        </w:tc>
        <w:tc>
          <w:tcPr>
            <w:tcW w:w="1160" w:type="dxa"/>
            <w:vAlign w:val="bottom"/>
            <w:gridSpan w:val="3"/>
          </w:tcPr>
          <w:p>
            <w:pPr>
              <w:jc w:val="center"/>
              <w:ind w:right="120"/>
              <w:spacing w:after="0" w:line="108" w:lineRule="exact"/>
              <w:rPr>
                <w:sz w:val="20"/>
                <w:szCs w:val="20"/>
                <w:color w:val="auto"/>
              </w:rPr>
            </w:pPr>
            <w:r>
              <w:rPr>
                <w:rFonts w:ascii="Arial" w:cs="Arial" w:eastAsia="Arial" w:hAnsi="Arial"/>
                <w:sz w:val="10"/>
                <w:szCs w:val="10"/>
                <w:b w:val="1"/>
                <w:bCs w:val="1"/>
                <w:color w:val="auto"/>
                <w:w w:val="94"/>
              </w:rPr>
              <w:t>Corporate and Other</w:t>
            </w:r>
          </w:p>
        </w:tc>
        <w:tc>
          <w:tcPr>
            <w:tcW w:w="12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60" w:type="dxa"/>
            <w:vAlign w:val="bottom"/>
            <w:gridSpan w:val="3"/>
          </w:tcPr>
          <w:p>
            <w:pPr>
              <w:jc w:val="center"/>
              <w:ind w:right="80"/>
              <w:spacing w:after="0" w:line="108" w:lineRule="exact"/>
              <w:rPr>
                <w:sz w:val="20"/>
                <w:szCs w:val="20"/>
                <w:color w:val="auto"/>
              </w:rPr>
            </w:pPr>
            <w:r>
              <w:rPr>
                <w:rFonts w:ascii="Arial" w:cs="Arial" w:eastAsia="Arial" w:hAnsi="Arial"/>
                <w:sz w:val="10"/>
                <w:szCs w:val="10"/>
                <w:b w:val="1"/>
                <w:bCs w:val="1"/>
                <w:color w:val="auto"/>
                <w:w w:val="93"/>
              </w:rPr>
              <w:t>Natural Gas Distribution</w:t>
            </w:r>
          </w:p>
        </w:tc>
        <w:tc>
          <w:tcPr>
            <w:tcW w:w="180" w:type="dxa"/>
            <w:vAlign w:val="bottom"/>
          </w:tcPr>
          <w:p>
            <w:pPr>
              <w:spacing w:after="0"/>
              <w:rPr>
                <w:sz w:val="9"/>
                <w:szCs w:val="9"/>
                <w:color w:val="auto"/>
              </w:rPr>
            </w:pPr>
          </w:p>
        </w:tc>
        <w:tc>
          <w:tcPr>
            <w:tcW w:w="940" w:type="dxa"/>
            <w:vAlign w:val="bottom"/>
            <w:gridSpan w:val="2"/>
          </w:tcPr>
          <w:p>
            <w:pPr>
              <w:jc w:val="center"/>
              <w:ind w:right="240"/>
              <w:spacing w:after="0" w:line="108" w:lineRule="exact"/>
              <w:rPr>
                <w:sz w:val="20"/>
                <w:szCs w:val="20"/>
                <w:color w:val="auto"/>
              </w:rPr>
            </w:pPr>
            <w:r>
              <w:rPr>
                <w:rFonts w:ascii="Arial" w:cs="Arial" w:eastAsia="Arial" w:hAnsi="Arial"/>
                <w:sz w:val="10"/>
                <w:szCs w:val="10"/>
                <w:b w:val="1"/>
                <w:bCs w:val="1"/>
                <w:color w:val="auto"/>
                <w:w w:val="82"/>
              </w:rPr>
              <w:t>Services</w:t>
            </w:r>
          </w:p>
        </w:tc>
        <w:tc>
          <w:tcPr>
            <w:tcW w:w="1120" w:type="dxa"/>
            <w:vAlign w:val="bottom"/>
            <w:gridSpan w:val="3"/>
          </w:tcPr>
          <w:p>
            <w:pPr>
              <w:jc w:val="center"/>
              <w:ind w:right="80"/>
              <w:spacing w:after="0" w:line="108" w:lineRule="exact"/>
              <w:rPr>
                <w:sz w:val="20"/>
                <w:szCs w:val="20"/>
                <w:color w:val="auto"/>
              </w:rPr>
            </w:pPr>
            <w:r>
              <w:rPr>
                <w:rFonts w:ascii="Arial" w:cs="Arial" w:eastAsia="Arial" w:hAnsi="Arial"/>
                <w:sz w:val="10"/>
                <w:szCs w:val="10"/>
                <w:b w:val="1"/>
                <w:bCs w:val="1"/>
                <w:color w:val="auto"/>
                <w:w w:val="94"/>
              </w:rPr>
              <w:t>Corporate and Other</w:t>
            </w:r>
          </w:p>
        </w:tc>
        <w:tc>
          <w:tcPr>
            <w:tcW w:w="240" w:type="dxa"/>
            <w:vAlign w:val="bottom"/>
          </w:tcPr>
          <w:p>
            <w:pPr>
              <w:spacing w:after="0"/>
              <w:rPr>
                <w:sz w:val="9"/>
                <w:szCs w:val="9"/>
                <w:color w:val="auto"/>
              </w:rPr>
            </w:pPr>
          </w:p>
        </w:tc>
        <w:tc>
          <w:tcPr>
            <w:tcW w:w="780" w:type="dxa"/>
            <w:vAlign w:val="bottom"/>
          </w:tcPr>
          <w:p>
            <w:pPr>
              <w:spacing w:after="0"/>
              <w:rPr>
                <w:sz w:val="9"/>
                <w:szCs w:val="9"/>
                <w:color w:val="auto"/>
              </w:rPr>
            </w:pPr>
          </w:p>
        </w:tc>
      </w:tr>
      <w:tr>
        <w:trPr>
          <w:trHeight w:val="136"/>
        </w:trPr>
        <w:tc>
          <w:tcPr>
            <w:tcW w:w="1960" w:type="dxa"/>
            <w:vAlign w:val="bottom"/>
          </w:tcPr>
          <w:p>
            <w:pPr>
              <w:spacing w:after="0"/>
              <w:rPr>
                <w:sz w:val="11"/>
                <w:szCs w:val="11"/>
                <w:color w:val="auto"/>
              </w:rPr>
            </w:pPr>
          </w:p>
        </w:tc>
        <w:tc>
          <w:tcPr>
            <w:tcW w:w="1400" w:type="dxa"/>
            <w:vAlign w:val="bottom"/>
            <w:tcBorders>
              <w:bottom w:val="single" w:sz="8" w:color="auto"/>
            </w:tcBorders>
            <w:gridSpan w:val="3"/>
          </w:tcPr>
          <w:p>
            <w:pPr>
              <w:ind w:left="40"/>
              <w:spacing w:after="0"/>
              <w:rPr>
                <w:sz w:val="20"/>
                <w:szCs w:val="20"/>
                <w:color w:val="auto"/>
              </w:rPr>
            </w:pPr>
            <w:r>
              <w:rPr>
                <w:rFonts w:ascii="Arial" w:cs="Arial" w:eastAsia="Arial" w:hAnsi="Arial"/>
                <w:sz w:val="10"/>
                <w:szCs w:val="10"/>
                <w:b w:val="1"/>
                <w:bCs w:val="1"/>
                <w:color w:val="auto"/>
              </w:rPr>
              <w:t>Natural Gas Distribution (1)</w:t>
            </w:r>
          </w:p>
        </w:tc>
        <w:tc>
          <w:tcPr>
            <w:tcW w:w="1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center"/>
              <w:ind w:right="85"/>
              <w:spacing w:after="0"/>
              <w:rPr>
                <w:sz w:val="20"/>
                <w:szCs w:val="20"/>
                <w:color w:val="auto"/>
              </w:rPr>
            </w:pPr>
            <w:r>
              <w:rPr>
                <w:rFonts w:ascii="Arial" w:cs="Arial" w:eastAsia="Arial" w:hAnsi="Arial"/>
                <w:sz w:val="10"/>
                <w:szCs w:val="10"/>
                <w:b w:val="1"/>
                <w:bCs w:val="1"/>
                <w:color w:val="auto"/>
                <w:w w:val="97"/>
              </w:rPr>
              <w:t>(2)</w:t>
            </w:r>
          </w:p>
        </w:tc>
        <w:tc>
          <w:tcPr>
            <w:tcW w:w="12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center"/>
              <w:ind w:right="224"/>
              <w:spacing w:after="0"/>
              <w:rPr>
                <w:sz w:val="20"/>
                <w:szCs w:val="20"/>
                <w:color w:val="auto"/>
              </w:rPr>
            </w:pPr>
            <w:r>
              <w:rPr>
                <w:rFonts w:ascii="Arial" w:cs="Arial" w:eastAsia="Arial" w:hAnsi="Arial"/>
                <w:sz w:val="10"/>
                <w:szCs w:val="10"/>
                <w:b w:val="1"/>
                <w:bCs w:val="1"/>
                <w:color w:val="auto"/>
                <w:w w:val="97"/>
              </w:rPr>
              <w:t>(2)</w:t>
            </w:r>
          </w:p>
        </w:tc>
        <w:tc>
          <w:tcPr>
            <w:tcW w:w="1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gridSpan w:val="2"/>
          </w:tcPr>
          <w:p>
            <w:pPr>
              <w:ind w:left="300"/>
              <w:spacing w:after="0"/>
              <w:rPr>
                <w:sz w:val="20"/>
                <w:szCs w:val="20"/>
                <w:color w:val="auto"/>
              </w:rPr>
            </w:pPr>
            <w:r>
              <w:rPr>
                <w:rFonts w:ascii="Arial" w:cs="Arial" w:eastAsia="Arial" w:hAnsi="Arial"/>
                <w:sz w:val="10"/>
                <w:szCs w:val="10"/>
                <w:b w:val="1"/>
                <w:bCs w:val="1"/>
                <w:color w:val="auto"/>
              </w:rPr>
              <w:t>Total</w:t>
            </w:r>
          </w:p>
        </w:tc>
        <w:tc>
          <w:tcPr>
            <w:tcW w:w="38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center"/>
              <w:ind w:right="304"/>
              <w:spacing w:after="0"/>
              <w:rPr>
                <w:sz w:val="20"/>
                <w:szCs w:val="20"/>
                <w:color w:val="auto"/>
              </w:rPr>
            </w:pPr>
            <w:r>
              <w:rPr>
                <w:rFonts w:ascii="Arial" w:cs="Arial" w:eastAsia="Arial" w:hAnsi="Arial"/>
                <w:sz w:val="10"/>
                <w:szCs w:val="10"/>
                <w:b w:val="1"/>
                <w:bCs w:val="1"/>
                <w:color w:val="auto"/>
                <w:w w:val="97"/>
              </w:rPr>
              <w:t>(1)</w:t>
            </w:r>
          </w:p>
        </w:tc>
        <w:tc>
          <w:tcPr>
            <w:tcW w:w="1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center"/>
              <w:ind w:right="105"/>
              <w:spacing w:after="0"/>
              <w:rPr>
                <w:sz w:val="20"/>
                <w:szCs w:val="20"/>
                <w:color w:val="auto"/>
              </w:rPr>
            </w:pPr>
            <w:r>
              <w:rPr>
                <w:rFonts w:ascii="Arial" w:cs="Arial" w:eastAsia="Arial" w:hAnsi="Arial"/>
                <w:sz w:val="10"/>
                <w:szCs w:val="10"/>
                <w:b w:val="1"/>
                <w:bCs w:val="1"/>
                <w:color w:val="auto"/>
                <w:w w:val="97"/>
              </w:rPr>
              <w:t>(2)</w:t>
            </w:r>
          </w:p>
        </w:tc>
        <w:tc>
          <w:tcPr>
            <w:tcW w:w="10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center"/>
              <w:ind w:right="204"/>
              <w:spacing w:after="0"/>
              <w:rPr>
                <w:sz w:val="20"/>
                <w:szCs w:val="20"/>
                <w:color w:val="auto"/>
              </w:rPr>
            </w:pPr>
            <w:r>
              <w:rPr>
                <w:rFonts w:ascii="Arial" w:cs="Arial" w:eastAsia="Arial" w:hAnsi="Arial"/>
                <w:sz w:val="10"/>
                <w:szCs w:val="10"/>
                <w:b w:val="1"/>
                <w:bCs w:val="1"/>
                <w:color w:val="auto"/>
                <w:w w:val="97"/>
              </w:rPr>
              <w:t>(2)</w:t>
            </w:r>
          </w:p>
        </w:tc>
        <w:tc>
          <w:tcPr>
            <w:tcW w:w="10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ind w:right="344"/>
              <w:spacing w:after="0"/>
              <w:rPr>
                <w:sz w:val="20"/>
                <w:szCs w:val="20"/>
                <w:color w:val="auto"/>
              </w:rPr>
            </w:pPr>
            <w:r>
              <w:rPr>
                <w:rFonts w:ascii="Arial" w:cs="Arial" w:eastAsia="Arial" w:hAnsi="Arial"/>
                <w:sz w:val="10"/>
                <w:szCs w:val="10"/>
                <w:b w:val="1"/>
                <w:bCs w:val="1"/>
                <w:color w:val="auto"/>
              </w:rPr>
              <w:t>Total</w:t>
            </w:r>
          </w:p>
        </w:tc>
      </w:tr>
      <w:tr>
        <w:trPr>
          <w:trHeight w:val="198"/>
        </w:trPr>
        <w:tc>
          <w:tcPr>
            <w:tcW w:w="19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gridSpan w:val="3"/>
          </w:tcPr>
          <w:p>
            <w:pPr>
              <w:jc w:val="center"/>
              <w:ind w:left="383"/>
              <w:spacing w:after="0"/>
              <w:rPr>
                <w:sz w:val="20"/>
                <w:szCs w:val="20"/>
                <w:color w:val="auto"/>
              </w:rPr>
            </w:pPr>
            <w:r>
              <w:rPr>
                <w:rFonts w:ascii="Arial" w:cs="Arial" w:eastAsia="Arial" w:hAnsi="Arial"/>
                <w:sz w:val="11"/>
                <w:szCs w:val="11"/>
                <w:b w:val="1"/>
                <w:bCs w:val="1"/>
                <w:color w:val="auto"/>
                <w:w w:val="93"/>
              </w:rPr>
              <w:t>(in millions)</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20"/>
        </w:trPr>
        <w:tc>
          <w:tcPr>
            <w:tcW w:w="1960" w:type="dxa"/>
            <w:vAlign w:val="bottom"/>
            <w:shd w:val="clear" w:color="auto" w:fill="CCEEFF"/>
          </w:tcPr>
          <w:p>
            <w:pPr>
              <w:ind w:left="20"/>
              <w:spacing w:after="0"/>
              <w:rPr>
                <w:sz w:val="20"/>
                <w:szCs w:val="20"/>
                <w:color w:val="auto"/>
              </w:rPr>
            </w:pPr>
            <w:r>
              <w:rPr>
                <w:rFonts w:ascii="Arial" w:cs="Arial" w:eastAsia="Arial" w:hAnsi="Arial"/>
                <w:sz w:val="11"/>
                <w:szCs w:val="11"/>
                <w:color w:val="auto"/>
              </w:rPr>
              <w:t>Revenue from contracts</w:t>
            </w:r>
          </w:p>
        </w:tc>
        <w:tc>
          <w:tcPr>
            <w:tcW w:w="500" w:type="dxa"/>
            <w:vAlign w:val="bottom"/>
            <w:shd w:val="clear" w:color="auto" w:fill="CCEEFF"/>
          </w:tcPr>
          <w:p>
            <w:pPr>
              <w:ind w:left="20"/>
              <w:spacing w:after="0"/>
              <w:rPr>
                <w:sz w:val="20"/>
                <w:szCs w:val="20"/>
                <w:color w:val="auto"/>
              </w:rPr>
            </w:pPr>
            <w:r>
              <w:rPr>
                <w:rFonts w:ascii="Arial" w:cs="Arial" w:eastAsia="Arial" w:hAnsi="Arial"/>
                <w:sz w:val="11"/>
                <w:szCs w:val="11"/>
                <w:color w:val="auto"/>
              </w:rPr>
              <w:t>$</w:t>
            </w:r>
          </w:p>
        </w:tc>
        <w:tc>
          <w:tcPr>
            <w:tcW w:w="78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393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w w:val="97"/>
              </w:rPr>
              <w:t>$</w:t>
            </w:r>
          </w:p>
        </w:tc>
        <w:tc>
          <w:tcPr>
            <w:tcW w:w="860" w:type="dxa"/>
            <w:vAlign w:val="bottom"/>
            <w:shd w:val="clear" w:color="auto" w:fill="CCEEFF"/>
          </w:tcPr>
          <w:p>
            <w:pPr>
              <w:jc w:val="right"/>
              <w:ind w:right="65"/>
              <w:spacing w:after="0"/>
              <w:rPr>
                <w:sz w:val="20"/>
                <w:szCs w:val="20"/>
                <w:color w:val="auto"/>
              </w:rPr>
            </w:pPr>
            <w:r>
              <w:rPr>
                <w:rFonts w:ascii="Arial" w:cs="Arial" w:eastAsia="Arial" w:hAnsi="Arial"/>
                <w:sz w:val="11"/>
                <w:szCs w:val="11"/>
                <w:color w:val="auto"/>
              </w:rPr>
              <w:t>81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145"/>
              <w:spacing w:after="0"/>
              <w:rPr>
                <w:sz w:val="20"/>
                <w:szCs w:val="20"/>
                <w:color w:val="auto"/>
              </w:rPr>
            </w:pPr>
            <w:r>
              <w:rPr>
                <w:rFonts w:ascii="Arial" w:cs="Arial" w:eastAsia="Arial" w:hAnsi="Arial"/>
                <w:sz w:val="11"/>
                <w:szCs w:val="11"/>
                <w:color w:val="auto"/>
                <w:w w:val="97"/>
              </w:rPr>
              <w:t>$</w:t>
            </w:r>
          </w:p>
        </w:tc>
        <w:tc>
          <w:tcPr>
            <w:tcW w:w="760" w:type="dxa"/>
            <w:vAlign w:val="bottom"/>
            <w:shd w:val="clear" w:color="auto" w:fill="CCEEFF"/>
          </w:tcPr>
          <w:p>
            <w:pPr>
              <w:jc w:val="right"/>
              <w:ind w:right="64"/>
              <w:spacing w:after="0"/>
              <w:rPr>
                <w:sz w:val="20"/>
                <w:szCs w:val="20"/>
                <w:color w:val="auto"/>
              </w:rPr>
            </w:pPr>
            <w:r>
              <w:rPr>
                <w:rFonts w:ascii="Arial" w:cs="Arial" w:eastAsia="Arial" w:hAnsi="Arial"/>
                <w:sz w:val="11"/>
                <w:szCs w:val="11"/>
                <w:color w:val="auto"/>
              </w:rPr>
              <w:t>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94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477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245"/>
              <w:spacing w:after="0"/>
              <w:rPr>
                <w:sz w:val="20"/>
                <w:szCs w:val="20"/>
                <w:color w:val="auto"/>
              </w:rPr>
            </w:pPr>
            <w:r>
              <w:rPr>
                <w:rFonts w:ascii="Arial" w:cs="Arial" w:eastAsia="Arial" w:hAnsi="Arial"/>
                <w:sz w:val="11"/>
                <w:szCs w:val="11"/>
                <w:color w:val="auto"/>
                <w:w w:val="97"/>
              </w:rPr>
              <w:t>$</w:t>
            </w:r>
          </w:p>
        </w:tc>
        <w:tc>
          <w:tcPr>
            <w:tcW w:w="880" w:type="dxa"/>
            <w:vAlign w:val="bottom"/>
            <w:shd w:val="clear" w:color="auto" w:fill="CCEEFF"/>
          </w:tcPr>
          <w:p>
            <w:pPr>
              <w:jc w:val="right"/>
              <w:ind w:right="44"/>
              <w:spacing w:after="0"/>
              <w:rPr>
                <w:sz w:val="20"/>
                <w:szCs w:val="20"/>
                <w:color w:val="auto"/>
              </w:rPr>
            </w:pPr>
            <w:r>
              <w:rPr>
                <w:rFonts w:ascii="Arial" w:cs="Arial" w:eastAsia="Arial" w:hAnsi="Arial"/>
                <w:sz w:val="11"/>
                <w:szCs w:val="11"/>
                <w:color w:val="auto"/>
              </w:rPr>
              <w:t>398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w w:val="97"/>
              </w:rPr>
              <w:t>$</w:t>
            </w:r>
          </w:p>
        </w:tc>
        <w:tc>
          <w:tcPr>
            <w:tcW w:w="840" w:type="dxa"/>
            <w:vAlign w:val="bottom"/>
            <w:shd w:val="clear" w:color="auto" w:fill="CCEEFF"/>
          </w:tcPr>
          <w:p>
            <w:pPr>
              <w:jc w:val="right"/>
              <w:ind w:right="45"/>
              <w:spacing w:after="0"/>
              <w:rPr>
                <w:sz w:val="20"/>
                <w:szCs w:val="20"/>
                <w:color w:val="auto"/>
              </w:rPr>
            </w:pPr>
            <w:r>
              <w:rPr>
                <w:rFonts w:ascii="Arial" w:cs="Arial" w:eastAsia="Arial" w:hAnsi="Arial"/>
                <w:sz w:val="11"/>
                <w:szCs w:val="11"/>
                <w:color w:val="auto"/>
              </w:rPr>
              <w:t>82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145"/>
              <w:spacing w:after="0"/>
              <w:rPr>
                <w:sz w:val="20"/>
                <w:szCs w:val="20"/>
                <w:color w:val="auto"/>
              </w:rPr>
            </w:pPr>
            <w:r>
              <w:rPr>
                <w:rFonts w:ascii="Arial" w:cs="Arial" w:eastAsia="Arial" w:hAnsi="Arial"/>
                <w:sz w:val="11"/>
                <w:szCs w:val="11"/>
                <w:color w:val="auto"/>
                <w:w w:val="97"/>
              </w:rPr>
              <w:t>$</w:t>
            </w:r>
          </w:p>
        </w:tc>
        <w:tc>
          <w:tcPr>
            <w:tcW w:w="840" w:type="dxa"/>
            <w:vAlign w:val="bottom"/>
            <w:gridSpan w:val="2"/>
            <w:shd w:val="clear" w:color="auto" w:fill="CCEEFF"/>
          </w:tcPr>
          <w:p>
            <w:pPr>
              <w:ind w:left="520"/>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auto"/>
                <w:w w:val="97"/>
              </w:rPr>
              <w:t>$</w:t>
            </w:r>
          </w:p>
        </w:tc>
        <w:tc>
          <w:tcPr>
            <w:tcW w:w="780" w:type="dxa"/>
            <w:vAlign w:val="bottom"/>
            <w:shd w:val="clear" w:color="auto" w:fill="CCEEFF"/>
          </w:tcPr>
          <w:p>
            <w:pPr>
              <w:jc w:val="right"/>
              <w:ind w:right="44"/>
              <w:spacing w:after="0"/>
              <w:rPr>
                <w:sz w:val="20"/>
                <w:szCs w:val="20"/>
                <w:color w:val="auto"/>
              </w:rPr>
            </w:pPr>
            <w:r>
              <w:rPr>
                <w:rFonts w:ascii="Arial" w:cs="Arial" w:eastAsia="Arial" w:hAnsi="Arial"/>
                <w:sz w:val="11"/>
                <w:szCs w:val="11"/>
                <w:color w:val="auto"/>
              </w:rPr>
              <w:t>480</w:t>
            </w:r>
          </w:p>
        </w:tc>
      </w:tr>
      <w:tr>
        <w:trPr>
          <w:trHeight w:val="211"/>
        </w:trPr>
        <w:tc>
          <w:tcPr>
            <w:tcW w:w="1960" w:type="dxa"/>
            <w:vAlign w:val="bottom"/>
          </w:tcPr>
          <w:p>
            <w:pPr>
              <w:ind w:left="20"/>
              <w:spacing w:after="0"/>
              <w:rPr>
                <w:sz w:val="20"/>
                <w:szCs w:val="20"/>
                <w:color w:val="auto"/>
              </w:rPr>
            </w:pPr>
            <w:r>
              <w:rPr>
                <w:rFonts w:ascii="Arial" w:cs="Arial" w:eastAsia="Arial" w:hAnsi="Arial"/>
                <w:sz w:val="11"/>
                <w:szCs w:val="11"/>
                <w:color w:val="auto"/>
              </w:rPr>
              <w:t>Derivatives income</w:t>
            </w:r>
          </w:p>
        </w:tc>
        <w:tc>
          <w:tcPr>
            <w:tcW w:w="50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8"/>
                <w:szCs w:val="18"/>
                <w:color w:val="auto"/>
              </w:rPr>
            </w:pPr>
          </w:p>
        </w:tc>
        <w:tc>
          <w:tcPr>
            <w:tcW w:w="860" w:type="dxa"/>
            <w:vAlign w:val="bottom"/>
          </w:tcPr>
          <w:p>
            <w:pPr>
              <w:jc w:val="right"/>
              <w:ind w:right="65"/>
              <w:spacing w:after="0"/>
              <w:rPr>
                <w:sz w:val="20"/>
                <w:szCs w:val="20"/>
                <w:color w:val="auto"/>
              </w:rPr>
            </w:pPr>
            <w:r>
              <w:rPr>
                <w:rFonts w:ascii="Arial" w:cs="Arial" w:eastAsia="Arial" w:hAnsi="Arial"/>
                <w:sz w:val="11"/>
                <w:szCs w:val="11"/>
                <w:color w:val="auto"/>
              </w:rPr>
              <w:t>664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8"/>
                <w:szCs w:val="18"/>
                <w:color w:val="auto"/>
              </w:rPr>
            </w:pPr>
          </w:p>
        </w:tc>
        <w:tc>
          <w:tcPr>
            <w:tcW w:w="940" w:type="dxa"/>
            <w:vAlign w:val="bottom"/>
          </w:tcPr>
          <w:p>
            <w:pPr>
              <w:jc w:val="right"/>
              <w:ind w:right="63"/>
              <w:spacing w:after="0"/>
              <w:rPr>
                <w:sz w:val="20"/>
                <w:szCs w:val="20"/>
                <w:color w:val="auto"/>
              </w:rPr>
            </w:pPr>
            <w:r>
              <w:rPr>
                <w:rFonts w:ascii="Arial" w:cs="Arial" w:eastAsia="Arial" w:hAnsi="Arial"/>
                <w:sz w:val="11"/>
                <w:szCs w:val="11"/>
                <w:color w:val="auto"/>
              </w:rPr>
              <w:t>664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8"/>
                <w:szCs w:val="18"/>
                <w:color w:val="auto"/>
              </w:rPr>
            </w:pPr>
          </w:p>
        </w:tc>
        <w:tc>
          <w:tcPr>
            <w:tcW w:w="840" w:type="dxa"/>
            <w:vAlign w:val="bottom"/>
          </w:tcPr>
          <w:p>
            <w:pPr>
              <w:jc w:val="right"/>
              <w:ind w:right="45"/>
              <w:spacing w:after="0"/>
              <w:rPr>
                <w:sz w:val="20"/>
                <w:szCs w:val="20"/>
                <w:color w:val="auto"/>
              </w:rPr>
            </w:pPr>
            <w:r>
              <w:rPr>
                <w:rFonts w:ascii="Arial" w:cs="Arial" w:eastAsia="Arial" w:hAnsi="Arial"/>
                <w:sz w:val="11"/>
                <w:szCs w:val="11"/>
                <w:color w:val="auto"/>
              </w:rPr>
              <w:t>838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gridSpan w:val="2"/>
          </w:tcPr>
          <w:p>
            <w:pPr>
              <w:ind w:left="52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8"/>
                <w:szCs w:val="18"/>
                <w:color w:val="auto"/>
              </w:rPr>
            </w:pPr>
          </w:p>
        </w:tc>
        <w:tc>
          <w:tcPr>
            <w:tcW w:w="780" w:type="dxa"/>
            <w:vAlign w:val="bottom"/>
          </w:tcPr>
          <w:p>
            <w:pPr>
              <w:jc w:val="right"/>
              <w:ind w:right="44"/>
              <w:spacing w:after="0"/>
              <w:rPr>
                <w:sz w:val="20"/>
                <w:szCs w:val="20"/>
                <w:color w:val="auto"/>
              </w:rPr>
            </w:pPr>
            <w:r>
              <w:rPr>
                <w:rFonts w:ascii="Arial" w:cs="Arial" w:eastAsia="Arial" w:hAnsi="Arial"/>
                <w:sz w:val="11"/>
                <w:szCs w:val="11"/>
                <w:color w:val="auto"/>
              </w:rPr>
              <w:t>838</w:t>
            </w:r>
          </w:p>
        </w:tc>
      </w:tr>
      <w:tr>
        <w:trPr>
          <w:trHeight w:val="220"/>
        </w:trPr>
        <w:tc>
          <w:tcPr>
            <w:tcW w:w="1960" w:type="dxa"/>
            <w:vAlign w:val="bottom"/>
            <w:shd w:val="clear" w:color="auto" w:fill="CCEEFF"/>
          </w:tcPr>
          <w:p>
            <w:pPr>
              <w:ind w:left="20"/>
              <w:spacing w:after="0"/>
              <w:rPr>
                <w:sz w:val="20"/>
                <w:szCs w:val="20"/>
                <w:color w:val="auto"/>
              </w:rPr>
            </w:pPr>
            <w:r>
              <w:rPr>
                <w:rFonts w:ascii="Arial" w:cs="Arial" w:eastAsia="Arial" w:hAnsi="Arial"/>
                <w:sz w:val="11"/>
                <w:szCs w:val="11"/>
                <w:color w:val="auto"/>
              </w:rPr>
              <w:t xml:space="preserve">Other </w:t>
            </w:r>
            <w:r>
              <w:rPr>
                <w:rFonts w:ascii="Arial" w:cs="Arial" w:eastAsia="Arial" w:hAnsi="Arial"/>
                <w:sz w:val="8"/>
                <w:szCs w:val="8"/>
                <w:color w:val="auto"/>
              </w:rPr>
              <w:t>(3)</w:t>
            </w:r>
          </w:p>
        </w:tc>
        <w:tc>
          <w:tcPr>
            <w:tcW w:w="5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2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44"/>
              <w:spacing w:after="0"/>
              <w:rPr>
                <w:sz w:val="20"/>
                <w:szCs w:val="20"/>
                <w:color w:val="auto"/>
              </w:rPr>
            </w:pPr>
            <w:r>
              <w:rPr>
                <w:rFonts w:ascii="Arial" w:cs="Arial" w:eastAsia="Arial" w:hAnsi="Arial"/>
                <w:sz w:val="11"/>
                <w:szCs w:val="11"/>
                <w:color w:val="auto"/>
              </w:rPr>
              <w:t>12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2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ind w:left="520"/>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44"/>
              <w:spacing w:after="0"/>
              <w:rPr>
                <w:sz w:val="20"/>
                <w:szCs w:val="20"/>
                <w:color w:val="auto"/>
              </w:rPr>
            </w:pPr>
            <w:r>
              <w:rPr>
                <w:rFonts w:ascii="Arial" w:cs="Arial" w:eastAsia="Arial" w:hAnsi="Arial"/>
                <w:sz w:val="11"/>
                <w:szCs w:val="11"/>
                <w:color w:val="auto"/>
              </w:rPr>
              <w:t>12</w:t>
            </w:r>
          </w:p>
        </w:tc>
      </w:tr>
      <w:tr>
        <w:trPr>
          <w:trHeight w:val="211"/>
        </w:trPr>
        <w:tc>
          <w:tcPr>
            <w:tcW w:w="196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Eliminations</w:t>
            </w:r>
          </w:p>
        </w:tc>
        <w:tc>
          <w:tcPr>
            <w:tcW w:w="5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3"/>
              <w:spacing w:after="0"/>
              <w:rPr>
                <w:sz w:val="20"/>
                <w:szCs w:val="20"/>
                <w:color w:val="auto"/>
              </w:rPr>
            </w:pPr>
            <w:r>
              <w:rPr>
                <w:rFonts w:ascii="Arial" w:cs="Arial" w:eastAsia="Arial" w:hAnsi="Arial"/>
                <w:sz w:val="11"/>
                <w:szCs w:val="11"/>
                <w:color w:val="auto"/>
              </w:rPr>
              <w:t>(9)</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5"/>
              <w:spacing w:after="0"/>
              <w:rPr>
                <w:sz w:val="20"/>
                <w:szCs w:val="20"/>
                <w:color w:val="auto"/>
              </w:rPr>
            </w:pPr>
            <w:r>
              <w:rPr>
                <w:rFonts w:ascii="Arial" w:cs="Arial" w:eastAsia="Arial" w:hAnsi="Arial"/>
                <w:sz w:val="11"/>
                <w:szCs w:val="11"/>
                <w:color w:val="auto"/>
              </w:rPr>
              <w:t>(11)</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64"/>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3"/>
              <w:spacing w:after="0"/>
              <w:rPr>
                <w:sz w:val="20"/>
                <w:szCs w:val="20"/>
                <w:color w:val="auto"/>
              </w:rPr>
            </w:pPr>
            <w:r>
              <w:rPr>
                <w:rFonts w:ascii="Arial" w:cs="Arial" w:eastAsia="Arial" w:hAnsi="Arial"/>
                <w:sz w:val="11"/>
                <w:szCs w:val="11"/>
                <w:color w:val="auto"/>
              </w:rPr>
              <w:t>(20)</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(8)</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5"/>
              <w:spacing w:after="0"/>
              <w:rPr>
                <w:sz w:val="20"/>
                <w:szCs w:val="20"/>
                <w:color w:val="auto"/>
              </w:rPr>
            </w:pPr>
            <w:r>
              <w:rPr>
                <w:rFonts w:ascii="Arial" w:cs="Arial" w:eastAsia="Arial" w:hAnsi="Arial"/>
                <w:sz w:val="11"/>
                <w:szCs w:val="11"/>
                <w:color w:val="auto"/>
              </w:rPr>
              <w:t>(10)</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ind w:left="5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(18)</w:t>
            </w:r>
          </w:p>
        </w:tc>
      </w:tr>
      <w:tr>
        <w:trPr>
          <w:trHeight w:val="189"/>
        </w:trPr>
        <w:tc>
          <w:tcPr>
            <w:tcW w:w="19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1"/>
                <w:szCs w:val="11"/>
                <w:color w:val="auto"/>
              </w:rPr>
              <w:t>Total revenues</w:t>
            </w:r>
          </w:p>
        </w:tc>
        <w:tc>
          <w:tcPr>
            <w:tcW w:w="5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1"/>
                <w:szCs w:val="11"/>
                <w:color w:val="auto"/>
              </w:rPr>
              <w:t>$</w:t>
            </w:r>
          </w:p>
        </w:tc>
        <w:tc>
          <w:tcPr>
            <w:tcW w:w="78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color w:val="auto"/>
              </w:rPr>
              <w:t>389</w:t>
            </w:r>
          </w:p>
        </w:tc>
        <w:tc>
          <w:tcPr>
            <w:tcW w:w="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1"/>
                <w:szCs w:val="11"/>
                <w:color w:val="auto"/>
                <w:w w:val="97"/>
              </w:rPr>
              <w:t>$</w:t>
            </w:r>
          </w:p>
        </w:tc>
        <w:tc>
          <w:tcPr>
            <w:tcW w:w="86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1"/>
                <w:szCs w:val="11"/>
                <w:color w:val="auto"/>
              </w:rPr>
              <w:t>734</w:t>
            </w:r>
          </w:p>
        </w:tc>
        <w:tc>
          <w:tcPr>
            <w:tcW w:w="1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45"/>
              <w:spacing w:after="0"/>
              <w:rPr>
                <w:sz w:val="20"/>
                <w:szCs w:val="20"/>
                <w:color w:val="auto"/>
              </w:rPr>
            </w:pPr>
            <w:r>
              <w:rPr>
                <w:rFonts w:ascii="Arial" w:cs="Arial" w:eastAsia="Arial" w:hAnsi="Arial"/>
                <w:sz w:val="11"/>
                <w:szCs w:val="11"/>
                <w:color w:val="auto"/>
                <w:w w:val="97"/>
              </w:rPr>
              <w:t>$</w:t>
            </w:r>
          </w:p>
        </w:tc>
        <w:tc>
          <w:tcPr>
            <w:tcW w:w="76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1"/>
                <w:szCs w:val="11"/>
                <w:color w:val="auto"/>
              </w:rPr>
              <w:t>3</w:t>
            </w: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94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color w:val="auto"/>
              </w:rPr>
              <w:t>1,126</w:t>
            </w:r>
          </w:p>
        </w:tc>
        <w:tc>
          <w:tcPr>
            <w:tcW w:w="1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ind w:right="245"/>
              <w:spacing w:after="0"/>
              <w:rPr>
                <w:sz w:val="20"/>
                <w:szCs w:val="20"/>
                <w:color w:val="auto"/>
              </w:rPr>
            </w:pPr>
            <w:r>
              <w:rPr>
                <w:rFonts w:ascii="Arial" w:cs="Arial" w:eastAsia="Arial" w:hAnsi="Arial"/>
                <w:sz w:val="11"/>
                <w:szCs w:val="11"/>
                <w:color w:val="auto"/>
                <w:w w:val="97"/>
              </w:rPr>
              <w:t>$</w:t>
            </w:r>
          </w:p>
        </w:tc>
        <w:tc>
          <w:tcPr>
            <w:tcW w:w="88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1"/>
                <w:szCs w:val="11"/>
                <w:color w:val="auto"/>
              </w:rPr>
              <w:t>402</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1"/>
                <w:szCs w:val="11"/>
                <w:color w:val="auto"/>
                <w:w w:val="97"/>
              </w:rPr>
              <w:t>$</w:t>
            </w:r>
          </w:p>
        </w:tc>
        <w:tc>
          <w:tcPr>
            <w:tcW w:w="84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1"/>
                <w:szCs w:val="11"/>
                <w:color w:val="auto"/>
              </w:rPr>
              <w:t>910</w:t>
            </w: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45"/>
              <w:spacing w:after="0"/>
              <w:rPr>
                <w:sz w:val="20"/>
                <w:szCs w:val="20"/>
                <w:color w:val="auto"/>
              </w:rPr>
            </w:pPr>
            <w:r>
              <w:rPr>
                <w:rFonts w:ascii="Arial" w:cs="Arial" w:eastAsia="Arial" w:hAnsi="Arial"/>
                <w:sz w:val="11"/>
                <w:szCs w:val="11"/>
                <w:color w:val="auto"/>
                <w:w w:val="97"/>
              </w:rPr>
              <w:t>$</w:t>
            </w:r>
          </w:p>
        </w:tc>
        <w:tc>
          <w:tcPr>
            <w:tcW w:w="74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1"/>
                <w:szCs w:val="11"/>
                <w:color w:val="auto"/>
                <w:w w:val="97"/>
              </w:rPr>
              <w:t>$</w:t>
            </w:r>
          </w:p>
        </w:tc>
        <w:tc>
          <w:tcPr>
            <w:tcW w:w="78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1"/>
                <w:szCs w:val="11"/>
                <w:color w:val="auto"/>
              </w:rPr>
              <w:t>1,312</w:t>
            </w:r>
          </w:p>
        </w:tc>
      </w:tr>
      <w:tr>
        <w:trPr>
          <w:trHeight w:val="20"/>
        </w:trPr>
        <w:tc>
          <w:tcPr>
            <w:tcW w:w="19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410"/>
        </w:trPr>
        <w:tc>
          <w:tcPr>
            <w:tcW w:w="196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5"/>
          </w:tcPr>
          <w:p>
            <w:pPr>
              <w:jc w:val="center"/>
              <w:ind w:right="560"/>
              <w:spacing w:after="0"/>
              <w:rPr>
                <w:sz w:val="20"/>
                <w:szCs w:val="20"/>
                <w:color w:val="auto"/>
              </w:rPr>
            </w:pPr>
            <w:r>
              <w:rPr>
                <w:rFonts w:ascii="Arial" w:cs="Arial" w:eastAsia="Arial" w:hAnsi="Arial"/>
                <w:sz w:val="11"/>
                <w:szCs w:val="11"/>
                <w:b w:val="1"/>
                <w:bCs w:val="1"/>
                <w:color w:val="auto"/>
                <w:w w:val="95"/>
              </w:rPr>
              <w:t>Nine Months Ended September 30,</w:t>
            </w: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r>
      <w:tr>
        <w:trPr>
          <w:trHeight w:val="206"/>
        </w:trPr>
        <w:tc>
          <w:tcPr>
            <w:tcW w:w="196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1"/>
                <w:szCs w:val="11"/>
                <w:b w:val="1"/>
                <w:bCs w:val="1"/>
                <w:color w:val="auto"/>
              </w:rPr>
              <w:t>2019</w:t>
            </w:r>
          </w:p>
        </w:tc>
        <w:tc>
          <w:tcPr>
            <w:tcW w:w="2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1"/>
                <w:szCs w:val="11"/>
                <w:b w:val="1"/>
                <w:bCs w:val="1"/>
                <w:color w:val="auto"/>
              </w:rPr>
              <w:t>2018</w:t>
            </w:r>
          </w:p>
        </w:tc>
        <w:tc>
          <w:tcPr>
            <w:tcW w:w="2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r>
      <w:tr>
        <w:trPr>
          <w:trHeight w:val="111"/>
        </w:trPr>
        <w:tc>
          <w:tcPr>
            <w:tcW w:w="1960" w:type="dxa"/>
            <w:vAlign w:val="bottom"/>
          </w:tcPr>
          <w:p>
            <w:pPr>
              <w:spacing w:after="0"/>
              <w:rPr>
                <w:sz w:val="9"/>
                <w:szCs w:val="9"/>
                <w:color w:val="auto"/>
              </w:rPr>
            </w:pPr>
          </w:p>
        </w:tc>
        <w:tc>
          <w:tcPr>
            <w:tcW w:w="5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80" w:type="dxa"/>
            <w:vAlign w:val="bottom"/>
            <w:gridSpan w:val="2"/>
          </w:tcPr>
          <w:p>
            <w:pPr>
              <w:jc w:val="center"/>
              <w:ind w:right="300"/>
              <w:spacing w:after="0" w:line="112" w:lineRule="exact"/>
              <w:rPr>
                <w:sz w:val="20"/>
                <w:szCs w:val="20"/>
                <w:color w:val="auto"/>
              </w:rPr>
            </w:pPr>
            <w:r>
              <w:rPr>
                <w:rFonts w:ascii="Arial" w:cs="Arial" w:eastAsia="Arial" w:hAnsi="Arial"/>
                <w:sz w:val="10"/>
                <w:szCs w:val="10"/>
                <w:b w:val="1"/>
                <w:bCs w:val="1"/>
                <w:color w:val="auto"/>
                <w:w w:val="94"/>
              </w:rPr>
              <w:t>Energy</w:t>
            </w:r>
          </w:p>
        </w:tc>
        <w:tc>
          <w:tcPr>
            <w:tcW w:w="1160" w:type="dxa"/>
            <w:vAlign w:val="bottom"/>
            <w:gridSpan w:val="3"/>
          </w:tcPr>
          <w:p>
            <w:pPr>
              <w:jc w:val="center"/>
              <w:ind w:right="120"/>
              <w:spacing w:after="0" w:line="112" w:lineRule="exact"/>
              <w:rPr>
                <w:sz w:val="20"/>
                <w:szCs w:val="20"/>
                <w:color w:val="auto"/>
              </w:rPr>
            </w:pPr>
            <w:r>
              <w:rPr>
                <w:rFonts w:ascii="Arial" w:cs="Arial" w:eastAsia="Arial" w:hAnsi="Arial"/>
                <w:sz w:val="10"/>
                <w:szCs w:val="10"/>
                <w:b w:val="1"/>
                <w:bCs w:val="1"/>
                <w:color w:val="auto"/>
                <w:w w:val="94"/>
              </w:rPr>
              <w:t>Corporate and Other</w:t>
            </w:r>
          </w:p>
        </w:tc>
        <w:tc>
          <w:tcPr>
            <w:tcW w:w="12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60" w:type="dxa"/>
            <w:vAlign w:val="bottom"/>
            <w:gridSpan w:val="3"/>
          </w:tcPr>
          <w:p>
            <w:pPr>
              <w:jc w:val="center"/>
              <w:ind w:right="80"/>
              <w:spacing w:after="0" w:line="112" w:lineRule="exact"/>
              <w:rPr>
                <w:sz w:val="20"/>
                <w:szCs w:val="20"/>
                <w:color w:val="auto"/>
              </w:rPr>
            </w:pPr>
            <w:r>
              <w:rPr>
                <w:rFonts w:ascii="Arial" w:cs="Arial" w:eastAsia="Arial" w:hAnsi="Arial"/>
                <w:sz w:val="10"/>
                <w:szCs w:val="10"/>
                <w:b w:val="1"/>
                <w:bCs w:val="1"/>
                <w:color w:val="auto"/>
                <w:w w:val="93"/>
              </w:rPr>
              <w:t>Natural Gas Distribution</w:t>
            </w:r>
          </w:p>
        </w:tc>
        <w:tc>
          <w:tcPr>
            <w:tcW w:w="180" w:type="dxa"/>
            <w:vAlign w:val="bottom"/>
          </w:tcPr>
          <w:p>
            <w:pPr>
              <w:spacing w:after="0"/>
              <w:rPr>
                <w:sz w:val="9"/>
                <w:szCs w:val="9"/>
                <w:color w:val="auto"/>
              </w:rPr>
            </w:pPr>
          </w:p>
        </w:tc>
        <w:tc>
          <w:tcPr>
            <w:tcW w:w="940" w:type="dxa"/>
            <w:vAlign w:val="bottom"/>
            <w:gridSpan w:val="2"/>
          </w:tcPr>
          <w:p>
            <w:pPr>
              <w:jc w:val="center"/>
              <w:ind w:right="260"/>
              <w:spacing w:after="0" w:line="112" w:lineRule="exact"/>
              <w:rPr>
                <w:sz w:val="20"/>
                <w:szCs w:val="20"/>
                <w:color w:val="auto"/>
              </w:rPr>
            </w:pPr>
            <w:r>
              <w:rPr>
                <w:rFonts w:ascii="Arial" w:cs="Arial" w:eastAsia="Arial" w:hAnsi="Arial"/>
                <w:sz w:val="10"/>
                <w:szCs w:val="10"/>
                <w:b w:val="1"/>
                <w:bCs w:val="1"/>
                <w:color w:val="auto"/>
                <w:w w:val="94"/>
              </w:rPr>
              <w:t>Energy</w:t>
            </w:r>
          </w:p>
        </w:tc>
        <w:tc>
          <w:tcPr>
            <w:tcW w:w="1120" w:type="dxa"/>
            <w:vAlign w:val="bottom"/>
            <w:gridSpan w:val="3"/>
          </w:tcPr>
          <w:p>
            <w:pPr>
              <w:jc w:val="center"/>
              <w:ind w:right="80"/>
              <w:spacing w:after="0" w:line="112" w:lineRule="exact"/>
              <w:rPr>
                <w:sz w:val="20"/>
                <w:szCs w:val="20"/>
                <w:color w:val="auto"/>
              </w:rPr>
            </w:pPr>
            <w:r>
              <w:rPr>
                <w:rFonts w:ascii="Arial" w:cs="Arial" w:eastAsia="Arial" w:hAnsi="Arial"/>
                <w:sz w:val="10"/>
                <w:szCs w:val="10"/>
                <w:b w:val="1"/>
                <w:bCs w:val="1"/>
                <w:color w:val="auto"/>
                <w:w w:val="94"/>
              </w:rPr>
              <w:t>Corporate and Other</w:t>
            </w:r>
          </w:p>
        </w:tc>
        <w:tc>
          <w:tcPr>
            <w:tcW w:w="240" w:type="dxa"/>
            <w:vAlign w:val="bottom"/>
          </w:tcPr>
          <w:p>
            <w:pPr>
              <w:spacing w:after="0"/>
              <w:rPr>
                <w:sz w:val="9"/>
                <w:szCs w:val="9"/>
                <w:color w:val="auto"/>
              </w:rPr>
            </w:pPr>
          </w:p>
        </w:tc>
        <w:tc>
          <w:tcPr>
            <w:tcW w:w="780" w:type="dxa"/>
            <w:vAlign w:val="bottom"/>
          </w:tcPr>
          <w:p>
            <w:pPr>
              <w:spacing w:after="0"/>
              <w:rPr>
                <w:sz w:val="9"/>
                <w:szCs w:val="9"/>
                <w:color w:val="auto"/>
              </w:rPr>
            </w:pPr>
          </w:p>
        </w:tc>
      </w:tr>
      <w:tr>
        <w:trPr>
          <w:trHeight w:val="136"/>
        </w:trPr>
        <w:tc>
          <w:tcPr>
            <w:tcW w:w="1960" w:type="dxa"/>
            <w:vAlign w:val="bottom"/>
          </w:tcPr>
          <w:p>
            <w:pPr>
              <w:spacing w:after="0"/>
              <w:rPr>
                <w:sz w:val="11"/>
                <w:szCs w:val="11"/>
                <w:color w:val="auto"/>
              </w:rPr>
            </w:pPr>
          </w:p>
        </w:tc>
        <w:tc>
          <w:tcPr>
            <w:tcW w:w="1400" w:type="dxa"/>
            <w:vAlign w:val="bottom"/>
            <w:tcBorders>
              <w:bottom w:val="single" w:sz="8" w:color="auto"/>
            </w:tcBorders>
            <w:gridSpan w:val="3"/>
          </w:tcPr>
          <w:p>
            <w:pPr>
              <w:ind w:left="40"/>
              <w:spacing w:after="0"/>
              <w:rPr>
                <w:sz w:val="20"/>
                <w:szCs w:val="20"/>
                <w:color w:val="auto"/>
              </w:rPr>
            </w:pPr>
            <w:r>
              <w:rPr>
                <w:rFonts w:ascii="Arial" w:cs="Arial" w:eastAsia="Arial" w:hAnsi="Arial"/>
                <w:sz w:val="10"/>
                <w:szCs w:val="10"/>
                <w:b w:val="1"/>
                <w:bCs w:val="1"/>
                <w:color w:val="auto"/>
              </w:rPr>
              <w:t>Natural Gas Distribution (1)</w:t>
            </w:r>
          </w:p>
        </w:tc>
        <w:tc>
          <w:tcPr>
            <w:tcW w:w="18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0"/>
                <w:szCs w:val="10"/>
                <w:b w:val="1"/>
                <w:bCs w:val="1"/>
                <w:color w:val="auto"/>
                <w:w w:val="88"/>
              </w:rPr>
              <w:t>Services (2)</w:t>
            </w:r>
          </w:p>
        </w:tc>
        <w:tc>
          <w:tcPr>
            <w:tcW w:w="28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center"/>
              <w:ind w:right="224"/>
              <w:spacing w:after="0"/>
              <w:rPr>
                <w:sz w:val="20"/>
                <w:szCs w:val="20"/>
                <w:color w:val="auto"/>
              </w:rPr>
            </w:pPr>
            <w:r>
              <w:rPr>
                <w:rFonts w:ascii="Arial" w:cs="Arial" w:eastAsia="Arial" w:hAnsi="Arial"/>
                <w:sz w:val="10"/>
                <w:szCs w:val="10"/>
                <w:b w:val="1"/>
                <w:bCs w:val="1"/>
                <w:color w:val="auto"/>
                <w:w w:val="97"/>
              </w:rPr>
              <w:t>(2)</w:t>
            </w:r>
          </w:p>
        </w:tc>
        <w:tc>
          <w:tcPr>
            <w:tcW w:w="1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gridSpan w:val="2"/>
          </w:tcPr>
          <w:p>
            <w:pPr>
              <w:ind w:left="300"/>
              <w:spacing w:after="0"/>
              <w:rPr>
                <w:sz w:val="20"/>
                <w:szCs w:val="20"/>
                <w:color w:val="auto"/>
              </w:rPr>
            </w:pPr>
            <w:r>
              <w:rPr>
                <w:rFonts w:ascii="Arial" w:cs="Arial" w:eastAsia="Arial" w:hAnsi="Arial"/>
                <w:sz w:val="10"/>
                <w:szCs w:val="10"/>
                <w:b w:val="1"/>
                <w:bCs w:val="1"/>
                <w:color w:val="auto"/>
              </w:rPr>
              <w:t>Total</w:t>
            </w:r>
          </w:p>
        </w:tc>
        <w:tc>
          <w:tcPr>
            <w:tcW w:w="38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center"/>
              <w:ind w:right="304"/>
              <w:spacing w:after="0"/>
              <w:rPr>
                <w:sz w:val="20"/>
                <w:szCs w:val="20"/>
                <w:color w:val="auto"/>
              </w:rPr>
            </w:pPr>
            <w:r>
              <w:rPr>
                <w:rFonts w:ascii="Arial" w:cs="Arial" w:eastAsia="Arial" w:hAnsi="Arial"/>
                <w:sz w:val="10"/>
                <w:szCs w:val="10"/>
                <w:b w:val="1"/>
                <w:bCs w:val="1"/>
                <w:color w:val="auto"/>
                <w:w w:val="97"/>
              </w:rPr>
              <w:t>(1)</w:t>
            </w:r>
          </w:p>
        </w:tc>
        <w:tc>
          <w:tcPr>
            <w:tcW w:w="1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0"/>
                <w:szCs w:val="10"/>
                <w:b w:val="1"/>
                <w:bCs w:val="1"/>
                <w:color w:val="auto"/>
                <w:w w:val="88"/>
              </w:rPr>
              <w:t>Services (2)</w:t>
            </w:r>
          </w:p>
        </w:tc>
        <w:tc>
          <w:tcPr>
            <w:tcW w:w="2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center"/>
              <w:ind w:right="204"/>
              <w:spacing w:after="0"/>
              <w:rPr>
                <w:sz w:val="20"/>
                <w:szCs w:val="20"/>
                <w:color w:val="auto"/>
              </w:rPr>
            </w:pPr>
            <w:r>
              <w:rPr>
                <w:rFonts w:ascii="Arial" w:cs="Arial" w:eastAsia="Arial" w:hAnsi="Arial"/>
                <w:sz w:val="10"/>
                <w:szCs w:val="10"/>
                <w:b w:val="1"/>
                <w:bCs w:val="1"/>
                <w:color w:val="auto"/>
                <w:w w:val="97"/>
              </w:rPr>
              <w:t>(2)</w:t>
            </w:r>
          </w:p>
        </w:tc>
        <w:tc>
          <w:tcPr>
            <w:tcW w:w="10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ind w:right="344"/>
              <w:spacing w:after="0"/>
              <w:rPr>
                <w:sz w:val="20"/>
                <w:szCs w:val="20"/>
                <w:color w:val="auto"/>
              </w:rPr>
            </w:pPr>
            <w:r>
              <w:rPr>
                <w:rFonts w:ascii="Arial" w:cs="Arial" w:eastAsia="Arial" w:hAnsi="Arial"/>
                <w:sz w:val="10"/>
                <w:szCs w:val="10"/>
                <w:b w:val="1"/>
                <w:bCs w:val="1"/>
                <w:color w:val="auto"/>
              </w:rPr>
              <w:t>Total</w:t>
            </w:r>
          </w:p>
        </w:tc>
      </w:tr>
      <w:tr>
        <w:trPr>
          <w:trHeight w:val="198"/>
        </w:trPr>
        <w:tc>
          <w:tcPr>
            <w:tcW w:w="19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gridSpan w:val="3"/>
          </w:tcPr>
          <w:p>
            <w:pPr>
              <w:jc w:val="center"/>
              <w:ind w:left="383"/>
              <w:spacing w:after="0"/>
              <w:rPr>
                <w:sz w:val="20"/>
                <w:szCs w:val="20"/>
                <w:color w:val="auto"/>
              </w:rPr>
            </w:pPr>
            <w:r>
              <w:rPr>
                <w:rFonts w:ascii="Arial" w:cs="Arial" w:eastAsia="Arial" w:hAnsi="Arial"/>
                <w:sz w:val="11"/>
                <w:szCs w:val="11"/>
                <w:b w:val="1"/>
                <w:bCs w:val="1"/>
                <w:color w:val="auto"/>
                <w:w w:val="93"/>
              </w:rPr>
              <w:t>(in millions)</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20"/>
        </w:trPr>
        <w:tc>
          <w:tcPr>
            <w:tcW w:w="1960" w:type="dxa"/>
            <w:vAlign w:val="bottom"/>
            <w:shd w:val="clear" w:color="auto" w:fill="CCEEFF"/>
          </w:tcPr>
          <w:p>
            <w:pPr>
              <w:ind w:left="20"/>
              <w:spacing w:after="0"/>
              <w:rPr>
                <w:sz w:val="20"/>
                <w:szCs w:val="20"/>
                <w:color w:val="auto"/>
              </w:rPr>
            </w:pPr>
            <w:r>
              <w:rPr>
                <w:rFonts w:ascii="Arial" w:cs="Arial" w:eastAsia="Arial" w:hAnsi="Arial"/>
                <w:sz w:val="11"/>
                <w:szCs w:val="11"/>
                <w:color w:val="auto"/>
              </w:rPr>
              <w:t>Revenue from contracts</w:t>
            </w:r>
          </w:p>
        </w:tc>
        <w:tc>
          <w:tcPr>
            <w:tcW w:w="500" w:type="dxa"/>
            <w:vAlign w:val="bottom"/>
            <w:shd w:val="clear" w:color="auto" w:fill="CCEEFF"/>
          </w:tcPr>
          <w:p>
            <w:pPr>
              <w:ind w:left="20"/>
              <w:spacing w:after="0"/>
              <w:rPr>
                <w:sz w:val="20"/>
                <w:szCs w:val="20"/>
                <w:color w:val="auto"/>
              </w:rPr>
            </w:pPr>
            <w:r>
              <w:rPr>
                <w:rFonts w:ascii="Arial" w:cs="Arial" w:eastAsia="Arial" w:hAnsi="Arial"/>
                <w:sz w:val="11"/>
                <w:szCs w:val="11"/>
                <w:color w:val="auto"/>
              </w:rPr>
              <w:t>$</w:t>
            </w:r>
          </w:p>
        </w:tc>
        <w:tc>
          <w:tcPr>
            <w:tcW w:w="78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2,101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w w:val="97"/>
              </w:rPr>
              <w:t>$</w:t>
            </w:r>
          </w:p>
        </w:tc>
        <w:tc>
          <w:tcPr>
            <w:tcW w:w="860" w:type="dxa"/>
            <w:vAlign w:val="bottom"/>
            <w:shd w:val="clear" w:color="auto" w:fill="CCEEFF"/>
          </w:tcPr>
          <w:p>
            <w:pPr>
              <w:jc w:val="right"/>
              <w:ind w:right="65"/>
              <w:spacing w:after="0"/>
              <w:rPr>
                <w:sz w:val="20"/>
                <w:szCs w:val="20"/>
                <w:color w:val="auto"/>
              </w:rPr>
            </w:pPr>
            <w:r>
              <w:rPr>
                <w:rFonts w:ascii="Arial" w:cs="Arial" w:eastAsia="Arial" w:hAnsi="Arial"/>
                <w:sz w:val="11"/>
                <w:szCs w:val="11"/>
                <w:color w:val="auto"/>
              </w:rPr>
              <w:t>341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145"/>
              <w:spacing w:after="0"/>
              <w:rPr>
                <w:sz w:val="20"/>
                <w:szCs w:val="20"/>
                <w:color w:val="auto"/>
              </w:rPr>
            </w:pPr>
            <w:r>
              <w:rPr>
                <w:rFonts w:ascii="Arial" w:cs="Arial" w:eastAsia="Arial" w:hAnsi="Arial"/>
                <w:sz w:val="11"/>
                <w:szCs w:val="11"/>
                <w:color w:val="auto"/>
                <w:w w:val="97"/>
              </w:rPr>
              <w:t>$</w:t>
            </w:r>
          </w:p>
        </w:tc>
        <w:tc>
          <w:tcPr>
            <w:tcW w:w="760" w:type="dxa"/>
            <w:vAlign w:val="bottom"/>
            <w:shd w:val="clear" w:color="auto" w:fill="CCEEFF"/>
          </w:tcPr>
          <w:p>
            <w:pPr>
              <w:jc w:val="right"/>
              <w:ind w:right="64"/>
              <w:spacing w:after="0"/>
              <w:rPr>
                <w:sz w:val="20"/>
                <w:szCs w:val="20"/>
                <w:color w:val="auto"/>
              </w:rPr>
            </w:pPr>
            <w:r>
              <w:rPr>
                <w:rFonts w:ascii="Arial" w:cs="Arial" w:eastAsia="Arial" w:hAnsi="Arial"/>
                <w:sz w:val="11"/>
                <w:szCs w:val="11"/>
                <w:color w:val="auto"/>
              </w:rPr>
              <w:t>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94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2,446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245"/>
              <w:spacing w:after="0"/>
              <w:rPr>
                <w:sz w:val="20"/>
                <w:szCs w:val="20"/>
                <w:color w:val="auto"/>
              </w:rPr>
            </w:pPr>
            <w:r>
              <w:rPr>
                <w:rFonts w:ascii="Arial" w:cs="Arial" w:eastAsia="Arial" w:hAnsi="Arial"/>
                <w:sz w:val="11"/>
                <w:szCs w:val="11"/>
                <w:color w:val="auto"/>
                <w:w w:val="97"/>
              </w:rPr>
              <w:t>$</w:t>
            </w:r>
          </w:p>
        </w:tc>
        <w:tc>
          <w:tcPr>
            <w:tcW w:w="880" w:type="dxa"/>
            <w:vAlign w:val="bottom"/>
            <w:shd w:val="clear" w:color="auto" w:fill="CCEEFF"/>
          </w:tcPr>
          <w:p>
            <w:pPr>
              <w:jc w:val="right"/>
              <w:ind w:right="44"/>
              <w:spacing w:after="0"/>
              <w:rPr>
                <w:sz w:val="20"/>
                <w:szCs w:val="20"/>
                <w:color w:val="auto"/>
              </w:rPr>
            </w:pPr>
            <w:r>
              <w:rPr>
                <w:rFonts w:ascii="Arial" w:cs="Arial" w:eastAsia="Arial" w:hAnsi="Arial"/>
                <w:sz w:val="11"/>
                <w:szCs w:val="11"/>
                <w:color w:val="auto"/>
              </w:rPr>
              <w:t>2,093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w w:val="97"/>
              </w:rPr>
              <w:t>$</w:t>
            </w:r>
          </w:p>
        </w:tc>
        <w:tc>
          <w:tcPr>
            <w:tcW w:w="840" w:type="dxa"/>
            <w:vAlign w:val="bottom"/>
            <w:shd w:val="clear" w:color="auto" w:fill="CCEEFF"/>
          </w:tcPr>
          <w:p>
            <w:pPr>
              <w:jc w:val="right"/>
              <w:ind w:right="45"/>
              <w:spacing w:after="0"/>
              <w:rPr>
                <w:sz w:val="20"/>
                <w:szCs w:val="20"/>
                <w:color w:val="auto"/>
              </w:rPr>
            </w:pPr>
            <w:r>
              <w:rPr>
                <w:rFonts w:ascii="Arial" w:cs="Arial" w:eastAsia="Arial" w:hAnsi="Arial"/>
                <w:sz w:val="11"/>
                <w:szCs w:val="11"/>
                <w:color w:val="auto"/>
              </w:rPr>
              <w:t>338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145"/>
              <w:spacing w:after="0"/>
              <w:rPr>
                <w:sz w:val="20"/>
                <w:szCs w:val="20"/>
                <w:color w:val="auto"/>
              </w:rPr>
            </w:pPr>
            <w:r>
              <w:rPr>
                <w:rFonts w:ascii="Arial" w:cs="Arial" w:eastAsia="Arial" w:hAnsi="Arial"/>
                <w:sz w:val="11"/>
                <w:szCs w:val="11"/>
                <w:color w:val="auto"/>
                <w:w w:val="97"/>
              </w:rPr>
              <w:t>$</w:t>
            </w:r>
          </w:p>
        </w:tc>
        <w:tc>
          <w:tcPr>
            <w:tcW w:w="840" w:type="dxa"/>
            <w:vAlign w:val="bottom"/>
            <w:gridSpan w:val="2"/>
            <w:shd w:val="clear" w:color="auto" w:fill="CCEEFF"/>
          </w:tcPr>
          <w:p>
            <w:pPr>
              <w:ind w:left="520"/>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auto"/>
                <w:w w:val="97"/>
              </w:rPr>
              <w:t>$</w:t>
            </w:r>
          </w:p>
        </w:tc>
        <w:tc>
          <w:tcPr>
            <w:tcW w:w="780" w:type="dxa"/>
            <w:vAlign w:val="bottom"/>
            <w:shd w:val="clear" w:color="auto" w:fill="CCEEFF"/>
          </w:tcPr>
          <w:p>
            <w:pPr>
              <w:jc w:val="right"/>
              <w:ind w:right="44"/>
              <w:spacing w:after="0"/>
              <w:rPr>
                <w:sz w:val="20"/>
                <w:szCs w:val="20"/>
                <w:color w:val="auto"/>
              </w:rPr>
            </w:pPr>
            <w:r>
              <w:rPr>
                <w:rFonts w:ascii="Arial" w:cs="Arial" w:eastAsia="Arial" w:hAnsi="Arial"/>
                <w:sz w:val="11"/>
                <w:szCs w:val="11"/>
                <w:color w:val="auto"/>
              </w:rPr>
              <w:t>2,431</w:t>
            </w:r>
          </w:p>
        </w:tc>
      </w:tr>
      <w:tr>
        <w:trPr>
          <w:trHeight w:val="211"/>
        </w:trPr>
        <w:tc>
          <w:tcPr>
            <w:tcW w:w="1960" w:type="dxa"/>
            <w:vAlign w:val="bottom"/>
          </w:tcPr>
          <w:p>
            <w:pPr>
              <w:ind w:left="20"/>
              <w:spacing w:after="0"/>
              <w:rPr>
                <w:sz w:val="20"/>
                <w:szCs w:val="20"/>
                <w:color w:val="auto"/>
              </w:rPr>
            </w:pPr>
            <w:r>
              <w:rPr>
                <w:rFonts w:ascii="Arial" w:cs="Arial" w:eastAsia="Arial" w:hAnsi="Arial"/>
                <w:sz w:val="11"/>
                <w:szCs w:val="11"/>
                <w:color w:val="auto"/>
              </w:rPr>
              <w:t>Derivatives income</w:t>
            </w:r>
          </w:p>
        </w:tc>
        <w:tc>
          <w:tcPr>
            <w:tcW w:w="50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8"/>
                <w:szCs w:val="18"/>
                <w:color w:val="auto"/>
              </w:rPr>
            </w:pPr>
          </w:p>
        </w:tc>
        <w:tc>
          <w:tcPr>
            <w:tcW w:w="860" w:type="dxa"/>
            <w:vAlign w:val="bottom"/>
          </w:tcPr>
          <w:p>
            <w:pPr>
              <w:jc w:val="right"/>
              <w:ind w:right="65"/>
              <w:spacing w:after="0"/>
              <w:rPr>
                <w:sz w:val="20"/>
                <w:szCs w:val="20"/>
                <w:color w:val="auto"/>
              </w:rPr>
            </w:pPr>
            <w:r>
              <w:rPr>
                <w:rFonts w:ascii="Arial" w:cs="Arial" w:eastAsia="Arial" w:hAnsi="Arial"/>
                <w:sz w:val="11"/>
                <w:szCs w:val="11"/>
                <w:color w:val="auto"/>
              </w:rPr>
              <w:t>2,505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8"/>
                <w:szCs w:val="18"/>
                <w:color w:val="auto"/>
              </w:rPr>
            </w:pPr>
          </w:p>
        </w:tc>
        <w:tc>
          <w:tcPr>
            <w:tcW w:w="940" w:type="dxa"/>
            <w:vAlign w:val="bottom"/>
          </w:tcPr>
          <w:p>
            <w:pPr>
              <w:jc w:val="right"/>
              <w:ind w:right="63"/>
              <w:spacing w:after="0"/>
              <w:rPr>
                <w:sz w:val="20"/>
                <w:szCs w:val="20"/>
                <w:color w:val="auto"/>
              </w:rPr>
            </w:pPr>
            <w:r>
              <w:rPr>
                <w:rFonts w:ascii="Arial" w:cs="Arial" w:eastAsia="Arial" w:hAnsi="Arial"/>
                <w:sz w:val="11"/>
                <w:szCs w:val="11"/>
                <w:color w:val="auto"/>
              </w:rPr>
              <w:t>2,505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8"/>
                <w:szCs w:val="18"/>
                <w:color w:val="auto"/>
              </w:rPr>
            </w:pPr>
          </w:p>
        </w:tc>
        <w:tc>
          <w:tcPr>
            <w:tcW w:w="840" w:type="dxa"/>
            <w:vAlign w:val="bottom"/>
          </w:tcPr>
          <w:p>
            <w:pPr>
              <w:jc w:val="right"/>
              <w:ind w:right="45"/>
              <w:spacing w:after="0"/>
              <w:rPr>
                <w:sz w:val="20"/>
                <w:szCs w:val="20"/>
                <w:color w:val="auto"/>
              </w:rPr>
            </w:pPr>
            <w:r>
              <w:rPr>
                <w:rFonts w:ascii="Arial" w:cs="Arial" w:eastAsia="Arial" w:hAnsi="Arial"/>
                <w:sz w:val="11"/>
                <w:szCs w:val="11"/>
                <w:color w:val="auto"/>
              </w:rPr>
              <w:t>2,727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gridSpan w:val="2"/>
          </w:tcPr>
          <w:p>
            <w:pPr>
              <w:ind w:left="52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8"/>
                <w:szCs w:val="18"/>
                <w:color w:val="auto"/>
              </w:rPr>
            </w:pPr>
          </w:p>
        </w:tc>
        <w:tc>
          <w:tcPr>
            <w:tcW w:w="780" w:type="dxa"/>
            <w:vAlign w:val="bottom"/>
          </w:tcPr>
          <w:p>
            <w:pPr>
              <w:jc w:val="right"/>
              <w:ind w:right="44"/>
              <w:spacing w:after="0"/>
              <w:rPr>
                <w:sz w:val="20"/>
                <w:szCs w:val="20"/>
                <w:color w:val="auto"/>
              </w:rPr>
            </w:pPr>
            <w:r>
              <w:rPr>
                <w:rFonts w:ascii="Arial" w:cs="Arial" w:eastAsia="Arial" w:hAnsi="Arial"/>
                <w:sz w:val="11"/>
                <w:szCs w:val="11"/>
                <w:color w:val="auto"/>
              </w:rPr>
              <w:t>2,727</w:t>
            </w:r>
          </w:p>
        </w:tc>
      </w:tr>
      <w:tr>
        <w:trPr>
          <w:trHeight w:val="220"/>
        </w:trPr>
        <w:tc>
          <w:tcPr>
            <w:tcW w:w="1960" w:type="dxa"/>
            <w:vAlign w:val="bottom"/>
            <w:shd w:val="clear" w:color="auto" w:fill="CCEEFF"/>
          </w:tcPr>
          <w:p>
            <w:pPr>
              <w:ind w:left="20"/>
              <w:spacing w:after="0"/>
              <w:rPr>
                <w:sz w:val="20"/>
                <w:szCs w:val="20"/>
                <w:color w:val="auto"/>
              </w:rPr>
            </w:pPr>
            <w:r>
              <w:rPr>
                <w:rFonts w:ascii="Arial" w:cs="Arial" w:eastAsia="Arial" w:hAnsi="Arial"/>
                <w:sz w:val="11"/>
                <w:szCs w:val="11"/>
                <w:color w:val="auto"/>
              </w:rPr>
              <w:t xml:space="preserve">Other </w:t>
            </w:r>
            <w:r>
              <w:rPr>
                <w:rFonts w:ascii="Arial" w:cs="Arial" w:eastAsia="Arial" w:hAnsi="Arial"/>
                <w:sz w:val="8"/>
                <w:szCs w:val="8"/>
                <w:color w:val="auto"/>
              </w:rPr>
              <w:t>(3)</w:t>
            </w:r>
          </w:p>
        </w:tc>
        <w:tc>
          <w:tcPr>
            <w:tcW w:w="5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2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(35)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2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ind w:left="520"/>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(35)</w:t>
            </w:r>
          </w:p>
        </w:tc>
      </w:tr>
      <w:tr>
        <w:trPr>
          <w:trHeight w:val="211"/>
        </w:trPr>
        <w:tc>
          <w:tcPr>
            <w:tcW w:w="196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Eliminations</w:t>
            </w:r>
          </w:p>
        </w:tc>
        <w:tc>
          <w:tcPr>
            <w:tcW w:w="5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3"/>
              <w:spacing w:after="0"/>
              <w:rPr>
                <w:sz w:val="20"/>
                <w:szCs w:val="20"/>
                <w:color w:val="auto"/>
              </w:rPr>
            </w:pPr>
            <w:r>
              <w:rPr>
                <w:rFonts w:ascii="Arial" w:cs="Arial" w:eastAsia="Arial" w:hAnsi="Arial"/>
                <w:sz w:val="11"/>
                <w:szCs w:val="11"/>
                <w:color w:val="auto"/>
              </w:rPr>
              <w:t>(29)</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5"/>
              <w:spacing w:after="0"/>
              <w:rPr>
                <w:sz w:val="20"/>
                <w:szCs w:val="20"/>
                <w:color w:val="auto"/>
              </w:rPr>
            </w:pPr>
            <w:r>
              <w:rPr>
                <w:rFonts w:ascii="Arial" w:cs="Arial" w:eastAsia="Arial" w:hAnsi="Arial"/>
                <w:sz w:val="11"/>
                <w:szCs w:val="11"/>
                <w:color w:val="auto"/>
              </w:rPr>
              <w:t>(91)</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64"/>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3"/>
              <w:spacing w:after="0"/>
              <w:rPr>
                <w:sz w:val="20"/>
                <w:szCs w:val="20"/>
                <w:color w:val="auto"/>
              </w:rPr>
            </w:pPr>
            <w:r>
              <w:rPr>
                <w:rFonts w:ascii="Arial" w:cs="Arial" w:eastAsia="Arial" w:hAnsi="Arial"/>
                <w:sz w:val="11"/>
                <w:szCs w:val="11"/>
                <w:color w:val="auto"/>
              </w:rPr>
              <w:t>(120)</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(26)</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5"/>
              <w:spacing w:after="0"/>
              <w:rPr>
                <w:sz w:val="20"/>
                <w:szCs w:val="20"/>
                <w:color w:val="auto"/>
              </w:rPr>
            </w:pPr>
            <w:r>
              <w:rPr>
                <w:rFonts w:ascii="Arial" w:cs="Arial" w:eastAsia="Arial" w:hAnsi="Arial"/>
                <w:sz w:val="11"/>
                <w:szCs w:val="11"/>
                <w:color w:val="auto"/>
              </w:rPr>
              <w:t>(57)</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ind w:left="5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(83)</w:t>
            </w:r>
          </w:p>
        </w:tc>
      </w:tr>
      <w:tr>
        <w:trPr>
          <w:trHeight w:val="189"/>
        </w:trPr>
        <w:tc>
          <w:tcPr>
            <w:tcW w:w="1960" w:type="dxa"/>
            <w:vAlign w:val="bottom"/>
            <w:shd w:val="clear" w:color="auto" w:fill="CCEEFF"/>
          </w:tcPr>
          <w:p>
            <w:pPr>
              <w:ind w:left="140"/>
              <w:spacing w:after="0"/>
              <w:rPr>
                <w:sz w:val="20"/>
                <w:szCs w:val="20"/>
                <w:color w:val="auto"/>
              </w:rPr>
            </w:pPr>
            <w:r>
              <w:rPr>
                <w:rFonts w:ascii="Arial" w:cs="Arial" w:eastAsia="Arial" w:hAnsi="Arial"/>
                <w:sz w:val="11"/>
                <w:szCs w:val="11"/>
                <w:color w:val="auto"/>
              </w:rPr>
              <w:t>Total revenues</w:t>
            </w:r>
          </w:p>
        </w:tc>
        <w:tc>
          <w:tcPr>
            <w:tcW w:w="500" w:type="dxa"/>
            <w:vAlign w:val="bottom"/>
            <w:shd w:val="clear" w:color="auto" w:fill="CCEEFF"/>
          </w:tcPr>
          <w:p>
            <w:pPr>
              <w:ind w:left="20"/>
              <w:spacing w:after="0"/>
              <w:rPr>
                <w:sz w:val="20"/>
                <w:szCs w:val="20"/>
                <w:color w:val="auto"/>
              </w:rPr>
            </w:pPr>
            <w:r>
              <w:rPr>
                <w:rFonts w:ascii="Arial" w:cs="Arial" w:eastAsia="Arial" w:hAnsi="Arial"/>
                <w:sz w:val="11"/>
                <w:szCs w:val="11"/>
                <w:color w:val="auto"/>
              </w:rPr>
              <w:t>$</w:t>
            </w:r>
          </w:p>
        </w:tc>
        <w:tc>
          <w:tcPr>
            <w:tcW w:w="78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2,077</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w w:val="97"/>
              </w:rPr>
              <w:t>$</w:t>
            </w:r>
          </w:p>
        </w:tc>
        <w:tc>
          <w:tcPr>
            <w:tcW w:w="860" w:type="dxa"/>
            <w:vAlign w:val="bottom"/>
            <w:shd w:val="clear" w:color="auto" w:fill="CCEEFF"/>
          </w:tcPr>
          <w:p>
            <w:pPr>
              <w:jc w:val="right"/>
              <w:ind w:right="65"/>
              <w:spacing w:after="0"/>
              <w:rPr>
                <w:sz w:val="20"/>
                <w:szCs w:val="20"/>
                <w:color w:val="auto"/>
              </w:rPr>
            </w:pPr>
            <w:r>
              <w:rPr>
                <w:rFonts w:ascii="Arial" w:cs="Arial" w:eastAsia="Arial" w:hAnsi="Arial"/>
                <w:sz w:val="11"/>
                <w:szCs w:val="11"/>
                <w:color w:val="auto"/>
              </w:rPr>
              <w:t>2,755</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45"/>
              <w:spacing w:after="0"/>
              <w:rPr>
                <w:sz w:val="20"/>
                <w:szCs w:val="20"/>
                <w:color w:val="auto"/>
              </w:rPr>
            </w:pPr>
            <w:r>
              <w:rPr>
                <w:rFonts w:ascii="Arial" w:cs="Arial" w:eastAsia="Arial" w:hAnsi="Arial"/>
                <w:sz w:val="11"/>
                <w:szCs w:val="11"/>
                <w:color w:val="auto"/>
                <w:w w:val="97"/>
              </w:rPr>
              <w:t>$</w:t>
            </w:r>
          </w:p>
        </w:tc>
        <w:tc>
          <w:tcPr>
            <w:tcW w:w="760" w:type="dxa"/>
            <w:vAlign w:val="bottom"/>
            <w:shd w:val="clear" w:color="auto" w:fill="CCEEFF"/>
          </w:tcPr>
          <w:p>
            <w:pPr>
              <w:jc w:val="right"/>
              <w:ind w:right="64"/>
              <w:spacing w:after="0"/>
              <w:rPr>
                <w:sz w:val="20"/>
                <w:szCs w:val="20"/>
                <w:color w:val="auto"/>
              </w:rPr>
            </w:pPr>
            <w:r>
              <w:rPr>
                <w:rFonts w:ascii="Arial" w:cs="Arial" w:eastAsia="Arial" w:hAnsi="Arial"/>
                <w:sz w:val="11"/>
                <w:szCs w:val="11"/>
                <w:color w:val="auto"/>
              </w:rPr>
              <w:t>4</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94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4,836</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jc w:val="right"/>
              <w:ind w:right="245"/>
              <w:spacing w:after="0"/>
              <w:rPr>
                <w:sz w:val="20"/>
                <w:szCs w:val="20"/>
                <w:color w:val="auto"/>
              </w:rPr>
            </w:pPr>
            <w:r>
              <w:rPr>
                <w:rFonts w:ascii="Arial" w:cs="Arial" w:eastAsia="Arial" w:hAnsi="Arial"/>
                <w:sz w:val="11"/>
                <w:szCs w:val="11"/>
                <w:color w:val="auto"/>
                <w:w w:val="97"/>
              </w:rPr>
              <w:t>$</w:t>
            </w:r>
          </w:p>
        </w:tc>
        <w:tc>
          <w:tcPr>
            <w:tcW w:w="880" w:type="dxa"/>
            <w:vAlign w:val="bottom"/>
            <w:shd w:val="clear" w:color="auto" w:fill="CCEEFF"/>
          </w:tcPr>
          <w:p>
            <w:pPr>
              <w:jc w:val="right"/>
              <w:ind w:right="44"/>
              <w:spacing w:after="0"/>
              <w:rPr>
                <w:sz w:val="20"/>
                <w:szCs w:val="20"/>
                <w:color w:val="auto"/>
              </w:rPr>
            </w:pPr>
            <w:r>
              <w:rPr>
                <w:rFonts w:ascii="Arial" w:cs="Arial" w:eastAsia="Arial" w:hAnsi="Arial"/>
                <w:sz w:val="11"/>
                <w:szCs w:val="11"/>
                <w:color w:val="auto"/>
              </w:rPr>
              <w:t>2,032</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w w:val="97"/>
              </w:rPr>
              <w:t>$</w:t>
            </w:r>
          </w:p>
        </w:tc>
        <w:tc>
          <w:tcPr>
            <w:tcW w:w="840" w:type="dxa"/>
            <w:vAlign w:val="bottom"/>
            <w:shd w:val="clear" w:color="auto" w:fill="CCEEFF"/>
          </w:tcPr>
          <w:p>
            <w:pPr>
              <w:jc w:val="right"/>
              <w:ind w:right="45"/>
              <w:spacing w:after="0"/>
              <w:rPr>
                <w:sz w:val="20"/>
                <w:szCs w:val="20"/>
                <w:color w:val="auto"/>
              </w:rPr>
            </w:pPr>
            <w:r>
              <w:rPr>
                <w:rFonts w:ascii="Arial" w:cs="Arial" w:eastAsia="Arial" w:hAnsi="Arial"/>
                <w:sz w:val="11"/>
                <w:szCs w:val="11"/>
                <w:color w:val="auto"/>
              </w:rPr>
              <w:t>3,008</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45"/>
              <w:spacing w:after="0"/>
              <w:rPr>
                <w:sz w:val="20"/>
                <w:szCs w:val="20"/>
                <w:color w:val="auto"/>
              </w:rPr>
            </w:pPr>
            <w:r>
              <w:rPr>
                <w:rFonts w:ascii="Arial" w:cs="Arial" w:eastAsia="Arial" w:hAnsi="Arial"/>
                <w:sz w:val="11"/>
                <w:szCs w:val="11"/>
                <w:color w:val="auto"/>
                <w:w w:val="97"/>
              </w:rPr>
              <w:t>$</w:t>
            </w:r>
          </w:p>
        </w:tc>
        <w:tc>
          <w:tcPr>
            <w:tcW w:w="840" w:type="dxa"/>
            <w:vAlign w:val="bottom"/>
            <w:gridSpan w:val="2"/>
            <w:shd w:val="clear" w:color="auto" w:fill="CCEEFF"/>
          </w:tcPr>
          <w:p>
            <w:pPr>
              <w:ind w:left="520"/>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auto"/>
                <w:w w:val="97"/>
              </w:rPr>
              <w:t>$</w:t>
            </w:r>
          </w:p>
        </w:tc>
        <w:tc>
          <w:tcPr>
            <w:tcW w:w="780" w:type="dxa"/>
            <w:vAlign w:val="bottom"/>
            <w:shd w:val="clear" w:color="auto" w:fill="CCEEFF"/>
          </w:tcPr>
          <w:p>
            <w:pPr>
              <w:jc w:val="right"/>
              <w:ind w:right="44"/>
              <w:spacing w:after="0"/>
              <w:rPr>
                <w:sz w:val="20"/>
                <w:szCs w:val="20"/>
                <w:color w:val="auto"/>
              </w:rPr>
            </w:pPr>
            <w:r>
              <w:rPr>
                <w:rFonts w:ascii="Arial" w:cs="Arial" w:eastAsia="Arial" w:hAnsi="Arial"/>
                <w:sz w:val="11"/>
                <w:szCs w:val="11"/>
                <w:color w:val="auto"/>
              </w:rPr>
              <w:t>5,040</w:t>
            </w:r>
          </w:p>
        </w:tc>
      </w:tr>
      <w:tr>
        <w:trPr>
          <w:trHeight w:val="20"/>
        </w:trPr>
        <w:tc>
          <w:tcPr>
            <w:tcW w:w="19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162" w:lineRule="exact"/>
        <w:rPr>
          <w:sz w:val="20"/>
          <w:szCs w:val="20"/>
          <w:color w:val="auto"/>
        </w:rPr>
      </w:pPr>
    </w:p>
    <w:p>
      <w:pPr>
        <w:ind w:left="520" w:hanging="255"/>
        <w:spacing w:after="0"/>
        <w:tabs>
          <w:tab w:leader="none" w:pos="5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Reflected in Utility revenues in the Condensed Statements of Consolidated Income.</w:t>
      </w:r>
    </w:p>
    <w:p>
      <w:pPr>
        <w:spacing w:after="0" w:line="183" w:lineRule="exact"/>
        <w:rPr>
          <w:rFonts w:ascii="Arial" w:cs="Arial" w:eastAsia="Arial" w:hAnsi="Arial"/>
          <w:sz w:val="14"/>
          <w:szCs w:val="14"/>
          <w:color w:val="auto"/>
        </w:rPr>
      </w:pPr>
    </w:p>
    <w:p>
      <w:pPr>
        <w:ind w:left="520" w:hanging="255"/>
        <w:spacing w:after="0"/>
        <w:tabs>
          <w:tab w:leader="none" w:pos="5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Reflected in Non-utility revenues in the Condensed Statements of Consolidated Income.</w:t>
      </w:r>
    </w:p>
    <w:p>
      <w:pPr>
        <w:spacing w:after="0" w:line="183" w:lineRule="exact"/>
        <w:rPr>
          <w:rFonts w:ascii="Arial" w:cs="Arial" w:eastAsia="Arial" w:hAnsi="Arial"/>
          <w:sz w:val="14"/>
          <w:szCs w:val="14"/>
          <w:color w:val="auto"/>
        </w:rPr>
      </w:pPr>
    </w:p>
    <w:p>
      <w:pPr>
        <w:jc w:val="both"/>
        <w:ind w:left="520" w:hanging="255"/>
        <w:spacing w:after="0" w:line="267" w:lineRule="auto"/>
        <w:tabs>
          <w:tab w:leader="none" w:pos="5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Primarily consists of income from ARPs and leases. ARPs are contracts between the utility and its regulators, not between the utility and a customer. The Registrants recognize ARP revenue as other revenues when the regulator-specified conditions for recognition have been met. Upon recovery of ARP revenue through incorporation in rates charged for utility service to customers, ARP revenue is reversed and recorded as revenue from contracts with customers. The recognition of ARP revenues and the reversal of ARP revenues upon recovery through rates charged for utility service may not occur in the same period.</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Revenues from Contracts with Customers</w:t>
      </w:r>
    </w:p>
    <w:p>
      <w:pPr>
        <w:spacing w:after="0" w:line="188" w:lineRule="exact"/>
        <w:rPr>
          <w:sz w:val="20"/>
          <w:szCs w:val="20"/>
          <w:color w:val="auto"/>
        </w:rPr>
      </w:pPr>
    </w:p>
    <w:p>
      <w:pPr>
        <w:jc w:val="both"/>
        <w:ind w:firstLine="259"/>
        <w:spacing w:after="0" w:line="263" w:lineRule="auto"/>
        <w:rPr>
          <w:sz w:val="20"/>
          <w:szCs w:val="20"/>
          <w:color w:val="auto"/>
        </w:rPr>
      </w:pPr>
      <w:r>
        <w:rPr>
          <w:rFonts w:ascii="Arial" w:cs="Arial" w:eastAsia="Arial" w:hAnsi="Arial"/>
          <w:sz w:val="14"/>
          <w:szCs w:val="14"/>
          <w:b w:val="1"/>
          <w:bCs w:val="1"/>
          <w:i w:val="1"/>
          <w:iCs w:val="1"/>
          <w:color w:val="auto"/>
        </w:rPr>
        <w:t xml:space="preserve">Houston Electric T&amp;D (CenterPoint Energy and Houston Electric). </w:t>
      </w:r>
      <w:r>
        <w:rPr>
          <w:rFonts w:ascii="Arial" w:cs="Arial" w:eastAsia="Arial" w:hAnsi="Arial"/>
          <w:sz w:val="14"/>
          <w:szCs w:val="14"/>
          <w:color w:val="auto"/>
        </w:rPr>
        <w:t>Houston Electric distributes electricity to customers over time and customers consume the electricity when delivered.</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Revenue, consisting of both volumetric and fixed tariff rates set by state regulators, is recognized as electricity is delivered and represents amounts both billed and unbilled. Discretionary services requested by customers are provided at a point in time with control transferring upon the completion of the service. Revenue for discretionary services is recognized upon completion of service based on the tariff rates set by state regulators. Payments for electricity distribution and discretionary services are aggregated and received on a monthly basis. Houston Electric performs transmission services over time as a stand-ready obligation to provide a reliable network of transmission systems. Revenue is recognized upon time elapsed, and the monthly tariff rate set by state regulators. Payments are received on a monthly basis.</w:t>
      </w:r>
    </w:p>
    <w:p>
      <w:pPr>
        <w:spacing w:after="0" w:line="148" w:lineRule="exact"/>
        <w:rPr>
          <w:sz w:val="20"/>
          <w:szCs w:val="20"/>
          <w:color w:val="auto"/>
        </w:rPr>
      </w:pPr>
    </w:p>
    <w:p>
      <w:pPr>
        <w:jc w:val="both"/>
        <w:ind w:firstLine="259"/>
        <w:spacing w:after="0" w:line="272" w:lineRule="auto"/>
        <w:rPr>
          <w:sz w:val="20"/>
          <w:szCs w:val="20"/>
          <w:color w:val="auto"/>
        </w:rPr>
      </w:pPr>
      <w:r>
        <w:rPr>
          <w:rFonts w:ascii="Arial" w:cs="Arial" w:eastAsia="Arial" w:hAnsi="Arial"/>
          <w:sz w:val="14"/>
          <w:szCs w:val="14"/>
          <w:b w:val="1"/>
          <w:bCs w:val="1"/>
          <w:i w:val="1"/>
          <w:iCs w:val="1"/>
          <w:color w:val="auto"/>
        </w:rPr>
        <w:t xml:space="preserve">Indiana Electric Integrated (CenterPoint Energy). </w:t>
      </w:r>
      <w:r>
        <w:rPr>
          <w:rFonts w:ascii="Arial" w:cs="Arial" w:eastAsia="Arial" w:hAnsi="Arial"/>
          <w:sz w:val="14"/>
          <w:szCs w:val="14"/>
          <w:color w:val="auto"/>
        </w:rPr>
        <w:t>Indiana Electric generates, distributes and transmits electricity to customers over time, and customers consume the electricity when delivered.</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Revenue, consisting of both volumetric and fixed tariff rates set by state regulators, is recognized as electricity is delivered and represents amounts both billed and unbilled. Customers are billed monthly and payment terms, set by the regulator, require payment within a month of billing.</w:t>
      </w:r>
    </w:p>
    <w:p>
      <w:pPr>
        <w:spacing w:after="0" w:line="142" w:lineRule="exact"/>
        <w:rPr>
          <w:sz w:val="20"/>
          <w:szCs w:val="20"/>
          <w:color w:val="auto"/>
        </w:rPr>
      </w:pPr>
    </w:p>
    <w:p>
      <w:pPr>
        <w:jc w:val="both"/>
        <w:ind w:firstLine="259"/>
        <w:spacing w:after="0" w:line="267" w:lineRule="auto"/>
        <w:rPr>
          <w:sz w:val="20"/>
          <w:szCs w:val="20"/>
          <w:color w:val="auto"/>
        </w:rPr>
      </w:pPr>
      <w:r>
        <w:rPr>
          <w:rFonts w:ascii="Arial" w:cs="Arial" w:eastAsia="Arial" w:hAnsi="Arial"/>
          <w:sz w:val="14"/>
          <w:szCs w:val="14"/>
          <w:b w:val="1"/>
          <w:bCs w:val="1"/>
          <w:i w:val="1"/>
          <w:iCs w:val="1"/>
          <w:color w:val="auto"/>
        </w:rPr>
        <w:t xml:space="preserve">Natural Gas Distribution (CenterPoint Energy and CERC). </w:t>
      </w:r>
      <w:r>
        <w:rPr>
          <w:rFonts w:ascii="Arial" w:cs="Arial" w:eastAsia="Arial" w:hAnsi="Arial"/>
          <w:sz w:val="14"/>
          <w:szCs w:val="14"/>
          <w:color w:val="auto"/>
        </w:rPr>
        <w:t>Natural gas is distributed and transported to customers over time, and customers consume the natural gas when delivered. Revenue,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consisting of both volumetric and fixed tariff rates set by the state governing agency for that service area, is recognized as natural gas is delivered and represents amounts both billed and unbilled. Discretionary services requested by the customer are satisfied at a point in time and revenue is recognized upon completion of service and the tariff rates set by the applicable state regulator. Payments of natural gas distribution, transportation and discretionary services are aggregated and received on a monthly basis.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ectPr>
          <w:pgSz w:w="11900" w:h="16838" w:orient="portrait"/>
          <w:cols w:equalWidth="0" w:num="1">
            <w:col w:w="11460"/>
          </w:cols>
          <w:pgMar w:left="220" w:top="129" w:right="219" w:bottom="1440" w:gutter="0" w:footer="0" w:header="0"/>
        </w:sectPr>
      </w:pPr>
    </w:p>
    <w:bookmarkStart w:id="36" w:name="page37"/>
    <w:bookmarkEnd w:id="36"/>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378" w:lineRule="exact"/>
        <w:rPr>
          <w:sz w:val="20"/>
          <w:szCs w:val="20"/>
          <w:color w:val="auto"/>
        </w:rPr>
      </w:pPr>
    </w:p>
    <w:p>
      <w:pPr>
        <w:jc w:val="both"/>
        <w:ind w:firstLine="259"/>
        <w:spacing w:after="0" w:line="288" w:lineRule="auto"/>
        <w:rPr>
          <w:sz w:val="20"/>
          <w:szCs w:val="20"/>
          <w:color w:val="auto"/>
        </w:rPr>
      </w:pPr>
      <w:r>
        <w:rPr>
          <w:rFonts w:ascii="Arial" w:cs="Arial" w:eastAsia="Arial" w:hAnsi="Arial"/>
          <w:sz w:val="14"/>
          <w:szCs w:val="14"/>
          <w:b w:val="1"/>
          <w:bCs w:val="1"/>
          <w:i w:val="1"/>
          <w:iCs w:val="1"/>
          <w:color w:val="auto"/>
        </w:rPr>
        <w:t xml:space="preserve">Energy Services (CenterPoint Energy and CERC). </w:t>
      </w:r>
      <w:r>
        <w:rPr>
          <w:rFonts w:ascii="Arial" w:cs="Arial" w:eastAsia="Arial" w:hAnsi="Arial"/>
          <w:sz w:val="14"/>
          <w:szCs w:val="14"/>
          <w:color w:val="auto"/>
        </w:rPr>
        <w:t>The majority of CES natural gas sales contracts are considered a derivative, as the contracts typically have a stated minimum or contractual</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volume of delivery.</w:t>
      </w:r>
    </w:p>
    <w:p>
      <w:pPr>
        <w:spacing w:after="0" w:line="131" w:lineRule="exact"/>
        <w:rPr>
          <w:sz w:val="20"/>
          <w:szCs w:val="20"/>
          <w:color w:val="auto"/>
        </w:rPr>
      </w:pPr>
    </w:p>
    <w:p>
      <w:pPr>
        <w:jc w:val="both"/>
        <w:ind w:firstLine="259"/>
        <w:spacing w:after="0" w:line="294" w:lineRule="auto"/>
        <w:rPr>
          <w:sz w:val="20"/>
          <w:szCs w:val="20"/>
          <w:color w:val="auto"/>
        </w:rPr>
      </w:pPr>
      <w:r>
        <w:rPr>
          <w:rFonts w:ascii="Arial" w:cs="Arial" w:eastAsia="Arial" w:hAnsi="Arial"/>
          <w:sz w:val="13"/>
          <w:szCs w:val="13"/>
          <w:color w:val="auto"/>
        </w:rPr>
        <w:t>For contracts in which CES delivers the full requirement of the natural gas needed by the customer and a volume is not stated, a contract as defined under ASC 606 is created upon the customer’s exercise of its option to take natural gas. CES supplies natural gas to retail customers over time as customers consume the natural gas when delivered. For wholesale customers, CES supplies natural gas at a point in time because the wholesale customer is presumed to have storage capabilities. Control is transferred to both types of customers upon delivery of natural gas. Revenue is recognized on a monthly basis based on the estimated volume of natural gas delivered and the price agreed upon with the customer. Payments are received on a monthly basis.</w:t>
      </w:r>
    </w:p>
    <w:p>
      <w:pPr>
        <w:spacing w:after="0" w:line="130" w:lineRule="exact"/>
        <w:rPr>
          <w:sz w:val="20"/>
          <w:szCs w:val="20"/>
          <w:color w:val="auto"/>
        </w:rPr>
      </w:pPr>
    </w:p>
    <w:p>
      <w:pPr>
        <w:jc w:val="both"/>
        <w:ind w:firstLine="259"/>
        <w:spacing w:after="0" w:line="264" w:lineRule="auto"/>
        <w:rPr>
          <w:sz w:val="20"/>
          <w:szCs w:val="20"/>
          <w:color w:val="auto"/>
        </w:rPr>
      </w:pPr>
      <w:r>
        <w:rPr>
          <w:rFonts w:ascii="Arial" w:cs="Arial" w:eastAsia="Arial" w:hAnsi="Arial"/>
          <w:sz w:val="14"/>
          <w:szCs w:val="14"/>
          <w:color w:val="auto"/>
        </w:rPr>
        <w:t>AMAs are natural gas sales contracts under which CES also assumes management of a customer’s physical storage and/or transportation capacity. AMAs have two distinct performance obligations, which consist of natural gas sales and natural gas delivery because delivery could occur separate from the sale of natural gas (e.g., from storage to customer premises). Most AMAs’ natural gas sales performance obligations are accounted for as embedded derivatives. The transaction price is allocated between the sale of natural gas and the delivery based on the stand-alone selling price as stated in the contract. CES performs natural gas delivery over time as customers take delivery of the natural gas and recognizes revenue on an aggregated monthly basis based on the volume of natural gas delivered and the fees stated within the contract. Payments are received on a monthly basis.</w:t>
      </w:r>
    </w:p>
    <w:p>
      <w:pPr>
        <w:spacing w:after="0" w:line="149" w:lineRule="exact"/>
        <w:rPr>
          <w:sz w:val="20"/>
          <w:szCs w:val="20"/>
          <w:color w:val="auto"/>
        </w:rPr>
      </w:pPr>
    </w:p>
    <w:p>
      <w:pPr>
        <w:jc w:val="both"/>
        <w:ind w:firstLine="259"/>
        <w:spacing w:after="0" w:line="263" w:lineRule="auto"/>
        <w:rPr>
          <w:sz w:val="20"/>
          <w:szCs w:val="20"/>
          <w:color w:val="auto"/>
        </w:rPr>
      </w:pPr>
      <w:r>
        <w:rPr>
          <w:rFonts w:ascii="Arial" w:cs="Arial" w:eastAsia="Arial" w:hAnsi="Arial"/>
          <w:sz w:val="14"/>
          <w:szCs w:val="14"/>
          <w:b w:val="1"/>
          <w:bCs w:val="1"/>
          <w:i w:val="1"/>
          <w:iCs w:val="1"/>
          <w:color w:val="auto"/>
        </w:rPr>
        <w:t xml:space="preserve">Infrastructure Services (CenterPoint Energy). </w:t>
      </w:r>
      <w:r>
        <w:rPr>
          <w:rFonts w:ascii="Arial" w:cs="Arial" w:eastAsia="Arial" w:hAnsi="Arial"/>
          <w:sz w:val="14"/>
          <w:szCs w:val="14"/>
          <w:color w:val="auto"/>
        </w:rPr>
        <w:t>Infrastructure Services provides u</w:t>
      </w:r>
      <w:r>
        <w:rPr>
          <w:rFonts w:ascii="Arial" w:cs="Arial" w:eastAsia="Arial" w:hAnsi="Arial"/>
          <w:sz w:val="14"/>
          <w:szCs w:val="14"/>
          <w:color w:val="221F1F"/>
        </w:rPr>
        <w:t>nderground pipeline construction and repair services. The contracts are generally less than one year in duration</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221F1F"/>
        </w:rPr>
        <w:t>and consist of fixed price, unit, and time and material customer contracts. Under unit or time and material contracts, Infrastructure Services performs construction and repair services under specific work-orders at prices established by master service agreements. The performance obligation is defined at the work-order level. These services are billed to customers monthly or more frequently for work completed based on units completed or the costs of time and material incurred and generally require payment within 30 days of billing. Infrastructure Services has the right to consideration from customers in an amount that corresponds directly with the performance obligation satisfied, and therefore recognizes revenue at a point in time in the amount to which it has the right to invoice, which results in accrued unbilled revenues at the end of each accounting period.</w:t>
      </w:r>
    </w:p>
    <w:p>
      <w:pPr>
        <w:spacing w:after="0" w:line="148" w:lineRule="exact"/>
        <w:rPr>
          <w:sz w:val="20"/>
          <w:szCs w:val="20"/>
          <w:color w:val="auto"/>
        </w:rPr>
      </w:pPr>
    </w:p>
    <w:p>
      <w:pPr>
        <w:jc w:val="both"/>
        <w:ind w:firstLine="259"/>
        <w:spacing w:after="0" w:line="264" w:lineRule="auto"/>
        <w:rPr>
          <w:sz w:val="20"/>
          <w:szCs w:val="20"/>
          <w:color w:val="auto"/>
        </w:rPr>
      </w:pPr>
      <w:r>
        <w:rPr>
          <w:rFonts w:ascii="Arial" w:cs="Arial" w:eastAsia="Arial" w:hAnsi="Arial"/>
          <w:sz w:val="14"/>
          <w:szCs w:val="14"/>
          <w:color w:val="221F1F"/>
        </w:rPr>
        <w:t>Under fixed price contracts, Infrastructure Services performs larger scale construction and repair services. Each contract is typically accounted for as a single performance obligation. Services performed under fixed price contracts are typically billed per the terms of the contract, which can range from completion of specific milestones to scheduled billing intervals. Billings occur monthly or more frequently for work completed and generally require payment within 30 days of billing. Revenue for fixed price contracts is recognized over time as control is transferred using the input method, considering costs incurred relative to total expected cost. Total expected cost is therefore a significant judgment affecting the amount and timing of revenue recognition. Infrastructure Services’ revenues are not subject to significant returns, refunds or warranty obligations.</w:t>
      </w:r>
    </w:p>
    <w:p>
      <w:pPr>
        <w:spacing w:after="0" w:line="149" w:lineRule="exact"/>
        <w:rPr>
          <w:sz w:val="20"/>
          <w:szCs w:val="20"/>
          <w:color w:val="auto"/>
        </w:rPr>
      </w:pPr>
    </w:p>
    <w:p>
      <w:pPr>
        <w:jc w:val="both"/>
        <w:ind w:firstLine="259"/>
        <w:spacing w:after="0" w:line="287" w:lineRule="auto"/>
        <w:rPr>
          <w:sz w:val="20"/>
          <w:szCs w:val="20"/>
          <w:color w:val="auto"/>
        </w:rPr>
      </w:pPr>
      <w:r>
        <w:rPr>
          <w:rFonts w:ascii="Arial" w:cs="Arial" w:eastAsia="Arial" w:hAnsi="Arial"/>
          <w:sz w:val="13"/>
          <w:szCs w:val="13"/>
          <w:b w:val="1"/>
          <w:bCs w:val="1"/>
          <w:i w:val="1"/>
          <w:iCs w:val="1"/>
          <w:color w:val="221F1F"/>
        </w:rPr>
        <w:t xml:space="preserve">Contract Balances. </w:t>
      </w:r>
      <w:r>
        <w:rPr>
          <w:rFonts w:ascii="Arial" w:cs="Arial" w:eastAsia="Arial" w:hAnsi="Arial"/>
          <w:sz w:val="13"/>
          <w:szCs w:val="13"/>
          <w:color w:val="221F1F"/>
        </w:rPr>
        <w:t>When the timing of delivery of service is different from the timing of the payments made by customers and when the right to consideration is conditioned on something other</w:t>
      </w:r>
      <w:r>
        <w:rPr>
          <w:rFonts w:ascii="Arial" w:cs="Arial" w:eastAsia="Arial" w:hAnsi="Arial"/>
          <w:sz w:val="13"/>
          <w:szCs w:val="13"/>
          <w:b w:val="1"/>
          <w:bCs w:val="1"/>
          <w:i w:val="1"/>
          <w:iCs w:val="1"/>
          <w:color w:val="221F1F"/>
        </w:rPr>
        <w:t xml:space="preserve"> </w:t>
      </w:r>
      <w:r>
        <w:rPr>
          <w:rFonts w:ascii="Arial" w:cs="Arial" w:eastAsia="Arial" w:hAnsi="Arial"/>
          <w:sz w:val="13"/>
          <w:szCs w:val="13"/>
          <w:color w:val="221F1F"/>
        </w:rPr>
        <w:t>than the passage of time, the Registrants recognize either a contract asset (performance precedes billing) or a contract liability (customer payment precedes performance). Those customers that prepay are represented by contract liabilities until the performance obligations are satisfied. The Registrants’ contract assets are included in Accrued unbilled revenues in their Condensed Consolidated Balance Sheets. On an aggregate basis as of September 30, 2019, the Registrants’ contract assets primarily relate to contracts in the Infrastructure Services segment where revenue is recognized using the input method. The Registrants’ contract liabilities are included in Accounts payable and Other current liabilities in their Condensed Consolidated Balance Sheets. On an aggregate basis as of September 30, 2019, the Registrants’ contract liabilities primarily relate to ESG contracts where revenue is recognized using the input method.</w:t>
      </w:r>
    </w:p>
    <w:p>
      <w:pPr>
        <w:spacing w:after="0" w:line="134" w:lineRule="exact"/>
        <w:rPr>
          <w:sz w:val="20"/>
          <w:szCs w:val="20"/>
          <w:color w:val="auto"/>
        </w:rPr>
      </w:pPr>
    </w:p>
    <w:p>
      <w:pPr>
        <w:ind w:left="260"/>
        <w:spacing w:after="0"/>
        <w:rPr>
          <w:sz w:val="20"/>
          <w:szCs w:val="20"/>
          <w:color w:val="auto"/>
        </w:rPr>
      </w:pPr>
      <w:r>
        <w:rPr>
          <w:rFonts w:ascii="Arial" w:cs="Arial" w:eastAsia="Arial" w:hAnsi="Arial"/>
          <w:sz w:val="13"/>
          <w:szCs w:val="13"/>
          <w:color w:val="221F1F"/>
        </w:rPr>
        <w:t>The opening and closing balances of accounts receivable, other accrued unbilled revenue, contract assets and contract liabilities from contracts with customers for the nine months ended</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color w:val="221F1F"/>
        </w:rPr>
        <w:t>September 30, 2019 are as follows:</w:t>
      </w:r>
    </w:p>
    <w:p>
      <w:pPr>
        <w:spacing w:after="0" w:line="17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CenterPoint Energy</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5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4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Accounts Receivable</w:t>
            </w:r>
          </w:p>
        </w:tc>
        <w:tc>
          <w:tcPr>
            <w:tcW w:w="120" w:type="dxa"/>
            <w:vAlign w:val="bottom"/>
          </w:tcPr>
          <w:p>
            <w:pPr>
              <w:spacing w:after="0"/>
              <w:rPr>
                <w:sz w:val="10"/>
                <w:szCs w:val="10"/>
                <w:color w:val="auto"/>
              </w:rPr>
            </w:pPr>
          </w:p>
        </w:tc>
        <w:tc>
          <w:tcPr>
            <w:tcW w:w="150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6"/>
              </w:rPr>
              <w:t>Other Accrued Unbilled</w:t>
            </w:r>
          </w:p>
        </w:tc>
        <w:tc>
          <w:tcPr>
            <w:tcW w:w="380" w:type="dxa"/>
            <w:vAlign w:val="bottom"/>
          </w:tcPr>
          <w:p>
            <w:pPr>
              <w:spacing w:after="0"/>
              <w:rPr>
                <w:sz w:val="10"/>
                <w:szCs w:val="10"/>
                <w:color w:val="auto"/>
              </w:rPr>
            </w:pPr>
          </w:p>
        </w:tc>
        <w:tc>
          <w:tcPr>
            <w:tcW w:w="1220" w:type="dxa"/>
            <w:vAlign w:val="bottom"/>
            <w:gridSpan w:val="2"/>
          </w:tcPr>
          <w:p>
            <w:pPr>
              <w:jc w:val="center"/>
              <w:ind w:right="500"/>
              <w:spacing w:after="0"/>
              <w:rPr>
                <w:sz w:val="20"/>
                <w:szCs w:val="20"/>
                <w:color w:val="auto"/>
              </w:rPr>
            </w:pPr>
            <w:r>
              <w:rPr>
                <w:rFonts w:ascii="Arial" w:cs="Arial" w:eastAsia="Arial" w:hAnsi="Arial"/>
                <w:sz w:val="11"/>
                <w:szCs w:val="11"/>
                <w:b w:val="1"/>
                <w:bCs w:val="1"/>
                <w:color w:val="auto"/>
                <w:w w:val="97"/>
              </w:rPr>
              <w:t>Contract</w:t>
            </w:r>
          </w:p>
        </w:tc>
        <w:tc>
          <w:tcPr>
            <w:tcW w:w="160" w:type="dxa"/>
            <w:vAlign w:val="bottom"/>
          </w:tcPr>
          <w:p>
            <w:pPr>
              <w:spacing w:after="0"/>
              <w:rPr>
                <w:sz w:val="10"/>
                <w:szCs w:val="10"/>
                <w:color w:val="auto"/>
              </w:rPr>
            </w:pPr>
          </w:p>
        </w:tc>
        <w:tc>
          <w:tcPr>
            <w:tcW w:w="1300" w:type="dxa"/>
            <w:vAlign w:val="bottom"/>
            <w:vMerge w:val="restart"/>
          </w:tcPr>
          <w:p>
            <w:pPr>
              <w:jc w:val="right"/>
              <w:ind w:right="192"/>
              <w:spacing w:after="0"/>
              <w:rPr>
                <w:sz w:val="20"/>
                <w:szCs w:val="20"/>
                <w:color w:val="auto"/>
              </w:rPr>
            </w:pPr>
            <w:r>
              <w:rPr>
                <w:rFonts w:ascii="Arial" w:cs="Arial" w:eastAsia="Arial" w:hAnsi="Arial"/>
                <w:sz w:val="11"/>
                <w:szCs w:val="11"/>
                <w:b w:val="1"/>
                <w:bCs w:val="1"/>
                <w:color w:val="auto"/>
              </w:rPr>
              <w:t>Contract Liabilities</w:t>
            </w:r>
          </w:p>
        </w:tc>
        <w:tc>
          <w:tcPr>
            <w:tcW w:w="0" w:type="dxa"/>
            <w:vAlign w:val="bottom"/>
          </w:tcPr>
          <w:p>
            <w:pPr>
              <w:spacing w:after="0"/>
              <w:rPr>
                <w:sz w:val="1"/>
                <w:szCs w:val="1"/>
                <w:color w:val="auto"/>
              </w:rPr>
            </w:pPr>
          </w:p>
        </w:tc>
      </w:tr>
      <w:tr>
        <w:trPr>
          <w:trHeight w:val="153"/>
        </w:trPr>
        <w:tc>
          <w:tcPr>
            <w:tcW w:w="516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gridSpan w:val="2"/>
            <w:vMerge w:val="continue"/>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1"/>
                <w:szCs w:val="11"/>
                <w:b w:val="1"/>
                <w:bCs w:val="1"/>
                <w:color w:val="auto"/>
                <w:w w:val="88"/>
              </w:rPr>
              <w:t>Revenues</w:t>
            </w:r>
          </w:p>
        </w:tc>
        <w:tc>
          <w:tcPr>
            <w:tcW w:w="38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gridSpan w:val="2"/>
          </w:tcPr>
          <w:p>
            <w:pPr>
              <w:jc w:val="center"/>
              <w:ind w:right="480"/>
              <w:spacing w:after="0"/>
              <w:rPr>
                <w:sz w:val="20"/>
                <w:szCs w:val="20"/>
                <w:color w:val="auto"/>
              </w:rPr>
            </w:pPr>
            <w:r>
              <w:rPr>
                <w:rFonts w:ascii="Arial" w:cs="Arial" w:eastAsia="Arial" w:hAnsi="Arial"/>
                <w:sz w:val="11"/>
                <w:szCs w:val="11"/>
                <w:b w:val="1"/>
                <w:bCs w:val="1"/>
                <w:color w:val="auto"/>
                <w:w w:val="83"/>
              </w:rPr>
              <w:t>Assets</w:t>
            </w:r>
          </w:p>
        </w:tc>
        <w:tc>
          <w:tcPr>
            <w:tcW w:w="16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5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80" w:type="dxa"/>
            <w:vAlign w:val="bottom"/>
            <w:gridSpan w:val="3"/>
          </w:tcPr>
          <w:p>
            <w:pPr>
              <w:jc w:val="right"/>
              <w:ind w:right="88"/>
              <w:spacing w:after="0"/>
              <w:rPr>
                <w:sz w:val="20"/>
                <w:szCs w:val="20"/>
                <w:color w:val="auto"/>
              </w:rPr>
            </w:pPr>
            <w:r>
              <w:rPr>
                <w:rFonts w:ascii="Arial" w:cs="Arial" w:eastAsia="Arial" w:hAnsi="Arial"/>
                <w:sz w:val="11"/>
                <w:szCs w:val="11"/>
                <w:b w:val="1"/>
                <w:bCs w:val="1"/>
                <w:color w:val="auto"/>
              </w:rPr>
              <w:t>(in millions)</w:t>
            </w: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 xml:space="preserve">Opening balance as of December 31, 2018 </w:t>
            </w:r>
            <w:r>
              <w:rPr>
                <w:rFonts w:ascii="Arial" w:cs="Arial" w:eastAsia="Arial" w:hAnsi="Arial"/>
                <w:sz w:val="11"/>
                <w:szCs w:val="11"/>
                <w:color w:val="auto"/>
              </w:rPr>
              <w:t>(1)</w:t>
            </w: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763</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4"/>
                <w:szCs w:val="14"/>
                <w:color w:val="auto"/>
              </w:rPr>
              <w:t>575</w:t>
            </w:r>
          </w:p>
        </w:tc>
        <w:tc>
          <w:tcPr>
            <w:tcW w:w="12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4"/>
                <w:szCs w:val="14"/>
                <w:color w:val="auto"/>
              </w:rPr>
              <w:t>37</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193"/>
        </w:trPr>
        <w:tc>
          <w:tcPr>
            <w:tcW w:w="5160" w:type="dxa"/>
            <w:vAlign w:val="bottom"/>
          </w:tcPr>
          <w:p>
            <w:pPr>
              <w:ind w:left="20"/>
              <w:spacing w:after="0"/>
              <w:rPr>
                <w:sz w:val="20"/>
                <w:szCs w:val="20"/>
                <w:color w:val="auto"/>
              </w:rPr>
            </w:pPr>
            <w:r>
              <w:rPr>
                <w:rFonts w:ascii="Arial" w:cs="Arial" w:eastAsia="Arial" w:hAnsi="Arial"/>
                <w:sz w:val="14"/>
                <w:szCs w:val="14"/>
                <w:color w:val="auto"/>
              </w:rPr>
              <w:t>Closing balance as of September 30, 2019</w:t>
            </w:r>
          </w:p>
        </w:tc>
        <w:tc>
          <w:tcPr>
            <w:tcW w:w="180" w:type="dxa"/>
            <w:vAlign w:val="bottom"/>
          </w:tcPr>
          <w:p>
            <w:pPr>
              <w:spacing w:after="0"/>
              <w:rPr>
                <w:sz w:val="16"/>
                <w:szCs w:val="16"/>
                <w:color w:val="auto"/>
              </w:rPr>
            </w:pPr>
          </w:p>
        </w:tc>
        <w:tc>
          <w:tcPr>
            <w:tcW w:w="1320" w:type="dxa"/>
            <w:vAlign w:val="bottom"/>
          </w:tcPr>
          <w:p>
            <w:pPr>
              <w:jc w:val="right"/>
              <w:ind w:right="51"/>
              <w:spacing w:after="0"/>
              <w:rPr>
                <w:sz w:val="20"/>
                <w:szCs w:val="20"/>
                <w:color w:val="auto"/>
              </w:rPr>
            </w:pPr>
            <w:r>
              <w:rPr>
                <w:rFonts w:ascii="Arial" w:cs="Arial" w:eastAsia="Arial" w:hAnsi="Arial"/>
                <w:sz w:val="14"/>
                <w:szCs w:val="14"/>
                <w:color w:val="auto"/>
              </w:rPr>
              <w:t>779</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jc w:val="right"/>
              <w:ind w:right="55"/>
              <w:spacing w:after="0"/>
              <w:rPr>
                <w:sz w:val="20"/>
                <w:szCs w:val="20"/>
                <w:color w:val="auto"/>
              </w:rPr>
            </w:pPr>
            <w:r>
              <w:rPr>
                <w:rFonts w:ascii="Arial" w:cs="Arial" w:eastAsia="Arial" w:hAnsi="Arial"/>
                <w:sz w:val="14"/>
                <w:szCs w:val="14"/>
                <w:color w:val="auto"/>
              </w:rPr>
              <w:t>403</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00" w:type="dxa"/>
            <w:vAlign w:val="bottom"/>
          </w:tcPr>
          <w:p>
            <w:pPr>
              <w:jc w:val="right"/>
              <w:ind w:right="34"/>
              <w:spacing w:after="0"/>
              <w:rPr>
                <w:sz w:val="20"/>
                <w:szCs w:val="20"/>
                <w:color w:val="auto"/>
              </w:rPr>
            </w:pPr>
            <w:r>
              <w:rPr>
                <w:rFonts w:ascii="Arial" w:cs="Arial" w:eastAsia="Arial" w:hAnsi="Arial"/>
                <w:sz w:val="14"/>
                <w:szCs w:val="14"/>
                <w:color w:val="auto"/>
              </w:rPr>
              <w:t>75</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jc w:val="right"/>
              <w:ind w:right="32"/>
              <w:spacing w:after="0"/>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23"/>
        </w:trPr>
        <w:tc>
          <w:tcPr>
            <w:tcW w:w="51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Increase (decrease)</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16</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(172)</w:t>
            </w:r>
          </w:p>
        </w:tc>
        <w:tc>
          <w:tcPr>
            <w:tcW w:w="12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4"/>
                <w:szCs w:val="14"/>
                <w:color w:val="auto"/>
              </w:rPr>
              <w:t>38</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6"/>
        </w:trPr>
        <w:tc>
          <w:tcPr>
            <w:tcW w:w="5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jc w:val="right"/>
              <w:ind w:right="791"/>
              <w:spacing w:after="0"/>
              <w:rPr>
                <w:sz w:val="20"/>
                <w:szCs w:val="20"/>
                <w:color w:val="auto"/>
              </w:rPr>
            </w:pPr>
            <w:r>
              <w:rPr>
                <w:rFonts w:ascii="Arial" w:cs="Arial" w:eastAsia="Arial" w:hAnsi="Arial"/>
                <w:sz w:val="14"/>
                <w:szCs w:val="14"/>
                <w:color w:val="auto"/>
              </w:rPr>
              <w:t>27</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20" w:top="129" w:right="219" w:bottom="1440" w:gutter="0" w:footer="0" w:header="0"/>
        </w:sectPr>
      </w:pPr>
    </w:p>
    <w:bookmarkStart w:id="37" w:name="page38"/>
    <w:bookmarkEnd w:id="37"/>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205" w:lineRule="exact"/>
        <w:rPr>
          <w:sz w:val="20"/>
          <w:szCs w:val="20"/>
          <w:color w:val="auto"/>
        </w:rPr>
      </w:pPr>
    </w:p>
    <w:p>
      <w:pPr>
        <w:ind w:left="260"/>
        <w:spacing w:after="0"/>
        <w:rPr>
          <w:sz w:val="20"/>
          <w:szCs w:val="20"/>
          <w:color w:val="auto"/>
        </w:rPr>
      </w:pPr>
      <w:r>
        <w:rPr>
          <w:rFonts w:ascii="Arial" w:cs="Arial" w:eastAsia="Arial" w:hAnsi="Arial"/>
          <w:sz w:val="14"/>
          <w:szCs w:val="14"/>
          <w:color w:val="221F1F"/>
        </w:rPr>
        <w:t>(1)  Opening balances related to Vectren are as of February 1, 2019.</w:t>
      </w:r>
    </w:p>
    <w:p>
      <w:pPr>
        <w:spacing w:after="0" w:line="184" w:lineRule="exact"/>
        <w:rPr>
          <w:sz w:val="20"/>
          <w:szCs w:val="20"/>
          <w:color w:val="auto"/>
        </w:rPr>
      </w:pPr>
    </w:p>
    <w:p>
      <w:pPr>
        <w:jc w:val="both"/>
        <w:ind w:firstLine="259"/>
        <w:spacing w:after="0" w:line="288" w:lineRule="auto"/>
        <w:rPr>
          <w:sz w:val="20"/>
          <w:szCs w:val="20"/>
          <w:color w:val="auto"/>
        </w:rPr>
      </w:pPr>
      <w:r>
        <w:rPr>
          <w:rFonts w:ascii="Arial" w:cs="Arial" w:eastAsia="Arial" w:hAnsi="Arial"/>
          <w:sz w:val="14"/>
          <w:szCs w:val="14"/>
          <w:color w:val="221F1F"/>
        </w:rPr>
        <w:t>The amount of revenue recognized in the nine-month period ended September 30, 2019 that was included in the opening contract liability was $46 million. The difference between the opening and closing balances of the contract liabilities primarily results from the timing difference between CenterPoint Energy’s performance and the customer’s payment.</w:t>
      </w:r>
    </w:p>
    <w:p>
      <w:pPr>
        <w:spacing w:after="0" w:line="12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Houston Electric</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6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6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Accounts Receivable</w:t>
            </w:r>
          </w:p>
        </w:tc>
        <w:tc>
          <w:tcPr>
            <w:tcW w:w="120" w:type="dxa"/>
            <w:vAlign w:val="bottom"/>
          </w:tcPr>
          <w:p>
            <w:pPr>
              <w:spacing w:after="0"/>
              <w:rPr>
                <w:sz w:val="10"/>
                <w:szCs w:val="10"/>
                <w:color w:val="auto"/>
              </w:rPr>
            </w:pPr>
          </w:p>
        </w:tc>
        <w:tc>
          <w:tcPr>
            <w:tcW w:w="148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7"/>
              </w:rPr>
              <w:t>Other Accrued Unbilled</w:t>
            </w:r>
          </w:p>
        </w:tc>
        <w:tc>
          <w:tcPr>
            <w:tcW w:w="160" w:type="dxa"/>
            <w:vAlign w:val="bottom"/>
          </w:tcPr>
          <w:p>
            <w:pPr>
              <w:spacing w:after="0"/>
              <w:rPr>
                <w:sz w:val="10"/>
                <w:szCs w:val="10"/>
                <w:color w:val="auto"/>
              </w:rPr>
            </w:pPr>
          </w:p>
        </w:tc>
        <w:tc>
          <w:tcPr>
            <w:tcW w:w="1300" w:type="dxa"/>
            <w:vAlign w:val="bottom"/>
            <w:vMerge w:val="restart"/>
          </w:tcPr>
          <w:p>
            <w:pPr>
              <w:jc w:val="right"/>
              <w:ind w:right="192"/>
              <w:spacing w:after="0"/>
              <w:rPr>
                <w:sz w:val="20"/>
                <w:szCs w:val="20"/>
                <w:color w:val="auto"/>
              </w:rPr>
            </w:pPr>
            <w:r>
              <w:rPr>
                <w:rFonts w:ascii="Arial" w:cs="Arial" w:eastAsia="Arial" w:hAnsi="Arial"/>
                <w:sz w:val="11"/>
                <w:szCs w:val="11"/>
                <w:b w:val="1"/>
                <w:bCs w:val="1"/>
                <w:color w:val="auto"/>
              </w:rPr>
              <w:t>Contract Liabilities</w:t>
            </w:r>
          </w:p>
        </w:tc>
        <w:tc>
          <w:tcPr>
            <w:tcW w:w="0" w:type="dxa"/>
            <w:vAlign w:val="bottom"/>
          </w:tcPr>
          <w:p>
            <w:pPr>
              <w:spacing w:after="0"/>
              <w:rPr>
                <w:sz w:val="1"/>
                <w:szCs w:val="1"/>
                <w:color w:val="auto"/>
              </w:rPr>
            </w:pPr>
          </w:p>
        </w:tc>
      </w:tr>
      <w:tr>
        <w:trPr>
          <w:trHeight w:val="153"/>
        </w:trPr>
        <w:tc>
          <w:tcPr>
            <w:tcW w:w="67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gridSpan w:val="2"/>
            <w:vMerge w:val="continue"/>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1"/>
                <w:szCs w:val="11"/>
                <w:b w:val="1"/>
                <w:bCs w:val="1"/>
                <w:color w:val="auto"/>
                <w:w w:val="92"/>
              </w:rPr>
              <w:t>Revenues</w:t>
            </w:r>
          </w:p>
        </w:tc>
        <w:tc>
          <w:tcPr>
            <w:tcW w:w="16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6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3"/>
              </w:rPr>
              <w:t>(in millions)</w:t>
            </w: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6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Opening balance as of December 31, 2018</w:t>
            </w: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3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234</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4"/>
                <w:szCs w:val="14"/>
                <w:color w:val="auto"/>
              </w:rPr>
              <w:t>110</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93"/>
        </w:trPr>
        <w:tc>
          <w:tcPr>
            <w:tcW w:w="6780" w:type="dxa"/>
            <w:vAlign w:val="bottom"/>
          </w:tcPr>
          <w:p>
            <w:pPr>
              <w:ind w:left="20"/>
              <w:spacing w:after="0"/>
              <w:rPr>
                <w:sz w:val="20"/>
                <w:szCs w:val="20"/>
                <w:color w:val="auto"/>
              </w:rPr>
            </w:pPr>
            <w:r>
              <w:rPr>
                <w:rFonts w:ascii="Arial" w:cs="Arial" w:eastAsia="Arial" w:hAnsi="Arial"/>
                <w:sz w:val="14"/>
                <w:szCs w:val="14"/>
                <w:color w:val="auto"/>
              </w:rPr>
              <w:t>Closing balance as of September 30, 2019</w:t>
            </w:r>
          </w:p>
        </w:tc>
        <w:tc>
          <w:tcPr>
            <w:tcW w:w="160" w:type="dxa"/>
            <w:vAlign w:val="bottom"/>
          </w:tcPr>
          <w:p>
            <w:pPr>
              <w:spacing w:after="0"/>
              <w:rPr>
                <w:sz w:val="16"/>
                <w:szCs w:val="16"/>
                <w:color w:val="auto"/>
              </w:rPr>
            </w:pPr>
          </w:p>
        </w:tc>
        <w:tc>
          <w:tcPr>
            <w:tcW w:w="1340" w:type="dxa"/>
            <w:vAlign w:val="bottom"/>
          </w:tcPr>
          <w:p>
            <w:pPr>
              <w:jc w:val="right"/>
              <w:ind w:right="52"/>
              <w:spacing w:after="0"/>
              <w:rPr>
                <w:sz w:val="20"/>
                <w:szCs w:val="20"/>
                <w:color w:val="auto"/>
              </w:rPr>
            </w:pPr>
            <w:r>
              <w:rPr>
                <w:rFonts w:ascii="Arial" w:cs="Arial" w:eastAsia="Arial" w:hAnsi="Arial"/>
                <w:sz w:val="14"/>
                <w:szCs w:val="14"/>
                <w:color w:val="auto"/>
              </w:rPr>
              <w:t>325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jc w:val="right"/>
              <w:ind w:right="35"/>
              <w:spacing w:after="0"/>
              <w:rPr>
                <w:sz w:val="20"/>
                <w:szCs w:val="20"/>
                <w:color w:val="auto"/>
              </w:rPr>
            </w:pPr>
            <w:r>
              <w:rPr>
                <w:rFonts w:ascii="Arial" w:cs="Arial" w:eastAsia="Arial" w:hAnsi="Arial"/>
                <w:sz w:val="14"/>
                <w:szCs w:val="14"/>
                <w:color w:val="auto"/>
              </w:rPr>
              <w:t>136</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jc w:val="right"/>
              <w:ind w:right="32"/>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3"/>
        </w:trPr>
        <w:tc>
          <w:tcPr>
            <w:tcW w:w="67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6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Increase</w:t>
            </w: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3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91</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6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4"/>
                <w:szCs w:val="14"/>
                <w:color w:val="auto"/>
              </w:rPr>
              <w:t>26</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3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0"/>
        </w:trPr>
        <w:tc>
          <w:tcPr>
            <w:tcW w:w="6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2" w:lineRule="exact"/>
        <w:rPr>
          <w:sz w:val="20"/>
          <w:szCs w:val="20"/>
          <w:color w:val="auto"/>
        </w:rPr>
      </w:pPr>
    </w:p>
    <w:p>
      <w:pPr>
        <w:jc w:val="both"/>
        <w:ind w:firstLine="259"/>
        <w:spacing w:after="0" w:line="288" w:lineRule="auto"/>
        <w:rPr>
          <w:sz w:val="20"/>
          <w:szCs w:val="20"/>
          <w:color w:val="auto"/>
        </w:rPr>
      </w:pPr>
      <w:r>
        <w:rPr>
          <w:rFonts w:ascii="Arial" w:cs="Arial" w:eastAsia="Arial" w:hAnsi="Arial"/>
          <w:sz w:val="14"/>
          <w:szCs w:val="14"/>
          <w:color w:val="221F1F"/>
        </w:rPr>
        <w:t>The amount of revenue recognized in the nine-month period ended September 30, 2019 that was included in the opening contract liability was $3 million. The difference between the opening and closing balances of the contract liabilities primarily results from the timing difference between Houston Electric’s performance and the customer’s payment.</w:t>
      </w:r>
    </w:p>
    <w:p>
      <w:pPr>
        <w:spacing w:after="0" w:line="12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CERC</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7680" w:type="dxa"/>
            <w:vAlign w:val="bottom"/>
          </w:tcPr>
          <w:p>
            <w:pPr>
              <w:spacing w:after="0"/>
              <w:rPr>
                <w:sz w:val="13"/>
                <w:szCs w:val="13"/>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Accounts Receivable</w:t>
            </w:r>
          </w:p>
        </w:tc>
        <w:tc>
          <w:tcPr>
            <w:tcW w:w="4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800" w:type="dxa"/>
            <w:vAlign w:val="bottom"/>
            <w:tcBorders>
              <w:bottom w:val="single" w:sz="8" w:color="auto"/>
            </w:tcBorders>
            <w:gridSpan w:val="2"/>
          </w:tcPr>
          <w:p>
            <w:pPr>
              <w:jc w:val="right"/>
              <w:spacing w:after="0"/>
              <w:rPr>
                <w:sz w:val="20"/>
                <w:szCs w:val="20"/>
                <w:color w:val="auto"/>
              </w:rPr>
            </w:pPr>
            <w:r>
              <w:rPr>
                <w:rFonts w:ascii="Arial" w:cs="Arial" w:eastAsia="Arial" w:hAnsi="Arial"/>
                <w:sz w:val="11"/>
                <w:szCs w:val="11"/>
                <w:b w:val="1"/>
                <w:bCs w:val="1"/>
                <w:color w:val="auto"/>
                <w:w w:val="96"/>
              </w:rPr>
              <w:t>Other Accrued Unbilled Revenues</w:t>
            </w:r>
          </w:p>
        </w:tc>
      </w:tr>
      <w:tr>
        <w:trPr>
          <w:trHeight w:val="196"/>
        </w:trPr>
        <w:tc>
          <w:tcPr>
            <w:tcW w:w="76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340" w:type="dxa"/>
            <w:vAlign w:val="bottom"/>
            <w:gridSpan w:val="3"/>
          </w:tcPr>
          <w:p>
            <w:pPr>
              <w:jc w:val="right"/>
              <w:ind w:right="533"/>
              <w:spacing w:after="0"/>
              <w:rPr>
                <w:sz w:val="20"/>
                <w:szCs w:val="20"/>
                <w:color w:val="auto"/>
              </w:rPr>
            </w:pPr>
            <w:r>
              <w:rPr>
                <w:rFonts w:ascii="Arial" w:cs="Arial" w:eastAsia="Arial" w:hAnsi="Arial"/>
                <w:sz w:val="11"/>
                <w:szCs w:val="11"/>
                <w:b w:val="1"/>
                <w:bCs w:val="1"/>
                <w:color w:val="auto"/>
              </w:rPr>
              <w:t>(in millions)</w:t>
            </w:r>
          </w:p>
        </w:tc>
        <w:tc>
          <w:tcPr>
            <w:tcW w:w="980" w:type="dxa"/>
            <w:vAlign w:val="bottom"/>
          </w:tcPr>
          <w:p>
            <w:pPr>
              <w:spacing w:after="0"/>
              <w:rPr>
                <w:sz w:val="17"/>
                <w:szCs w:val="17"/>
                <w:color w:val="auto"/>
              </w:rPr>
            </w:pPr>
          </w:p>
        </w:tc>
      </w:tr>
      <w:tr>
        <w:trPr>
          <w:trHeight w:val="200"/>
        </w:trPr>
        <w:tc>
          <w:tcPr>
            <w:tcW w:w="7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Opening balance as of December 31, 2018</w:t>
            </w:r>
          </w:p>
        </w:tc>
        <w:tc>
          <w:tcPr>
            <w:tcW w:w="1460" w:type="dxa"/>
            <w:vAlign w:val="bottom"/>
            <w:tcBorders>
              <w:bottom w:val="single" w:sz="8" w:color="CCEEFF"/>
            </w:tcBorders>
            <w:shd w:val="clear" w:color="auto" w:fill="CCEEFF"/>
          </w:tcPr>
          <w:p>
            <w:pPr>
              <w:jc w:val="right"/>
              <w:ind w:right="1293"/>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282</w:t>
            </w:r>
          </w:p>
        </w:tc>
        <w:tc>
          <w:tcPr>
            <w:tcW w:w="12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ind w:right="673"/>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263</w:t>
            </w:r>
          </w:p>
        </w:tc>
      </w:tr>
      <w:tr>
        <w:trPr>
          <w:trHeight w:val="193"/>
        </w:trPr>
        <w:tc>
          <w:tcPr>
            <w:tcW w:w="7680" w:type="dxa"/>
            <w:vAlign w:val="bottom"/>
          </w:tcPr>
          <w:p>
            <w:pPr>
              <w:ind w:left="20"/>
              <w:spacing w:after="0"/>
              <w:rPr>
                <w:sz w:val="20"/>
                <w:szCs w:val="20"/>
                <w:color w:val="auto"/>
              </w:rPr>
            </w:pPr>
            <w:r>
              <w:rPr>
                <w:rFonts w:ascii="Arial" w:cs="Arial" w:eastAsia="Arial" w:hAnsi="Arial"/>
                <w:sz w:val="14"/>
                <w:szCs w:val="14"/>
                <w:color w:val="auto"/>
              </w:rPr>
              <w:t>Closing balance as of September 30, 2019</w:t>
            </w:r>
          </w:p>
        </w:tc>
        <w:tc>
          <w:tcPr>
            <w:tcW w:w="1460" w:type="dxa"/>
            <w:vAlign w:val="bottom"/>
          </w:tcPr>
          <w:p>
            <w:pPr>
              <w:spacing w:after="0"/>
              <w:rPr>
                <w:sz w:val="16"/>
                <w:szCs w:val="16"/>
                <w:color w:val="auto"/>
              </w:rPr>
            </w:pPr>
          </w:p>
        </w:tc>
        <w:tc>
          <w:tcPr>
            <w:tcW w:w="400" w:type="dxa"/>
            <w:vAlign w:val="bottom"/>
          </w:tcPr>
          <w:p>
            <w:pPr>
              <w:jc w:val="right"/>
              <w:ind w:right="52"/>
              <w:spacing w:after="0"/>
              <w:rPr>
                <w:sz w:val="20"/>
                <w:szCs w:val="20"/>
                <w:color w:val="auto"/>
              </w:rPr>
            </w:pPr>
            <w:r>
              <w:rPr>
                <w:rFonts w:ascii="Arial" w:cs="Arial" w:eastAsia="Arial" w:hAnsi="Arial"/>
                <w:sz w:val="14"/>
                <w:szCs w:val="14"/>
                <w:color w:val="auto"/>
              </w:rPr>
              <w:t>137</w:t>
            </w: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82</w:t>
            </w:r>
          </w:p>
        </w:tc>
      </w:tr>
      <w:tr>
        <w:trPr>
          <w:trHeight w:val="23"/>
        </w:trPr>
        <w:tc>
          <w:tcPr>
            <w:tcW w:w="768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00"/>
        </w:trPr>
        <w:tc>
          <w:tcPr>
            <w:tcW w:w="76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Decrease</w:t>
            </w:r>
          </w:p>
        </w:tc>
        <w:tc>
          <w:tcPr>
            <w:tcW w:w="1460" w:type="dxa"/>
            <w:vAlign w:val="bottom"/>
            <w:tcBorders>
              <w:bottom w:val="single" w:sz="8" w:color="auto"/>
            </w:tcBorders>
            <w:shd w:val="clear" w:color="auto" w:fill="CCEEFF"/>
          </w:tcPr>
          <w:p>
            <w:pPr>
              <w:jc w:val="right"/>
              <w:ind w:right="1293"/>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color w:val="auto"/>
                <w:w w:val="91"/>
              </w:rPr>
              <w:t>(145)</w:t>
            </w:r>
          </w:p>
        </w:tc>
        <w:tc>
          <w:tcPr>
            <w:tcW w:w="12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ind w:right="673"/>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(181)</w:t>
            </w:r>
          </w:p>
        </w:tc>
      </w:tr>
      <w:tr>
        <w:trPr>
          <w:trHeight w:val="20"/>
        </w:trPr>
        <w:tc>
          <w:tcPr>
            <w:tcW w:w="768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62" w:lineRule="exact"/>
        <w:rPr>
          <w:sz w:val="20"/>
          <w:szCs w:val="20"/>
          <w:color w:val="auto"/>
        </w:rPr>
      </w:pPr>
    </w:p>
    <w:p>
      <w:pPr>
        <w:ind w:left="260"/>
        <w:spacing w:after="0"/>
        <w:rPr>
          <w:sz w:val="20"/>
          <w:szCs w:val="20"/>
          <w:color w:val="auto"/>
        </w:rPr>
      </w:pPr>
      <w:r>
        <w:rPr>
          <w:rFonts w:ascii="Arial" w:cs="Arial" w:eastAsia="Arial" w:hAnsi="Arial"/>
          <w:sz w:val="14"/>
          <w:szCs w:val="14"/>
          <w:color w:val="221F1F"/>
        </w:rPr>
        <w:t>CERC does not have any opening or closing contract asset or contract liability balances.</w:t>
      </w:r>
    </w:p>
    <w:p>
      <w:pPr>
        <w:spacing w:after="0" w:line="184" w:lineRule="exact"/>
        <w:rPr>
          <w:sz w:val="20"/>
          <w:szCs w:val="20"/>
          <w:color w:val="auto"/>
        </w:rPr>
      </w:pPr>
    </w:p>
    <w:p>
      <w:pPr>
        <w:jc w:val="both"/>
        <w:ind w:firstLine="259"/>
        <w:spacing w:after="0" w:line="272" w:lineRule="auto"/>
        <w:rPr>
          <w:sz w:val="20"/>
          <w:szCs w:val="20"/>
          <w:color w:val="auto"/>
        </w:rPr>
      </w:pPr>
      <w:r>
        <w:rPr>
          <w:rFonts w:ascii="Arial" w:cs="Arial" w:eastAsia="Arial" w:hAnsi="Arial"/>
          <w:sz w:val="14"/>
          <w:szCs w:val="14"/>
          <w:b w:val="1"/>
          <w:bCs w:val="1"/>
          <w:i w:val="1"/>
          <w:iCs w:val="1"/>
          <w:color w:val="221E1F"/>
        </w:rPr>
        <w:t xml:space="preserve">Remaining Performance Obligations (CenterPoint Energy). </w:t>
      </w:r>
      <w:r>
        <w:rPr>
          <w:rFonts w:ascii="Arial" w:cs="Arial" w:eastAsia="Arial" w:hAnsi="Arial"/>
          <w:sz w:val="14"/>
          <w:szCs w:val="14"/>
          <w:color w:val="221F1F"/>
        </w:rPr>
        <w:t>The table below discloses (1) the aggregate amount of the transaction price allocated to performance obligations that are unsatisfied</w:t>
      </w:r>
      <w:r>
        <w:rPr>
          <w:rFonts w:ascii="Arial" w:cs="Arial" w:eastAsia="Arial" w:hAnsi="Arial"/>
          <w:sz w:val="14"/>
          <w:szCs w:val="14"/>
          <w:b w:val="1"/>
          <w:bCs w:val="1"/>
          <w:i w:val="1"/>
          <w:iCs w:val="1"/>
          <w:color w:val="221E1F"/>
        </w:rPr>
        <w:t xml:space="preserve"> </w:t>
      </w:r>
      <w:r>
        <w:rPr>
          <w:rFonts w:ascii="Arial" w:cs="Arial" w:eastAsia="Arial" w:hAnsi="Arial"/>
          <w:sz w:val="14"/>
          <w:szCs w:val="14"/>
          <w:color w:val="221F1F"/>
        </w:rPr>
        <w:t>(or partially unsatisfied) as of the end of the reporting period for contracts and (2) when CenterPoint Energy expects to recognize this revenue. Such contracts include fixed price contracts in the Infrastructure Services reportable segment.</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74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gridSpan w:val="2"/>
          </w:tcPr>
          <w:p>
            <w:pPr>
              <w:ind w:left="40"/>
              <w:spacing w:after="0"/>
              <w:rPr>
                <w:sz w:val="20"/>
                <w:szCs w:val="20"/>
                <w:color w:val="auto"/>
              </w:rPr>
            </w:pPr>
            <w:r>
              <w:rPr>
                <w:rFonts w:ascii="Arial" w:cs="Arial" w:eastAsia="Arial" w:hAnsi="Arial"/>
                <w:sz w:val="11"/>
                <w:szCs w:val="11"/>
                <w:b w:val="1"/>
                <w:bCs w:val="1"/>
                <w:color w:val="auto"/>
              </w:rPr>
              <w:t>Rolling 12 Months</w:t>
            </w:r>
          </w:p>
        </w:tc>
        <w:tc>
          <w:tcPr>
            <w:tcW w:w="22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1"/>
                <w:szCs w:val="11"/>
                <w:b w:val="1"/>
                <w:bCs w:val="1"/>
                <w:color w:val="auto"/>
                <w:w w:val="96"/>
              </w:rPr>
              <w:t>Thereafter</w:t>
            </w:r>
          </w:p>
        </w:tc>
        <w:tc>
          <w:tcPr>
            <w:tcW w:w="3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433"/>
              <w:spacing w:after="0"/>
              <w:rPr>
                <w:sz w:val="20"/>
                <w:szCs w:val="20"/>
                <w:color w:val="auto"/>
              </w:rPr>
            </w:pPr>
            <w:r>
              <w:rPr>
                <w:rFonts w:ascii="Arial" w:cs="Arial" w:eastAsia="Arial" w:hAnsi="Arial"/>
                <w:sz w:val="11"/>
                <w:szCs w:val="11"/>
                <w:b w:val="1"/>
                <w:bCs w:val="1"/>
                <w:color w:val="auto"/>
              </w:rPr>
              <w:t>Total</w:t>
            </w:r>
          </w:p>
        </w:tc>
      </w:tr>
      <w:tr>
        <w:trPr>
          <w:trHeight w:val="191"/>
        </w:trPr>
        <w:tc>
          <w:tcPr>
            <w:tcW w:w="7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1"/>
                <w:szCs w:val="11"/>
                <w:b w:val="1"/>
                <w:bCs w:val="1"/>
                <w:color w:val="auto"/>
                <w:w w:val="93"/>
              </w:rPr>
              <w:t>(in millions)</w:t>
            </w: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02"/>
        </w:trPr>
        <w:tc>
          <w:tcPr>
            <w:tcW w:w="7460" w:type="dxa"/>
            <w:vAlign w:val="bottom"/>
          </w:tcPr>
          <w:p>
            <w:pPr>
              <w:ind w:left="20"/>
              <w:spacing w:after="0"/>
              <w:rPr>
                <w:sz w:val="20"/>
                <w:szCs w:val="20"/>
                <w:color w:val="auto"/>
              </w:rPr>
            </w:pPr>
            <w:r>
              <w:rPr>
                <w:rFonts w:ascii="Arial" w:cs="Arial" w:eastAsia="Arial" w:hAnsi="Arial"/>
                <w:sz w:val="14"/>
                <w:szCs w:val="14"/>
                <w:color w:val="auto"/>
              </w:rPr>
              <w:t>Revenue expected to be recognized on contracts in place as of September 30, 2019:</w:t>
            </w: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3"/>
        </w:trPr>
        <w:tc>
          <w:tcPr>
            <w:tcW w:w="7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16"/>
        </w:trPr>
        <w:tc>
          <w:tcPr>
            <w:tcW w:w="7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Fixed price (bid)</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4"/>
                <w:szCs w:val="14"/>
                <w:color w:val="auto"/>
              </w:rPr>
              <w:t>365</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CCEEFF"/>
            </w:tcBorders>
            <w:gridSpan w:val="2"/>
            <w:shd w:val="clear" w:color="auto" w:fill="CCEEFF"/>
          </w:tcPr>
          <w:p>
            <w:pPr>
              <w:ind w:left="800"/>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4"/>
                <w:szCs w:val="14"/>
                <w:color w:val="auto"/>
              </w:rPr>
              <w:t>365</w:t>
            </w:r>
          </w:p>
        </w:tc>
      </w:tr>
      <w:tr>
        <w:trPr>
          <w:trHeight w:val="184"/>
        </w:trPr>
        <w:tc>
          <w:tcPr>
            <w:tcW w:w="746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tcBorders>
              <w:top w:val="single" w:sz="8" w:color="auto"/>
            </w:tcBorders>
          </w:tcPr>
          <w:p>
            <w:pPr>
              <w:jc w:val="right"/>
              <w:ind w:right="53"/>
              <w:spacing w:after="0"/>
              <w:rPr>
                <w:sz w:val="20"/>
                <w:szCs w:val="20"/>
                <w:color w:val="auto"/>
              </w:rPr>
            </w:pPr>
            <w:r>
              <w:rPr>
                <w:rFonts w:ascii="Arial" w:cs="Arial" w:eastAsia="Arial" w:hAnsi="Arial"/>
                <w:sz w:val="14"/>
                <w:szCs w:val="14"/>
                <w:color w:val="auto"/>
              </w:rPr>
              <w:t>365</w:t>
            </w:r>
          </w:p>
        </w:tc>
        <w:tc>
          <w:tcPr>
            <w:tcW w:w="120" w:type="dxa"/>
            <w:vAlign w:val="bottom"/>
          </w:tcPr>
          <w:p>
            <w:pPr>
              <w:spacing w:after="0"/>
              <w:rPr>
                <w:sz w:val="15"/>
                <w:szCs w:val="15"/>
                <w:color w:val="auto"/>
              </w:rPr>
            </w:pPr>
          </w:p>
        </w:tc>
        <w:tc>
          <w:tcPr>
            <w:tcW w:w="2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tcBorders>
          </w:tcPr>
          <w:p>
            <w:pPr>
              <w:ind w:left="8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300" w:type="dxa"/>
            <w:vAlign w:val="bottom"/>
            <w:tcBorders>
              <w:top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tcBorders>
          </w:tcPr>
          <w:p>
            <w:pPr>
              <w:jc w:val="right"/>
              <w:ind w:right="33"/>
              <w:spacing w:after="0"/>
              <w:rPr>
                <w:sz w:val="20"/>
                <w:szCs w:val="20"/>
                <w:color w:val="auto"/>
              </w:rPr>
            </w:pPr>
            <w:r>
              <w:rPr>
                <w:rFonts w:ascii="Arial" w:cs="Arial" w:eastAsia="Arial" w:hAnsi="Arial"/>
                <w:sz w:val="14"/>
                <w:szCs w:val="14"/>
                <w:color w:val="auto"/>
              </w:rPr>
              <w:t>365</w:t>
            </w:r>
          </w:p>
        </w:tc>
      </w:tr>
      <w:tr>
        <w:trPr>
          <w:trHeight w:val="23"/>
        </w:trPr>
        <w:tc>
          <w:tcPr>
            <w:tcW w:w="7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0"/>
        </w:trPr>
        <w:tc>
          <w:tcPr>
            <w:tcW w:w="7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334" w:lineRule="exact"/>
        <w:rPr>
          <w:sz w:val="20"/>
          <w:szCs w:val="20"/>
          <w:color w:val="auto"/>
        </w:rPr>
      </w:pPr>
    </w:p>
    <w:p>
      <w:pPr>
        <w:jc w:val="both"/>
        <w:ind w:firstLine="259"/>
        <w:spacing w:after="0" w:line="328" w:lineRule="auto"/>
        <w:rPr>
          <w:sz w:val="20"/>
          <w:szCs w:val="20"/>
          <w:color w:val="auto"/>
        </w:rPr>
      </w:pPr>
      <w:r>
        <w:rPr>
          <w:rFonts w:ascii="Arial" w:cs="Arial" w:eastAsia="Arial" w:hAnsi="Arial"/>
          <w:sz w:val="13"/>
          <w:szCs w:val="13"/>
          <w:b w:val="1"/>
          <w:bCs w:val="1"/>
          <w:i w:val="1"/>
          <w:iCs w:val="1"/>
          <w:color w:val="auto"/>
        </w:rPr>
        <w:t xml:space="preserve">Practical Expedients and Exemption. </w:t>
      </w:r>
      <w:r>
        <w:rPr>
          <w:rFonts w:ascii="Arial" w:cs="Arial" w:eastAsia="Arial" w:hAnsi="Arial"/>
          <w:sz w:val="13"/>
          <w:szCs w:val="13"/>
          <w:color w:val="auto"/>
        </w:rPr>
        <w:t>Sales taxes and other similar taxes collected from customers are excluded from the transaction price.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221F1F"/>
        </w:rPr>
        <w:t>For contracts for which revenue from the satisfaction</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221F1F"/>
        </w:rPr>
        <w:t>of the performance obligations is recognized in the amount invoiced, the practical expedient was elected and revenue expected to be recognized on these contracts has not been disclosed.</w:t>
      </w:r>
    </w:p>
    <w:p>
      <w:pPr>
        <w:spacing w:after="0" w:line="10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(5) Employee Benefit Plans</w:t>
      </w:r>
    </w:p>
    <w:p>
      <w:pPr>
        <w:spacing w:after="0" w:line="188" w:lineRule="exact"/>
        <w:rPr>
          <w:sz w:val="20"/>
          <w:szCs w:val="20"/>
          <w:color w:val="auto"/>
        </w:rPr>
      </w:pPr>
    </w:p>
    <w:p>
      <w:pPr>
        <w:jc w:val="both"/>
        <w:ind w:firstLine="259"/>
        <w:spacing w:after="0" w:line="302" w:lineRule="auto"/>
        <w:rPr>
          <w:sz w:val="20"/>
          <w:szCs w:val="20"/>
          <w:color w:val="auto"/>
        </w:rPr>
      </w:pPr>
      <w:r>
        <w:rPr>
          <w:rFonts w:ascii="Arial" w:cs="Arial" w:eastAsia="Arial" w:hAnsi="Arial"/>
          <w:sz w:val="13"/>
          <w:szCs w:val="13"/>
          <w:color w:val="auto"/>
        </w:rPr>
        <w:t>As a result of the Merger, CenterPoint Energy now maintains three additional qualified defined benefit pension plans which are closed to new participants, a non-qualified SERP and a postretirement benefit plan. The defined benefit pension plans cover eligible full-time regular employees and retirees of Vectren and are primarily non-contributory. The postretirement benefit plan provides health care and life insurance benefits, which are a combination of self-insured and fully insured programs, to eligible Vectren retirees on both a contributory and non-contributory basis.</w:t>
      </w:r>
    </w:p>
    <w:p>
      <w:pPr>
        <w:spacing w:after="0" w:line="125" w:lineRule="exact"/>
        <w:rPr>
          <w:sz w:val="20"/>
          <w:szCs w:val="20"/>
          <w:color w:val="auto"/>
        </w:rPr>
      </w:pPr>
    </w:p>
    <w:p>
      <w:pPr>
        <w:jc w:val="both"/>
        <w:ind w:firstLine="259"/>
        <w:spacing w:after="0" w:line="272" w:lineRule="auto"/>
        <w:rPr>
          <w:sz w:val="20"/>
          <w:szCs w:val="20"/>
          <w:color w:val="auto"/>
        </w:rPr>
      </w:pPr>
      <w:r>
        <w:rPr>
          <w:rFonts w:ascii="Arial" w:cs="Arial" w:eastAsia="Arial" w:hAnsi="Arial"/>
          <w:sz w:val="14"/>
          <w:szCs w:val="14"/>
          <w:color w:val="auto"/>
        </w:rPr>
        <w:t>CenterPoint Energy, through its Infrastructure Services reportable segment, participates in several industry wide multi-employer pension plans for its collective bargaining employees which provide for monthly benefits based on length of service. The risks of participating in multi-employer pension plans are different from the risks of participating in single-employer pension plans in the following respects: (1) assets contributed to the multi-employer plan by one employer may be used to provide benefits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ectPr>
          <w:pgSz w:w="11900" w:h="16838" w:orient="portrait"/>
          <w:cols w:equalWidth="0" w:num="1">
            <w:col w:w="11460"/>
          </w:cols>
          <w:pgMar w:left="220" w:top="129" w:right="219" w:bottom="1440" w:gutter="0" w:footer="0" w:header="0"/>
        </w:sectPr>
      </w:pPr>
    </w:p>
    <w:bookmarkStart w:id="38" w:name="page39"/>
    <w:bookmarkEnd w:id="38"/>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205" w:lineRule="exact"/>
        <w:rPr>
          <w:sz w:val="20"/>
          <w:szCs w:val="20"/>
          <w:color w:val="auto"/>
        </w:rPr>
      </w:pPr>
    </w:p>
    <w:p>
      <w:pPr>
        <w:jc w:val="both"/>
        <w:spacing w:after="0" w:line="272" w:lineRule="auto"/>
        <w:rPr>
          <w:sz w:val="20"/>
          <w:szCs w:val="20"/>
          <w:color w:val="auto"/>
        </w:rPr>
      </w:pPr>
      <w:r>
        <w:rPr>
          <w:rFonts w:ascii="Arial" w:cs="Arial" w:eastAsia="Arial" w:hAnsi="Arial"/>
          <w:sz w:val="14"/>
          <w:szCs w:val="14"/>
          <w:color w:val="auto"/>
        </w:rPr>
        <w:t>to employees of other participating employers, (2) if a participating employer stops contributing to the plan, the unfunded obligations of the plan allocable to such withdrawing employer may be borne by the remaining participating employers and (3) if CenterPoint Energy stops participation in some of its multi-employer pension plans, CenterPoint Energy may be required to pay those plans an amount based on its allocable share of the underfunded status of the plan, referred to as a withdrawal liability.</w:t>
      </w:r>
    </w:p>
    <w:p>
      <w:pPr>
        <w:spacing w:after="0" w:line="142" w:lineRule="exact"/>
        <w:rPr>
          <w:sz w:val="20"/>
          <w:szCs w:val="20"/>
          <w:color w:val="auto"/>
        </w:rPr>
      </w:pPr>
    </w:p>
    <w:p>
      <w:pPr>
        <w:ind w:left="260"/>
        <w:spacing w:after="0"/>
        <w:rPr>
          <w:sz w:val="20"/>
          <w:szCs w:val="20"/>
          <w:color w:val="auto"/>
        </w:rPr>
      </w:pPr>
      <w:r>
        <w:rPr>
          <w:rFonts w:ascii="Arial" w:cs="Arial" w:eastAsia="Arial" w:hAnsi="Arial"/>
          <w:sz w:val="13"/>
          <w:szCs w:val="13"/>
          <w:color w:val="auto"/>
        </w:rPr>
        <w:t>CenterPoint Energy, through Vectren, also acquired additional defined contribution retirement savings plans qualified under sections 401(a) and 401(k) of the Internal Revenue Code.</w:t>
      </w:r>
    </w:p>
    <w:p>
      <w:pPr>
        <w:spacing w:after="0" w:line="195" w:lineRule="exact"/>
        <w:rPr>
          <w:sz w:val="20"/>
          <w:szCs w:val="20"/>
          <w:color w:val="auto"/>
        </w:rPr>
      </w:pPr>
    </w:p>
    <w:p>
      <w:pPr>
        <w:jc w:val="both"/>
        <w:ind w:firstLine="259"/>
        <w:spacing w:after="0" w:line="288" w:lineRule="auto"/>
        <w:rPr>
          <w:sz w:val="20"/>
          <w:szCs w:val="20"/>
          <w:color w:val="auto"/>
        </w:rPr>
      </w:pPr>
      <w:r>
        <w:rPr>
          <w:rFonts w:ascii="Arial" w:cs="Arial" w:eastAsia="Arial" w:hAnsi="Arial"/>
          <w:sz w:val="14"/>
          <w:szCs w:val="14"/>
          <w:color w:val="auto"/>
        </w:rPr>
        <w:t>The Registrants’ net periodic cost, before considering amounts subject to overhead allocations for capital expenditure projects or for amounts subject to deferral for regulatory purposes, includes the following components relating to pension and postretirement benefits:</w:t>
      </w:r>
    </w:p>
    <w:p>
      <w:pPr>
        <w:spacing w:after="0" w:line="12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Pension Benefits (CenterPoint Energy)</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5160" w:type="dxa"/>
            <w:vAlign w:val="bottom"/>
          </w:tcPr>
          <w:p>
            <w:pPr>
              <w:spacing w:after="0"/>
              <w:rPr>
                <w:sz w:val="13"/>
                <w:szCs w:val="13"/>
                <w:color w:val="auto"/>
              </w:rPr>
            </w:pPr>
          </w:p>
        </w:tc>
        <w:tc>
          <w:tcPr>
            <w:tcW w:w="2660" w:type="dxa"/>
            <w:vAlign w:val="bottom"/>
            <w:tcBorders>
              <w:bottom w:val="single" w:sz="8" w:color="auto"/>
            </w:tcBorders>
            <w:gridSpan w:val="4"/>
          </w:tcPr>
          <w:p>
            <w:pPr>
              <w:jc w:val="right"/>
              <w:ind w:right="133"/>
              <w:spacing w:after="0"/>
              <w:rPr>
                <w:sz w:val="20"/>
                <w:szCs w:val="20"/>
                <w:color w:val="auto"/>
              </w:rPr>
            </w:pPr>
            <w:r>
              <w:rPr>
                <w:rFonts w:ascii="Arial" w:cs="Arial" w:eastAsia="Arial" w:hAnsi="Arial"/>
                <w:sz w:val="11"/>
                <w:szCs w:val="11"/>
                <w:b w:val="1"/>
                <w:bCs w:val="1"/>
                <w:color w:val="auto"/>
              </w:rPr>
              <w:t>Three Months Ended September 30,</w:t>
            </w:r>
          </w:p>
        </w:tc>
        <w:tc>
          <w:tcPr>
            <w:tcW w:w="4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2640" w:type="dxa"/>
            <w:vAlign w:val="bottom"/>
            <w:tcBorders>
              <w:bottom w:val="single" w:sz="8" w:color="auto"/>
            </w:tcBorders>
            <w:gridSpan w:val="4"/>
          </w:tcPr>
          <w:p>
            <w:pPr>
              <w:jc w:val="right"/>
              <w:ind w:right="590"/>
              <w:spacing w:after="0"/>
              <w:rPr>
                <w:sz w:val="20"/>
                <w:szCs w:val="20"/>
                <w:color w:val="auto"/>
              </w:rPr>
            </w:pPr>
            <w:r>
              <w:rPr>
                <w:rFonts w:ascii="Arial" w:cs="Arial" w:eastAsia="Arial" w:hAnsi="Arial"/>
                <w:sz w:val="11"/>
                <w:szCs w:val="11"/>
                <w:b w:val="1"/>
                <w:bCs w:val="1"/>
                <w:color w:val="auto"/>
              </w:rPr>
              <w:t>Nine Months Ended September 30,</w:t>
            </w:r>
          </w:p>
        </w:tc>
      </w:tr>
      <w:tr>
        <w:trPr>
          <w:trHeight w:val="206"/>
        </w:trPr>
        <w:tc>
          <w:tcPr>
            <w:tcW w:w="5160" w:type="dxa"/>
            <w:vAlign w:val="bottom"/>
          </w:tcPr>
          <w:p>
            <w:pPr>
              <w:spacing w:after="0"/>
              <w:rPr>
                <w:sz w:val="17"/>
                <w:szCs w:val="17"/>
                <w:color w:val="auto"/>
              </w:rPr>
            </w:pPr>
          </w:p>
        </w:tc>
        <w:tc>
          <w:tcPr>
            <w:tcW w:w="1040" w:type="dxa"/>
            <w:vAlign w:val="bottom"/>
            <w:tcBorders>
              <w:bottom w:val="single" w:sz="8" w:color="auto"/>
            </w:tcBorders>
          </w:tcPr>
          <w:p>
            <w:pPr>
              <w:jc w:val="right"/>
              <w:ind w:right="95"/>
              <w:spacing w:after="0"/>
              <w:rPr>
                <w:sz w:val="20"/>
                <w:szCs w:val="20"/>
                <w:color w:val="auto"/>
              </w:rPr>
            </w:pPr>
            <w:r>
              <w:rPr>
                <w:rFonts w:ascii="Arial" w:cs="Arial" w:eastAsia="Arial" w:hAnsi="Arial"/>
                <w:sz w:val="11"/>
                <w:szCs w:val="11"/>
                <w:b w:val="1"/>
                <w:bCs w:val="1"/>
                <w:color w:val="auto"/>
              </w:rPr>
              <w:t>2019</w:t>
            </w:r>
          </w:p>
        </w:tc>
        <w:tc>
          <w:tcPr>
            <w:tcW w:w="4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13"/>
              <w:spacing w:after="0"/>
              <w:rPr>
                <w:sz w:val="20"/>
                <w:szCs w:val="20"/>
                <w:color w:val="auto"/>
              </w:rPr>
            </w:pPr>
            <w:r>
              <w:rPr>
                <w:rFonts w:ascii="Arial" w:cs="Arial" w:eastAsia="Arial" w:hAnsi="Arial"/>
                <w:sz w:val="11"/>
                <w:szCs w:val="11"/>
                <w:b w:val="1"/>
                <w:bCs w:val="1"/>
                <w:color w:val="auto"/>
              </w:rPr>
              <w:t>2018</w:t>
            </w:r>
          </w:p>
        </w:tc>
        <w:tc>
          <w:tcPr>
            <w:tcW w:w="4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551"/>
              <w:spacing w:after="0"/>
              <w:rPr>
                <w:sz w:val="20"/>
                <w:szCs w:val="20"/>
                <w:color w:val="auto"/>
              </w:rPr>
            </w:pPr>
            <w:r>
              <w:rPr>
                <w:rFonts w:ascii="Arial" w:cs="Arial" w:eastAsia="Arial" w:hAnsi="Arial"/>
                <w:sz w:val="11"/>
                <w:szCs w:val="11"/>
                <w:b w:val="1"/>
                <w:bCs w:val="1"/>
                <w:color w:val="auto"/>
              </w:rPr>
              <w:t>2019</w:t>
            </w:r>
          </w:p>
        </w:tc>
        <w:tc>
          <w:tcPr>
            <w:tcW w:w="1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550"/>
              <w:spacing w:after="0"/>
              <w:rPr>
                <w:sz w:val="20"/>
                <w:szCs w:val="20"/>
                <w:color w:val="auto"/>
              </w:rPr>
            </w:pPr>
            <w:r>
              <w:rPr>
                <w:rFonts w:ascii="Arial" w:cs="Arial" w:eastAsia="Arial" w:hAnsi="Arial"/>
                <w:sz w:val="11"/>
                <w:szCs w:val="11"/>
                <w:b w:val="1"/>
                <w:bCs w:val="1"/>
                <w:color w:val="auto"/>
              </w:rPr>
              <w:t>2018</w:t>
            </w:r>
          </w:p>
        </w:tc>
      </w:tr>
      <w:tr>
        <w:trPr>
          <w:trHeight w:val="196"/>
        </w:trPr>
        <w:tc>
          <w:tcPr>
            <w:tcW w:w="5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0" w:type="dxa"/>
            <w:vAlign w:val="bottom"/>
            <w:gridSpan w:val="3"/>
          </w:tcPr>
          <w:p>
            <w:pPr>
              <w:jc w:val="right"/>
              <w:ind w:right="128"/>
              <w:spacing w:after="0"/>
              <w:rPr>
                <w:sz w:val="20"/>
                <w:szCs w:val="20"/>
                <w:color w:val="auto"/>
              </w:rPr>
            </w:pPr>
            <w:r>
              <w:rPr>
                <w:rFonts w:ascii="Arial" w:cs="Arial" w:eastAsia="Arial" w:hAnsi="Arial"/>
                <w:sz w:val="11"/>
                <w:szCs w:val="11"/>
                <w:b w:val="1"/>
                <w:bCs w:val="1"/>
                <w:color w:val="auto"/>
              </w:rPr>
              <w:t>(in millions)</w:t>
            </w: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0"/>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Service cost (1)</w:t>
            </w:r>
          </w:p>
        </w:tc>
        <w:tc>
          <w:tcPr>
            <w:tcW w:w="1040" w:type="dxa"/>
            <w:vAlign w:val="bottom"/>
            <w:tcBorders>
              <w:bottom w:val="single" w:sz="8" w:color="CCEEFF"/>
            </w:tcBorders>
            <w:shd w:val="clear" w:color="auto" w:fill="CCEEFF"/>
          </w:tcPr>
          <w:p>
            <w:pPr>
              <w:jc w:val="right"/>
              <w:ind w:right="875"/>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10</w:t>
            </w:r>
          </w:p>
        </w:tc>
        <w:tc>
          <w:tcPr>
            <w:tcW w:w="1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ind w:right="873"/>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10</w:t>
            </w:r>
          </w:p>
        </w:tc>
        <w:tc>
          <w:tcPr>
            <w:tcW w:w="12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30</w:t>
            </w:r>
          </w:p>
        </w:tc>
        <w:tc>
          <w:tcPr>
            <w:tcW w:w="1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jc w:val="right"/>
              <w:ind w:right="208"/>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28</w:t>
            </w:r>
          </w:p>
        </w:tc>
      </w:tr>
      <w:tr>
        <w:trPr>
          <w:trHeight w:val="193"/>
        </w:trPr>
        <w:tc>
          <w:tcPr>
            <w:tcW w:w="5160" w:type="dxa"/>
            <w:vAlign w:val="bottom"/>
          </w:tcPr>
          <w:p>
            <w:pPr>
              <w:ind w:left="20"/>
              <w:spacing w:after="0"/>
              <w:rPr>
                <w:sz w:val="20"/>
                <w:szCs w:val="20"/>
                <w:color w:val="auto"/>
              </w:rPr>
            </w:pPr>
            <w:r>
              <w:rPr>
                <w:rFonts w:ascii="Arial" w:cs="Arial" w:eastAsia="Arial" w:hAnsi="Arial"/>
                <w:sz w:val="14"/>
                <w:szCs w:val="14"/>
                <w:color w:val="auto"/>
              </w:rPr>
              <w:t>Interest cost (2)</w:t>
            </w:r>
          </w:p>
        </w:tc>
        <w:tc>
          <w:tcPr>
            <w:tcW w:w="1040" w:type="dxa"/>
            <w:vAlign w:val="bottom"/>
          </w:tcPr>
          <w:p>
            <w:pPr>
              <w:spacing w:after="0"/>
              <w:rPr>
                <w:sz w:val="16"/>
                <w:szCs w:val="16"/>
                <w:color w:val="auto"/>
              </w:rPr>
            </w:pPr>
          </w:p>
        </w:tc>
        <w:tc>
          <w:tcPr>
            <w:tcW w:w="460" w:type="dxa"/>
            <w:vAlign w:val="bottom"/>
          </w:tcPr>
          <w:p>
            <w:pPr>
              <w:jc w:val="right"/>
              <w:ind w:right="48"/>
              <w:spacing w:after="0"/>
              <w:rPr>
                <w:sz w:val="20"/>
                <w:szCs w:val="20"/>
                <w:color w:val="auto"/>
              </w:rPr>
            </w:pPr>
            <w:r>
              <w:rPr>
                <w:rFonts w:ascii="Arial" w:cs="Arial" w:eastAsia="Arial" w:hAnsi="Arial"/>
                <w:sz w:val="14"/>
                <w:szCs w:val="14"/>
                <w:color w:val="auto"/>
              </w:rPr>
              <w:t>25</w:t>
            </w: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60" w:type="dxa"/>
            <w:vAlign w:val="bottom"/>
          </w:tcPr>
          <w:p>
            <w:pPr>
              <w:jc w:val="right"/>
              <w:ind w:right="50"/>
              <w:spacing w:after="0"/>
              <w:rPr>
                <w:sz w:val="20"/>
                <w:szCs w:val="20"/>
                <w:color w:val="auto"/>
              </w:rPr>
            </w:pPr>
            <w:r>
              <w:rPr>
                <w:rFonts w:ascii="Arial" w:cs="Arial" w:eastAsia="Arial" w:hAnsi="Arial"/>
                <w:sz w:val="14"/>
                <w:szCs w:val="14"/>
                <w:color w:val="auto"/>
              </w:rPr>
              <w:t>20</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60" w:type="dxa"/>
            <w:vAlign w:val="bottom"/>
          </w:tcPr>
          <w:p>
            <w:pPr>
              <w:jc w:val="right"/>
              <w:ind w:right="31"/>
              <w:spacing w:after="0"/>
              <w:rPr>
                <w:sz w:val="20"/>
                <w:szCs w:val="20"/>
                <w:color w:val="auto"/>
              </w:rPr>
            </w:pPr>
            <w:r>
              <w:rPr>
                <w:rFonts w:ascii="Arial" w:cs="Arial" w:eastAsia="Arial" w:hAnsi="Arial"/>
                <w:sz w:val="14"/>
                <w:szCs w:val="14"/>
                <w:color w:val="auto"/>
              </w:rPr>
              <w:t>73</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jc w:val="right"/>
              <w:ind w:right="30"/>
              <w:spacing w:after="0"/>
              <w:rPr>
                <w:sz w:val="20"/>
                <w:szCs w:val="20"/>
                <w:color w:val="auto"/>
              </w:rPr>
            </w:pPr>
            <w:r>
              <w:rPr>
                <w:rFonts w:ascii="Arial" w:cs="Arial" w:eastAsia="Arial" w:hAnsi="Arial"/>
                <w:sz w:val="14"/>
                <w:szCs w:val="14"/>
                <w:color w:val="auto"/>
              </w:rPr>
              <w:t>59</w:t>
            </w:r>
          </w:p>
        </w:tc>
      </w:tr>
      <w:tr>
        <w:trPr>
          <w:trHeight w:val="23"/>
        </w:trPr>
        <w:tc>
          <w:tcPr>
            <w:tcW w:w="5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96"/>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Expected return on plan assets (2)</w:t>
            </w:r>
          </w:p>
        </w:tc>
        <w:tc>
          <w:tcPr>
            <w:tcW w:w="104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1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12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(79)</w:t>
            </w:r>
          </w:p>
        </w:tc>
        <w:tc>
          <w:tcPr>
            <w:tcW w:w="1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(80)</w:t>
            </w:r>
          </w:p>
        </w:tc>
      </w:tr>
      <w:tr>
        <w:trPr>
          <w:trHeight w:val="193"/>
        </w:trPr>
        <w:tc>
          <w:tcPr>
            <w:tcW w:w="5160" w:type="dxa"/>
            <w:vAlign w:val="bottom"/>
          </w:tcPr>
          <w:p>
            <w:pPr>
              <w:ind w:left="20"/>
              <w:spacing w:after="0"/>
              <w:rPr>
                <w:sz w:val="20"/>
                <w:szCs w:val="20"/>
                <w:color w:val="auto"/>
              </w:rPr>
            </w:pPr>
            <w:r>
              <w:rPr>
                <w:rFonts w:ascii="Arial" w:cs="Arial" w:eastAsia="Arial" w:hAnsi="Arial"/>
                <w:sz w:val="14"/>
                <w:szCs w:val="14"/>
                <w:color w:val="auto"/>
              </w:rPr>
              <w:t>Amortization of prior service cost (2)</w:t>
            </w:r>
          </w:p>
        </w:tc>
        <w:tc>
          <w:tcPr>
            <w:tcW w:w="1040" w:type="dxa"/>
            <w:vAlign w:val="bottom"/>
          </w:tcPr>
          <w:p>
            <w:pPr>
              <w:spacing w:after="0"/>
              <w:rPr>
                <w:sz w:val="16"/>
                <w:szCs w:val="16"/>
                <w:color w:val="auto"/>
              </w:rPr>
            </w:pPr>
          </w:p>
        </w:tc>
        <w:tc>
          <w:tcPr>
            <w:tcW w:w="460" w:type="dxa"/>
            <w:vAlign w:val="bottom"/>
          </w:tcPr>
          <w:p>
            <w:pPr>
              <w:jc w:val="right"/>
              <w:ind w:right="4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60" w:type="dxa"/>
            <w:vAlign w:val="bottom"/>
          </w:tcPr>
          <w:p>
            <w:pPr>
              <w:jc w:val="right"/>
              <w:ind w:right="50"/>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60" w:type="dxa"/>
            <w:vAlign w:val="bottom"/>
          </w:tcPr>
          <w:p>
            <w:pPr>
              <w:jc w:val="right"/>
              <w:ind w:right="31"/>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jc w:val="right"/>
              <w:ind w:right="30"/>
              <w:spacing w:after="0"/>
              <w:rPr>
                <w:sz w:val="20"/>
                <w:szCs w:val="20"/>
                <w:color w:val="auto"/>
              </w:rPr>
            </w:pPr>
            <w:r>
              <w:rPr>
                <w:rFonts w:ascii="Arial" w:cs="Arial" w:eastAsia="Arial" w:hAnsi="Arial"/>
                <w:sz w:val="14"/>
                <w:szCs w:val="14"/>
                <w:color w:val="auto"/>
              </w:rPr>
              <w:t>7</w:t>
            </w:r>
          </w:p>
        </w:tc>
      </w:tr>
      <w:tr>
        <w:trPr>
          <w:trHeight w:val="23"/>
        </w:trPr>
        <w:tc>
          <w:tcPr>
            <w:tcW w:w="5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96"/>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Amortization of net loss (2)</w:t>
            </w:r>
          </w:p>
        </w:tc>
        <w:tc>
          <w:tcPr>
            <w:tcW w:w="104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13</w:t>
            </w:r>
          </w:p>
        </w:tc>
        <w:tc>
          <w:tcPr>
            <w:tcW w:w="1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10</w:t>
            </w:r>
          </w:p>
        </w:tc>
        <w:tc>
          <w:tcPr>
            <w:tcW w:w="12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39</w:t>
            </w:r>
          </w:p>
        </w:tc>
        <w:tc>
          <w:tcPr>
            <w:tcW w:w="1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32</w:t>
            </w:r>
          </w:p>
        </w:tc>
      </w:tr>
      <w:tr>
        <w:trPr>
          <w:trHeight w:val="193"/>
        </w:trPr>
        <w:tc>
          <w:tcPr>
            <w:tcW w:w="5160" w:type="dxa"/>
            <w:vAlign w:val="bottom"/>
          </w:tcPr>
          <w:p>
            <w:pPr>
              <w:ind w:left="20"/>
              <w:spacing w:after="0"/>
              <w:rPr>
                <w:sz w:val="20"/>
                <w:szCs w:val="20"/>
                <w:color w:val="auto"/>
              </w:rPr>
            </w:pPr>
            <w:r>
              <w:rPr>
                <w:rFonts w:ascii="Arial" w:cs="Arial" w:eastAsia="Arial" w:hAnsi="Arial"/>
                <w:sz w:val="14"/>
                <w:szCs w:val="14"/>
                <w:color w:val="auto"/>
              </w:rPr>
              <w:t>Settlement cost (3) (2)</w:t>
            </w:r>
          </w:p>
        </w:tc>
        <w:tc>
          <w:tcPr>
            <w:tcW w:w="1040" w:type="dxa"/>
            <w:vAlign w:val="bottom"/>
          </w:tcPr>
          <w:p>
            <w:pPr>
              <w:spacing w:after="0"/>
              <w:rPr>
                <w:sz w:val="16"/>
                <w:szCs w:val="16"/>
                <w:color w:val="auto"/>
              </w:rPr>
            </w:pPr>
          </w:p>
        </w:tc>
        <w:tc>
          <w:tcPr>
            <w:tcW w:w="46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6"/>
                <w:szCs w:val="16"/>
                <w:color w:val="auto"/>
              </w:rPr>
            </w:pPr>
          </w:p>
        </w:tc>
        <w:tc>
          <w:tcPr>
            <w:tcW w:w="1060" w:type="dxa"/>
            <w:vAlign w:val="bottom"/>
          </w:tcPr>
          <w:p>
            <w:pPr>
              <w:jc w:val="right"/>
              <w:ind w:right="31"/>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jc w:val="right"/>
              <w:ind w:right="30"/>
              <w:spacing w:after="0"/>
              <w:rPr>
                <w:sz w:val="20"/>
                <w:szCs w:val="20"/>
                <w:color w:val="auto"/>
              </w:rPr>
            </w:pPr>
            <w:r>
              <w:rPr>
                <w:rFonts w:ascii="Arial" w:cs="Arial" w:eastAsia="Arial" w:hAnsi="Arial"/>
                <w:sz w:val="14"/>
                <w:szCs w:val="14"/>
                <w:color w:val="auto"/>
              </w:rPr>
              <w:t>—</w:t>
            </w:r>
          </w:p>
        </w:tc>
      </w:tr>
      <w:tr>
        <w:trPr>
          <w:trHeight w:val="23"/>
        </w:trPr>
        <w:tc>
          <w:tcPr>
            <w:tcW w:w="5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16"/>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Curtailment gain (4) (2)</w:t>
            </w:r>
          </w:p>
        </w:tc>
        <w:tc>
          <w:tcPr>
            <w:tcW w:w="104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r>
      <w:tr>
        <w:trPr>
          <w:trHeight w:val="200"/>
        </w:trPr>
        <w:tc>
          <w:tcPr>
            <w:tcW w:w="5160" w:type="dxa"/>
            <w:vAlign w:val="bottom"/>
          </w:tcPr>
          <w:p>
            <w:pPr>
              <w:ind w:left="20"/>
              <w:spacing w:after="0"/>
              <w:rPr>
                <w:sz w:val="20"/>
                <w:szCs w:val="20"/>
                <w:color w:val="auto"/>
              </w:rPr>
            </w:pPr>
            <w:r>
              <w:rPr>
                <w:rFonts w:ascii="Arial" w:cs="Arial" w:eastAsia="Arial" w:hAnsi="Arial"/>
                <w:sz w:val="14"/>
                <w:szCs w:val="14"/>
                <w:color w:val="auto"/>
              </w:rPr>
              <w:t>Net periodic cost</w:t>
            </w:r>
          </w:p>
        </w:tc>
        <w:tc>
          <w:tcPr>
            <w:tcW w:w="1040" w:type="dxa"/>
            <w:vAlign w:val="bottom"/>
            <w:tcBorders>
              <w:top w:val="single" w:sz="8" w:color="auto"/>
              <w:bottom w:val="single" w:sz="8" w:color="auto"/>
            </w:tcBorders>
          </w:tcPr>
          <w:p>
            <w:pPr>
              <w:jc w:val="right"/>
              <w:ind w:right="875"/>
              <w:spacing w:after="0"/>
              <w:rPr>
                <w:sz w:val="20"/>
                <w:szCs w:val="20"/>
                <w:color w:val="auto"/>
              </w:rPr>
            </w:pPr>
            <w:r>
              <w:rPr>
                <w:rFonts w:ascii="Arial" w:cs="Arial" w:eastAsia="Arial" w:hAnsi="Arial"/>
                <w:sz w:val="14"/>
                <w:szCs w:val="14"/>
                <w:color w:val="auto"/>
              </w:rPr>
              <w:t>$</w:t>
            </w:r>
          </w:p>
        </w:tc>
        <w:tc>
          <w:tcPr>
            <w:tcW w:w="4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24</w:t>
            </w:r>
          </w:p>
        </w:tc>
        <w:tc>
          <w:tcPr>
            <w:tcW w:w="120" w:type="dxa"/>
            <w:vAlign w:val="bottom"/>
          </w:tcPr>
          <w:p>
            <w:pPr>
              <w:spacing w:after="0"/>
              <w:rPr>
                <w:sz w:val="17"/>
                <w:szCs w:val="17"/>
                <w:color w:val="auto"/>
              </w:rPr>
            </w:pPr>
          </w:p>
        </w:tc>
        <w:tc>
          <w:tcPr>
            <w:tcW w:w="1040" w:type="dxa"/>
            <w:vAlign w:val="bottom"/>
            <w:tcBorders>
              <w:top w:val="single" w:sz="8" w:color="auto"/>
              <w:bottom w:val="single" w:sz="8" w:color="auto"/>
            </w:tcBorders>
          </w:tcPr>
          <w:p>
            <w:pPr>
              <w:jc w:val="right"/>
              <w:ind w:right="873"/>
              <w:spacing w:after="0"/>
              <w:rPr>
                <w:sz w:val="20"/>
                <w:szCs w:val="20"/>
                <w:color w:val="auto"/>
              </w:rPr>
            </w:pPr>
            <w:r>
              <w:rPr>
                <w:rFonts w:ascii="Arial" w:cs="Arial" w:eastAsia="Arial" w:hAnsi="Arial"/>
                <w:sz w:val="14"/>
                <w:szCs w:val="14"/>
                <w:color w:val="auto"/>
              </w:rPr>
              <w:t>$</w:t>
            </w:r>
          </w:p>
        </w:tc>
        <w:tc>
          <w:tcPr>
            <w:tcW w:w="4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4"/>
                <w:szCs w:val="14"/>
                <w:color w:val="auto"/>
              </w:rPr>
              <w:t>16</w:t>
            </w:r>
          </w:p>
        </w:tc>
        <w:tc>
          <w:tcPr>
            <w:tcW w:w="120" w:type="dxa"/>
            <w:vAlign w:val="bottom"/>
          </w:tcPr>
          <w:p>
            <w:pPr>
              <w:spacing w:after="0"/>
              <w:rPr>
                <w:sz w:val="17"/>
                <w:szCs w:val="17"/>
                <w:color w:val="auto"/>
              </w:rPr>
            </w:pPr>
          </w:p>
        </w:tc>
        <w:tc>
          <w:tcPr>
            <w:tcW w:w="420" w:type="dxa"/>
            <w:vAlign w:val="bottom"/>
            <w:tcBorders>
              <w:top w:val="single" w:sz="8" w:color="auto"/>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4"/>
                <w:szCs w:val="14"/>
                <w:color w:val="auto"/>
              </w:rPr>
              <w:t>70</w:t>
            </w:r>
          </w:p>
        </w:tc>
        <w:tc>
          <w:tcPr>
            <w:tcW w:w="120" w:type="dxa"/>
            <w:vAlign w:val="bottom"/>
          </w:tcPr>
          <w:p>
            <w:pPr>
              <w:spacing w:after="0"/>
              <w:rPr>
                <w:sz w:val="17"/>
                <w:szCs w:val="17"/>
                <w:color w:val="auto"/>
              </w:rPr>
            </w:pPr>
          </w:p>
        </w:tc>
        <w:tc>
          <w:tcPr>
            <w:tcW w:w="360" w:type="dxa"/>
            <w:vAlign w:val="bottom"/>
            <w:tcBorders>
              <w:top w:val="single" w:sz="8" w:color="auto"/>
              <w:bottom w:val="single" w:sz="8" w:color="auto"/>
            </w:tcBorders>
          </w:tcPr>
          <w:p>
            <w:pPr>
              <w:jc w:val="right"/>
              <w:ind w:right="208"/>
              <w:spacing w:after="0"/>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4"/>
                <w:szCs w:val="14"/>
                <w:color w:val="auto"/>
              </w:rPr>
              <w:t>46</w:t>
            </w:r>
          </w:p>
        </w:tc>
      </w:tr>
      <w:tr>
        <w:trPr>
          <w:trHeight w:val="20"/>
        </w:trPr>
        <w:tc>
          <w:tcPr>
            <w:tcW w:w="51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62" w:lineRule="exact"/>
        <w:rPr>
          <w:sz w:val="20"/>
          <w:szCs w:val="20"/>
          <w:color w:val="auto"/>
        </w:rPr>
      </w:pPr>
    </w:p>
    <w:p>
      <w:pPr>
        <w:ind w:left="520" w:hanging="255"/>
        <w:spacing w:after="0" w:line="288" w:lineRule="auto"/>
        <w:tabs>
          <w:tab w:leader="none" w:pos="5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Amounts presented in the table above are included in Operation and maintenance expense in each of the Registrants’ respective Condensed Statements of Consolidated Income, net of amounts capitalized and regulatory deferrals.</w:t>
      </w:r>
    </w:p>
    <w:p>
      <w:pPr>
        <w:spacing w:after="0" w:line="130" w:lineRule="exact"/>
        <w:rPr>
          <w:rFonts w:ascii="Arial" w:cs="Arial" w:eastAsia="Arial" w:hAnsi="Arial"/>
          <w:sz w:val="14"/>
          <w:szCs w:val="14"/>
          <w:color w:val="auto"/>
        </w:rPr>
      </w:pPr>
    </w:p>
    <w:p>
      <w:pPr>
        <w:ind w:left="520" w:hanging="255"/>
        <w:spacing w:after="0" w:line="288" w:lineRule="auto"/>
        <w:tabs>
          <w:tab w:leader="none" w:pos="5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Amounts presented in the table above are included in Other income (expense), net in each of the Registrants’ respective Condensed Statements of Consolidated Income, net of regulatory deferrals.</w:t>
      </w:r>
    </w:p>
    <w:p>
      <w:pPr>
        <w:spacing w:after="0" w:line="130" w:lineRule="exact"/>
        <w:rPr>
          <w:rFonts w:ascii="Arial" w:cs="Arial" w:eastAsia="Arial" w:hAnsi="Arial"/>
          <w:sz w:val="14"/>
          <w:szCs w:val="14"/>
          <w:color w:val="auto"/>
        </w:rPr>
      </w:pPr>
    </w:p>
    <w:p>
      <w:pPr>
        <w:jc w:val="both"/>
        <w:ind w:left="520" w:hanging="255"/>
        <w:spacing w:after="0" w:line="272" w:lineRule="auto"/>
        <w:tabs>
          <w:tab w:leader="none" w:pos="5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A one-time, non-cash settlement cost is required when the total lump sum distributions or other settlements of plan benefit obligations during a plan year exceed the service cost and interest cost components of the net periodic cost for that year. CenterPoint Energy recognized a non-cash settlement cost of $1 million in June and September 2019, respectively, due to lump sum settlement payments.</w:t>
      </w:r>
    </w:p>
    <w:p>
      <w:pPr>
        <w:spacing w:after="0" w:line="142" w:lineRule="exact"/>
        <w:rPr>
          <w:rFonts w:ascii="Arial" w:cs="Arial" w:eastAsia="Arial" w:hAnsi="Arial"/>
          <w:sz w:val="14"/>
          <w:szCs w:val="14"/>
          <w:color w:val="auto"/>
        </w:rPr>
      </w:pPr>
    </w:p>
    <w:p>
      <w:pPr>
        <w:ind w:left="520" w:hanging="255"/>
        <w:spacing w:after="0" w:line="288" w:lineRule="auto"/>
        <w:tabs>
          <w:tab w:leader="none" w:pos="5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A curtailment gain or loss is required when the expected future services of a significant number of employees are reduced or eliminated for the accrual of benefits. In February 2019, CenterPoint Energy recognized a pension curtailment gain of $1 million related to Vectren employees whose employment was terminated after the Merger closed.</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ectPr>
          <w:pgSz w:w="11900" w:h="16838" w:orient="portrait"/>
          <w:cols w:equalWidth="0" w:num="1">
            <w:col w:w="11460"/>
          </w:cols>
          <w:pgMar w:left="220" w:top="129" w:right="219" w:bottom="1440" w:gutter="0" w:footer="0" w:header="0"/>
        </w:sectPr>
      </w:pPr>
    </w:p>
    <w:bookmarkStart w:id="39" w:name="page40"/>
    <w:bookmarkEnd w:id="39"/>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Postretirement Benefits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40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940" w:type="dxa"/>
            <w:vAlign w:val="bottom"/>
            <w:tcBorders>
              <w:bottom w:val="single" w:sz="8" w:color="auto"/>
            </w:tcBorders>
            <w:gridSpan w:val="3"/>
          </w:tcPr>
          <w:p>
            <w:pPr>
              <w:jc w:val="center"/>
              <w:spacing w:after="0"/>
              <w:rPr>
                <w:sz w:val="20"/>
                <w:szCs w:val="20"/>
                <w:color w:val="auto"/>
              </w:rPr>
            </w:pPr>
            <w:r>
              <w:rPr>
                <w:rFonts w:ascii="Arial" w:cs="Arial" w:eastAsia="Arial" w:hAnsi="Arial"/>
                <w:sz w:val="11"/>
                <w:szCs w:val="11"/>
                <w:b w:val="1"/>
                <w:bCs w:val="1"/>
                <w:color w:val="auto"/>
                <w:w w:val="95"/>
              </w:rPr>
              <w:t>Three Months Ended September 30,</w:t>
            </w:r>
          </w:p>
        </w:tc>
        <w:tc>
          <w:tcPr>
            <w:tcW w:w="2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r>
      <w:tr>
        <w:trPr>
          <w:trHeight w:val="206"/>
        </w:trPr>
        <w:tc>
          <w:tcPr>
            <w:tcW w:w="40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63"/>
              <w:spacing w:after="0"/>
              <w:rPr>
                <w:sz w:val="20"/>
                <w:szCs w:val="20"/>
                <w:color w:val="auto"/>
              </w:rPr>
            </w:pPr>
            <w:r>
              <w:rPr>
                <w:rFonts w:ascii="Arial" w:cs="Arial" w:eastAsia="Arial" w:hAnsi="Arial"/>
                <w:sz w:val="11"/>
                <w:szCs w:val="11"/>
                <w:b w:val="1"/>
                <w:bCs w:val="1"/>
                <w:color w:val="auto"/>
                <w:w w:val="97"/>
              </w:rPr>
              <w:t>2019</w:t>
            </w: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center"/>
              <w:ind w:right="23"/>
              <w:spacing w:after="0"/>
              <w:rPr>
                <w:sz w:val="20"/>
                <w:szCs w:val="20"/>
                <w:color w:val="auto"/>
              </w:rPr>
            </w:pPr>
            <w:r>
              <w:rPr>
                <w:rFonts w:ascii="Arial" w:cs="Arial" w:eastAsia="Arial" w:hAnsi="Arial"/>
                <w:sz w:val="11"/>
                <w:szCs w:val="11"/>
                <w:b w:val="1"/>
                <w:bCs w:val="1"/>
                <w:color w:val="auto"/>
                <w:w w:val="89"/>
              </w:rPr>
              <w:t>2018</w:t>
            </w:r>
          </w:p>
        </w:tc>
        <w:tc>
          <w:tcPr>
            <w:tcW w:w="1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r>
      <w:tr>
        <w:trPr>
          <w:trHeight w:val="206"/>
        </w:trPr>
        <w:tc>
          <w:tcPr>
            <w:tcW w:w="40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2"/>
          </w:tcPr>
          <w:p>
            <w:pPr>
              <w:spacing w:after="0"/>
              <w:rPr>
                <w:sz w:val="20"/>
                <w:szCs w:val="20"/>
                <w:color w:val="auto"/>
              </w:rPr>
            </w:pPr>
            <w:r>
              <w:rPr>
                <w:rFonts w:ascii="Arial" w:cs="Arial" w:eastAsia="Arial" w:hAnsi="Arial"/>
                <w:sz w:val="11"/>
                <w:szCs w:val="11"/>
                <w:b w:val="1"/>
                <w:bCs w:val="1"/>
                <w:color w:val="auto"/>
              </w:rPr>
              <w:t>CenterPoint Energy</w:t>
            </w:r>
          </w:p>
        </w:tc>
        <w:tc>
          <w:tcPr>
            <w:tcW w:w="1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1"/>
                <w:szCs w:val="11"/>
                <w:b w:val="1"/>
                <w:bCs w:val="1"/>
                <w:color w:val="auto"/>
                <w:w w:val="93"/>
              </w:rPr>
              <w:t>Houston Electric</w:t>
            </w: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gridSpan w:val="2"/>
          </w:tcPr>
          <w:p>
            <w:pPr>
              <w:ind w:left="240"/>
              <w:spacing w:after="0"/>
              <w:rPr>
                <w:sz w:val="20"/>
                <w:szCs w:val="20"/>
                <w:color w:val="auto"/>
              </w:rPr>
            </w:pPr>
            <w:r>
              <w:rPr>
                <w:rFonts w:ascii="Arial" w:cs="Arial" w:eastAsia="Arial" w:hAnsi="Arial"/>
                <w:sz w:val="11"/>
                <w:szCs w:val="11"/>
                <w:b w:val="1"/>
                <w:bCs w:val="1"/>
                <w:color w:val="auto"/>
              </w:rPr>
              <w:t>CERC</w:t>
            </w:r>
          </w:p>
        </w:tc>
        <w:tc>
          <w:tcPr>
            <w:tcW w:w="1240" w:type="dxa"/>
            <w:vAlign w:val="bottom"/>
            <w:tcBorders>
              <w:bottom w:val="single" w:sz="8" w:color="auto"/>
            </w:tcBorders>
            <w:gridSpan w:val="3"/>
          </w:tcPr>
          <w:p>
            <w:pPr>
              <w:ind w:left="60"/>
              <w:spacing w:after="0"/>
              <w:rPr>
                <w:sz w:val="20"/>
                <w:szCs w:val="20"/>
                <w:color w:val="auto"/>
              </w:rPr>
            </w:pPr>
            <w:r>
              <w:rPr>
                <w:rFonts w:ascii="Arial" w:cs="Arial" w:eastAsia="Arial" w:hAnsi="Arial"/>
                <w:sz w:val="11"/>
                <w:szCs w:val="11"/>
                <w:b w:val="1"/>
                <w:bCs w:val="1"/>
                <w:color w:val="auto"/>
              </w:rPr>
              <w:t>CenterPoint Energy</w:t>
            </w:r>
          </w:p>
        </w:tc>
        <w:tc>
          <w:tcPr>
            <w:tcW w:w="1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1"/>
                <w:szCs w:val="11"/>
                <w:b w:val="1"/>
                <w:bCs w:val="1"/>
                <w:color w:val="auto"/>
                <w:w w:val="93"/>
              </w:rPr>
              <w:t>Houston Electric</w:t>
            </w: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43"/>
              <w:spacing w:after="0"/>
              <w:rPr>
                <w:sz w:val="20"/>
                <w:szCs w:val="20"/>
                <w:color w:val="auto"/>
              </w:rPr>
            </w:pPr>
            <w:r>
              <w:rPr>
                <w:rFonts w:ascii="Arial" w:cs="Arial" w:eastAsia="Arial" w:hAnsi="Arial"/>
                <w:sz w:val="11"/>
                <w:szCs w:val="11"/>
                <w:b w:val="1"/>
                <w:bCs w:val="1"/>
                <w:color w:val="auto"/>
              </w:rPr>
              <w:t>CERC</w:t>
            </w:r>
          </w:p>
        </w:tc>
      </w:tr>
      <w:tr>
        <w:trPr>
          <w:trHeight w:val="196"/>
        </w:trPr>
        <w:tc>
          <w:tcPr>
            <w:tcW w:w="4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40" w:type="dxa"/>
            <w:vAlign w:val="bottom"/>
            <w:gridSpan w:val="3"/>
          </w:tcPr>
          <w:p>
            <w:pPr>
              <w:jc w:val="center"/>
              <w:spacing w:after="0"/>
              <w:rPr>
                <w:sz w:val="20"/>
                <w:szCs w:val="20"/>
                <w:color w:val="auto"/>
              </w:rPr>
            </w:pPr>
            <w:r>
              <w:rPr>
                <w:rFonts w:ascii="Arial" w:cs="Arial" w:eastAsia="Arial" w:hAnsi="Arial"/>
                <w:sz w:val="11"/>
                <w:szCs w:val="11"/>
                <w:b w:val="1"/>
                <w:bCs w:val="1"/>
                <w:color w:val="auto"/>
                <w:w w:val="93"/>
              </w:rPr>
              <w:t>(in millions)</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20"/>
        </w:trPr>
        <w:tc>
          <w:tcPr>
            <w:tcW w:w="4020" w:type="dxa"/>
            <w:vAlign w:val="bottom"/>
            <w:shd w:val="clear" w:color="auto" w:fill="CCEEFF"/>
          </w:tcPr>
          <w:p>
            <w:pPr>
              <w:ind w:left="20"/>
              <w:spacing w:after="0"/>
              <w:rPr>
                <w:sz w:val="20"/>
                <w:szCs w:val="20"/>
                <w:color w:val="auto"/>
              </w:rPr>
            </w:pPr>
            <w:r>
              <w:rPr>
                <w:rFonts w:ascii="Arial" w:cs="Arial" w:eastAsia="Arial" w:hAnsi="Arial"/>
                <w:sz w:val="11"/>
                <w:szCs w:val="11"/>
                <w:color w:val="auto"/>
              </w:rPr>
              <w:t>Service cost (1)</w:t>
            </w: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06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w w:val="97"/>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jc w:val="right"/>
              <w:ind w:right="48"/>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40" w:type="dxa"/>
            <w:vAlign w:val="bottom"/>
            <w:shd w:val="clear" w:color="auto" w:fill="CCEEFF"/>
          </w:tcPr>
          <w:p>
            <w:pPr>
              <w:jc w:val="right"/>
              <w:ind w:right="703"/>
              <w:spacing w:after="0"/>
              <w:rPr>
                <w:sz w:val="20"/>
                <w:szCs w:val="20"/>
                <w:color w:val="auto"/>
              </w:rPr>
            </w:pPr>
            <w:r>
              <w:rPr>
                <w:rFonts w:ascii="Arial" w:cs="Arial" w:eastAsia="Arial" w:hAnsi="Arial"/>
                <w:sz w:val="11"/>
                <w:szCs w:val="11"/>
                <w:color w:val="auto"/>
                <w:w w:val="97"/>
              </w:rPr>
              <w:t>$</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EFF"/>
          </w:tcPr>
          <w:p>
            <w:pPr>
              <w:jc w:val="right"/>
              <w:ind w:right="128"/>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1</w:t>
            </w:r>
          </w:p>
        </w:tc>
      </w:tr>
      <w:tr>
        <w:trPr>
          <w:trHeight w:val="211"/>
        </w:trPr>
        <w:tc>
          <w:tcPr>
            <w:tcW w:w="4020" w:type="dxa"/>
            <w:vAlign w:val="bottom"/>
          </w:tcPr>
          <w:p>
            <w:pPr>
              <w:ind w:left="20"/>
              <w:spacing w:after="0"/>
              <w:rPr>
                <w:sz w:val="20"/>
                <w:szCs w:val="20"/>
                <w:color w:val="auto"/>
              </w:rPr>
            </w:pPr>
            <w:r>
              <w:rPr>
                <w:rFonts w:ascii="Arial" w:cs="Arial" w:eastAsia="Arial" w:hAnsi="Arial"/>
                <w:sz w:val="11"/>
                <w:szCs w:val="11"/>
                <w:color w:val="auto"/>
              </w:rPr>
              <w:t>Interest cost (2)</w:t>
            </w:r>
          </w:p>
        </w:tc>
        <w:tc>
          <w:tcPr>
            <w:tcW w:w="100" w:type="dxa"/>
            <w:vAlign w:val="bottom"/>
          </w:tcPr>
          <w:p>
            <w:pPr>
              <w:spacing w:after="0"/>
              <w:rPr>
                <w:sz w:val="18"/>
                <w:szCs w:val="18"/>
                <w:color w:val="auto"/>
              </w:rPr>
            </w:pPr>
          </w:p>
        </w:tc>
        <w:tc>
          <w:tcPr>
            <w:tcW w:w="1060" w:type="dxa"/>
            <w:vAlign w:val="bottom"/>
          </w:tcPr>
          <w:p>
            <w:pPr>
              <w:jc w:val="right"/>
              <w:ind w:right="43"/>
              <w:spacing w:after="0"/>
              <w:rPr>
                <w:sz w:val="20"/>
                <w:szCs w:val="20"/>
                <w:color w:val="auto"/>
              </w:rPr>
            </w:pPr>
            <w:r>
              <w:rPr>
                <w:rFonts w:ascii="Arial" w:cs="Arial" w:eastAsia="Arial" w:hAnsi="Arial"/>
                <w:sz w:val="11"/>
                <w:szCs w:val="11"/>
                <w:color w:val="auto"/>
              </w:rPr>
              <w:t>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ind w:right="63"/>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43"/>
              <w:spacing w:after="0"/>
              <w:rPr>
                <w:sz w:val="20"/>
                <w:szCs w:val="20"/>
                <w:color w:val="auto"/>
              </w:rPr>
            </w:pPr>
            <w:r>
              <w:rPr>
                <w:rFonts w:ascii="Arial" w:cs="Arial" w:eastAsia="Arial" w:hAnsi="Arial"/>
                <w:sz w:val="11"/>
                <w:szCs w:val="11"/>
                <w:color w:val="auto"/>
              </w:rPr>
              <w:t>2</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jc w:val="right"/>
              <w:ind w:right="43"/>
              <w:spacing w:after="0"/>
              <w:rPr>
                <w:sz w:val="20"/>
                <w:szCs w:val="20"/>
                <w:color w:val="auto"/>
              </w:rPr>
            </w:pPr>
            <w:r>
              <w:rPr>
                <w:rFonts w:ascii="Arial" w:cs="Arial" w:eastAsia="Arial" w:hAnsi="Arial"/>
                <w:sz w:val="11"/>
                <w:szCs w:val="11"/>
                <w:color w:val="auto"/>
              </w:rPr>
              <w:t>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43"/>
              <w:spacing w:after="0"/>
              <w:rPr>
                <w:sz w:val="20"/>
                <w:szCs w:val="20"/>
                <w:color w:val="auto"/>
              </w:rPr>
            </w:pPr>
            <w:r>
              <w:rPr>
                <w:rFonts w:ascii="Arial" w:cs="Arial" w:eastAsia="Arial" w:hAnsi="Arial"/>
                <w:sz w:val="11"/>
                <w:szCs w:val="11"/>
                <w:color w:val="auto"/>
              </w:rPr>
              <w:t>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43"/>
              <w:spacing w:after="0"/>
              <w:rPr>
                <w:sz w:val="20"/>
                <w:szCs w:val="20"/>
                <w:color w:val="auto"/>
              </w:rPr>
            </w:pPr>
            <w:r>
              <w:rPr>
                <w:rFonts w:ascii="Arial" w:cs="Arial" w:eastAsia="Arial" w:hAnsi="Arial"/>
                <w:sz w:val="11"/>
                <w:szCs w:val="11"/>
                <w:color w:val="auto"/>
              </w:rPr>
              <w:t>1</w:t>
            </w:r>
          </w:p>
        </w:tc>
      </w:tr>
      <w:tr>
        <w:trPr>
          <w:trHeight w:val="220"/>
        </w:trPr>
        <w:tc>
          <w:tcPr>
            <w:tcW w:w="4020" w:type="dxa"/>
            <w:vAlign w:val="bottom"/>
            <w:shd w:val="clear" w:color="auto" w:fill="CCEEFF"/>
          </w:tcPr>
          <w:p>
            <w:pPr>
              <w:ind w:left="20"/>
              <w:spacing w:after="0"/>
              <w:rPr>
                <w:sz w:val="20"/>
                <w:szCs w:val="20"/>
                <w:color w:val="auto"/>
              </w:rPr>
            </w:pPr>
            <w:r>
              <w:rPr>
                <w:rFonts w:ascii="Arial" w:cs="Arial" w:eastAsia="Arial" w:hAnsi="Arial"/>
                <w:sz w:val="11"/>
                <w:szCs w:val="11"/>
                <w:color w:val="auto"/>
              </w:rPr>
              <w:t>Expected return on plan assets (2)</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4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w:t>
            </w:r>
          </w:p>
        </w:tc>
      </w:tr>
      <w:tr>
        <w:trPr>
          <w:trHeight w:val="211"/>
        </w:trPr>
        <w:tc>
          <w:tcPr>
            <w:tcW w:w="402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Amortization of prior service cost (credit) (2)</w:t>
            </w: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23"/>
              <w:spacing w:after="0"/>
              <w:rPr>
                <w:sz w:val="20"/>
                <w:szCs w:val="20"/>
                <w:color w:val="auto"/>
              </w:rPr>
            </w:pPr>
            <w:r>
              <w:rPr>
                <w:rFonts w:ascii="Arial" w:cs="Arial" w:eastAsia="Arial" w:hAnsi="Arial"/>
                <w:sz w:val="11"/>
                <w:szCs w:val="11"/>
                <w:color w:val="auto"/>
              </w:rPr>
              <w:t>(1)</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23"/>
              <w:spacing w:after="0"/>
              <w:rPr>
                <w:sz w:val="20"/>
                <w:szCs w:val="20"/>
                <w:color w:val="auto"/>
              </w:rPr>
            </w:pPr>
            <w:r>
              <w:rPr>
                <w:rFonts w:ascii="Arial" w:cs="Arial" w:eastAsia="Arial" w:hAnsi="Arial"/>
                <w:sz w:val="11"/>
                <w:szCs w:val="11"/>
                <w:color w:val="auto"/>
              </w:rPr>
              <w:t>(1)</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(1)</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(1)</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auto"/>
              </w:rPr>
              <w:t>—</w:t>
            </w:r>
          </w:p>
        </w:tc>
      </w:tr>
      <w:tr>
        <w:trPr>
          <w:trHeight w:val="189"/>
        </w:trPr>
        <w:tc>
          <w:tcPr>
            <w:tcW w:w="4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Net periodic cost (income)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06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1"/>
                <w:szCs w:val="11"/>
                <w:color w:val="auto"/>
              </w:rPr>
              <w:t>2</w:t>
            </w: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w w:val="97"/>
              </w:rPr>
              <w:t>$</w:t>
            </w:r>
          </w:p>
        </w:tc>
        <w:tc>
          <w:tcPr>
            <w:tcW w:w="104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1"/>
                <w:szCs w:val="11"/>
                <w:color w:val="auto"/>
              </w:rPr>
              <w:t>(1)</w:t>
            </w: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1"/>
                <w:szCs w:val="11"/>
                <w:color w:val="auto"/>
              </w:rPr>
              <w:t>2</w:t>
            </w:r>
          </w:p>
        </w:tc>
        <w:tc>
          <w:tcPr>
            <w:tcW w:w="12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ind w:right="703"/>
              <w:spacing w:after="0"/>
              <w:rPr>
                <w:sz w:val="20"/>
                <w:szCs w:val="20"/>
                <w:color w:val="auto"/>
              </w:rPr>
            </w:pPr>
            <w:r>
              <w:rPr>
                <w:rFonts w:ascii="Arial" w:cs="Arial" w:eastAsia="Arial" w:hAnsi="Arial"/>
                <w:sz w:val="11"/>
                <w:szCs w:val="11"/>
                <w:color w:val="auto"/>
                <w:w w:val="97"/>
              </w:rPr>
              <w:t>$</w:t>
            </w:r>
          </w:p>
        </w:tc>
        <w:tc>
          <w:tcPr>
            <w:tcW w:w="28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1"/>
                <w:szCs w:val="11"/>
                <w:color w:val="auto"/>
              </w:rPr>
              <w:t>1</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0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1"/>
                <w:szCs w:val="11"/>
                <w:color w:val="auto"/>
              </w:rPr>
              <w:t>2</w:t>
            </w:r>
          </w:p>
        </w:tc>
      </w:tr>
      <w:tr>
        <w:trPr>
          <w:trHeight w:val="20"/>
        </w:trPr>
        <w:tc>
          <w:tcPr>
            <w:tcW w:w="40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399"/>
        </w:trPr>
        <w:tc>
          <w:tcPr>
            <w:tcW w:w="40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gridSpan w:val="3"/>
          </w:tcPr>
          <w:p>
            <w:pPr>
              <w:jc w:val="center"/>
              <w:ind w:left="3"/>
              <w:spacing w:after="0"/>
              <w:rPr>
                <w:sz w:val="20"/>
                <w:szCs w:val="20"/>
                <w:color w:val="auto"/>
              </w:rPr>
            </w:pPr>
            <w:r>
              <w:rPr>
                <w:rFonts w:ascii="Arial" w:cs="Arial" w:eastAsia="Arial" w:hAnsi="Arial"/>
                <w:sz w:val="11"/>
                <w:szCs w:val="11"/>
                <w:b w:val="1"/>
                <w:bCs w:val="1"/>
                <w:color w:val="auto"/>
                <w:w w:val="95"/>
              </w:rPr>
              <w:t>Nine Months Ended September 30,</w:t>
            </w:r>
          </w:p>
        </w:tc>
        <w:tc>
          <w:tcPr>
            <w:tcW w:w="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r>
      <w:tr>
        <w:trPr>
          <w:trHeight w:val="206"/>
        </w:trPr>
        <w:tc>
          <w:tcPr>
            <w:tcW w:w="40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63"/>
              <w:spacing w:after="0"/>
              <w:rPr>
                <w:sz w:val="20"/>
                <w:szCs w:val="20"/>
                <w:color w:val="auto"/>
              </w:rPr>
            </w:pPr>
            <w:r>
              <w:rPr>
                <w:rFonts w:ascii="Arial" w:cs="Arial" w:eastAsia="Arial" w:hAnsi="Arial"/>
                <w:sz w:val="11"/>
                <w:szCs w:val="11"/>
                <w:b w:val="1"/>
                <w:bCs w:val="1"/>
                <w:color w:val="auto"/>
                <w:w w:val="97"/>
              </w:rPr>
              <w:t>2019</w:t>
            </w: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center"/>
              <w:ind w:right="23"/>
              <w:spacing w:after="0"/>
              <w:rPr>
                <w:sz w:val="20"/>
                <w:szCs w:val="20"/>
                <w:color w:val="auto"/>
              </w:rPr>
            </w:pPr>
            <w:r>
              <w:rPr>
                <w:rFonts w:ascii="Arial" w:cs="Arial" w:eastAsia="Arial" w:hAnsi="Arial"/>
                <w:sz w:val="11"/>
                <w:szCs w:val="11"/>
                <w:b w:val="1"/>
                <w:bCs w:val="1"/>
                <w:color w:val="auto"/>
                <w:w w:val="89"/>
              </w:rPr>
              <w:t>2018</w:t>
            </w:r>
          </w:p>
        </w:tc>
        <w:tc>
          <w:tcPr>
            <w:tcW w:w="1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r>
      <w:tr>
        <w:trPr>
          <w:trHeight w:val="206"/>
        </w:trPr>
        <w:tc>
          <w:tcPr>
            <w:tcW w:w="40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2"/>
          </w:tcPr>
          <w:p>
            <w:pPr>
              <w:spacing w:after="0"/>
              <w:rPr>
                <w:sz w:val="20"/>
                <w:szCs w:val="20"/>
                <w:color w:val="auto"/>
              </w:rPr>
            </w:pPr>
            <w:r>
              <w:rPr>
                <w:rFonts w:ascii="Arial" w:cs="Arial" w:eastAsia="Arial" w:hAnsi="Arial"/>
                <w:sz w:val="11"/>
                <w:szCs w:val="11"/>
                <w:b w:val="1"/>
                <w:bCs w:val="1"/>
                <w:color w:val="auto"/>
              </w:rPr>
              <w:t>CenterPoint Energy</w:t>
            </w:r>
          </w:p>
        </w:tc>
        <w:tc>
          <w:tcPr>
            <w:tcW w:w="1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1"/>
                <w:szCs w:val="11"/>
                <w:b w:val="1"/>
                <w:bCs w:val="1"/>
                <w:color w:val="auto"/>
                <w:w w:val="93"/>
              </w:rPr>
              <w:t>Houston Electric</w:t>
            </w: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gridSpan w:val="2"/>
          </w:tcPr>
          <w:p>
            <w:pPr>
              <w:ind w:left="240"/>
              <w:spacing w:after="0"/>
              <w:rPr>
                <w:sz w:val="20"/>
                <w:szCs w:val="20"/>
                <w:color w:val="auto"/>
              </w:rPr>
            </w:pPr>
            <w:r>
              <w:rPr>
                <w:rFonts w:ascii="Arial" w:cs="Arial" w:eastAsia="Arial" w:hAnsi="Arial"/>
                <w:sz w:val="11"/>
                <w:szCs w:val="11"/>
                <w:b w:val="1"/>
                <w:bCs w:val="1"/>
                <w:color w:val="auto"/>
              </w:rPr>
              <w:t>CERC</w:t>
            </w:r>
          </w:p>
        </w:tc>
        <w:tc>
          <w:tcPr>
            <w:tcW w:w="1240" w:type="dxa"/>
            <w:vAlign w:val="bottom"/>
            <w:tcBorders>
              <w:bottom w:val="single" w:sz="8" w:color="auto"/>
            </w:tcBorders>
            <w:gridSpan w:val="3"/>
          </w:tcPr>
          <w:p>
            <w:pPr>
              <w:ind w:left="60"/>
              <w:spacing w:after="0"/>
              <w:rPr>
                <w:sz w:val="20"/>
                <w:szCs w:val="20"/>
                <w:color w:val="auto"/>
              </w:rPr>
            </w:pPr>
            <w:r>
              <w:rPr>
                <w:rFonts w:ascii="Arial" w:cs="Arial" w:eastAsia="Arial" w:hAnsi="Arial"/>
                <w:sz w:val="11"/>
                <w:szCs w:val="11"/>
                <w:b w:val="1"/>
                <w:bCs w:val="1"/>
                <w:color w:val="auto"/>
              </w:rPr>
              <w:t>CenterPoint Energy</w:t>
            </w:r>
          </w:p>
        </w:tc>
        <w:tc>
          <w:tcPr>
            <w:tcW w:w="1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1"/>
                <w:szCs w:val="11"/>
                <w:b w:val="1"/>
                <w:bCs w:val="1"/>
                <w:color w:val="auto"/>
                <w:w w:val="93"/>
              </w:rPr>
              <w:t>Houston Electric</w:t>
            </w: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43"/>
              <w:spacing w:after="0"/>
              <w:rPr>
                <w:sz w:val="20"/>
                <w:szCs w:val="20"/>
                <w:color w:val="auto"/>
              </w:rPr>
            </w:pPr>
            <w:r>
              <w:rPr>
                <w:rFonts w:ascii="Arial" w:cs="Arial" w:eastAsia="Arial" w:hAnsi="Arial"/>
                <w:sz w:val="11"/>
                <w:szCs w:val="11"/>
                <w:b w:val="1"/>
                <w:bCs w:val="1"/>
                <w:color w:val="auto"/>
              </w:rPr>
              <w:t>CERC</w:t>
            </w:r>
          </w:p>
        </w:tc>
      </w:tr>
      <w:tr>
        <w:trPr>
          <w:trHeight w:val="196"/>
        </w:trPr>
        <w:tc>
          <w:tcPr>
            <w:tcW w:w="4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40" w:type="dxa"/>
            <w:vAlign w:val="bottom"/>
            <w:gridSpan w:val="3"/>
          </w:tcPr>
          <w:p>
            <w:pPr>
              <w:jc w:val="center"/>
              <w:spacing w:after="0"/>
              <w:rPr>
                <w:sz w:val="20"/>
                <w:szCs w:val="20"/>
                <w:color w:val="auto"/>
              </w:rPr>
            </w:pPr>
            <w:r>
              <w:rPr>
                <w:rFonts w:ascii="Arial" w:cs="Arial" w:eastAsia="Arial" w:hAnsi="Arial"/>
                <w:sz w:val="11"/>
                <w:szCs w:val="11"/>
                <w:b w:val="1"/>
                <w:bCs w:val="1"/>
                <w:color w:val="auto"/>
                <w:w w:val="93"/>
              </w:rPr>
              <w:t>(in millions)</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20"/>
        </w:trPr>
        <w:tc>
          <w:tcPr>
            <w:tcW w:w="4020" w:type="dxa"/>
            <w:vAlign w:val="bottom"/>
            <w:shd w:val="clear" w:color="auto" w:fill="CCEEFF"/>
          </w:tcPr>
          <w:p>
            <w:pPr>
              <w:ind w:left="20"/>
              <w:spacing w:after="0"/>
              <w:rPr>
                <w:sz w:val="20"/>
                <w:szCs w:val="20"/>
                <w:color w:val="auto"/>
              </w:rPr>
            </w:pPr>
            <w:r>
              <w:rPr>
                <w:rFonts w:ascii="Arial" w:cs="Arial" w:eastAsia="Arial" w:hAnsi="Arial"/>
                <w:sz w:val="11"/>
                <w:szCs w:val="11"/>
                <w:color w:val="auto"/>
              </w:rPr>
              <w:t>Service cost (1)</w:t>
            </w: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06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w w:val="97"/>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jc w:val="right"/>
              <w:ind w:right="48"/>
              <w:spacing w:after="0"/>
              <w:rPr>
                <w:sz w:val="20"/>
                <w:szCs w:val="20"/>
                <w:color w:val="auto"/>
              </w:rPr>
            </w:pPr>
            <w:r>
              <w:rPr>
                <w:rFonts w:ascii="Arial" w:cs="Arial" w:eastAsia="Arial" w:hAnsi="Arial"/>
                <w:sz w:val="10"/>
                <w:szCs w:val="10"/>
                <w:color w:val="auto"/>
                <w:w w:val="71"/>
              </w:rPr>
              <w:t>$</w:t>
            </w:r>
          </w:p>
        </w:tc>
        <w:tc>
          <w:tcPr>
            <w:tcW w:w="98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1</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703"/>
              <w:spacing w:after="0"/>
              <w:rPr>
                <w:sz w:val="20"/>
                <w:szCs w:val="20"/>
                <w:color w:val="auto"/>
              </w:rPr>
            </w:pPr>
            <w:r>
              <w:rPr>
                <w:rFonts w:ascii="Arial" w:cs="Arial" w:eastAsia="Arial" w:hAnsi="Arial"/>
                <w:sz w:val="11"/>
                <w:szCs w:val="11"/>
                <w:color w:val="auto"/>
                <w:w w:val="97"/>
              </w:rPr>
              <w:t>$</w:t>
            </w:r>
          </w:p>
        </w:tc>
        <w:tc>
          <w:tcPr>
            <w:tcW w:w="28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1</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EFF"/>
          </w:tcPr>
          <w:p>
            <w:pPr>
              <w:jc w:val="right"/>
              <w:ind w:right="128"/>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1</w:t>
            </w:r>
          </w:p>
        </w:tc>
      </w:tr>
      <w:tr>
        <w:trPr>
          <w:trHeight w:val="211"/>
        </w:trPr>
        <w:tc>
          <w:tcPr>
            <w:tcW w:w="4020" w:type="dxa"/>
            <w:vAlign w:val="bottom"/>
          </w:tcPr>
          <w:p>
            <w:pPr>
              <w:ind w:left="20"/>
              <w:spacing w:after="0"/>
              <w:rPr>
                <w:sz w:val="20"/>
                <w:szCs w:val="20"/>
                <w:color w:val="auto"/>
              </w:rPr>
            </w:pPr>
            <w:r>
              <w:rPr>
                <w:rFonts w:ascii="Arial" w:cs="Arial" w:eastAsia="Arial" w:hAnsi="Arial"/>
                <w:sz w:val="11"/>
                <w:szCs w:val="11"/>
                <w:color w:val="auto"/>
              </w:rPr>
              <w:t>Interest cost (2)</w:t>
            </w:r>
          </w:p>
        </w:tc>
        <w:tc>
          <w:tcPr>
            <w:tcW w:w="100" w:type="dxa"/>
            <w:vAlign w:val="bottom"/>
          </w:tcPr>
          <w:p>
            <w:pPr>
              <w:spacing w:after="0"/>
              <w:rPr>
                <w:sz w:val="18"/>
                <w:szCs w:val="18"/>
                <w:color w:val="auto"/>
              </w:rPr>
            </w:pPr>
          </w:p>
        </w:tc>
        <w:tc>
          <w:tcPr>
            <w:tcW w:w="1060" w:type="dxa"/>
            <w:vAlign w:val="bottom"/>
          </w:tcPr>
          <w:p>
            <w:pPr>
              <w:jc w:val="right"/>
              <w:ind w:right="43"/>
              <w:spacing w:after="0"/>
              <w:rPr>
                <w:sz w:val="20"/>
                <w:szCs w:val="20"/>
                <w:color w:val="auto"/>
              </w:rPr>
            </w:pPr>
            <w:r>
              <w:rPr>
                <w:rFonts w:ascii="Arial" w:cs="Arial" w:eastAsia="Arial" w:hAnsi="Arial"/>
                <w:sz w:val="11"/>
                <w:szCs w:val="11"/>
                <w:color w:val="auto"/>
              </w:rPr>
              <w:t>12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ind w:right="63"/>
              <w:spacing w:after="0"/>
              <w:rPr>
                <w:sz w:val="20"/>
                <w:szCs w:val="20"/>
                <w:color w:val="auto"/>
              </w:rPr>
            </w:pPr>
            <w:r>
              <w:rPr>
                <w:rFonts w:ascii="Arial" w:cs="Arial" w:eastAsia="Arial" w:hAnsi="Arial"/>
                <w:sz w:val="11"/>
                <w:szCs w:val="11"/>
                <w:color w:val="auto"/>
              </w:rPr>
              <w:t>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43"/>
              <w:spacing w:after="0"/>
              <w:rPr>
                <w:sz w:val="20"/>
                <w:szCs w:val="20"/>
                <w:color w:val="auto"/>
              </w:rPr>
            </w:pPr>
            <w:r>
              <w:rPr>
                <w:rFonts w:ascii="Arial" w:cs="Arial" w:eastAsia="Arial" w:hAnsi="Arial"/>
                <w:sz w:val="11"/>
                <w:szCs w:val="11"/>
                <w:color w:val="auto"/>
              </w:rPr>
              <w:t>4</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jc w:val="right"/>
              <w:ind w:right="43"/>
              <w:spacing w:after="0"/>
              <w:rPr>
                <w:sz w:val="20"/>
                <w:szCs w:val="20"/>
                <w:color w:val="auto"/>
              </w:rPr>
            </w:pPr>
            <w:r>
              <w:rPr>
                <w:rFonts w:ascii="Arial" w:cs="Arial" w:eastAsia="Arial" w:hAnsi="Arial"/>
                <w:sz w:val="11"/>
                <w:szCs w:val="11"/>
                <w:color w:val="auto"/>
              </w:rPr>
              <w:t>10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43"/>
              <w:spacing w:after="0"/>
              <w:rPr>
                <w:sz w:val="20"/>
                <w:szCs w:val="20"/>
                <w:color w:val="auto"/>
              </w:rPr>
            </w:pPr>
            <w:r>
              <w:rPr>
                <w:rFonts w:ascii="Arial" w:cs="Arial" w:eastAsia="Arial" w:hAnsi="Arial"/>
                <w:sz w:val="11"/>
                <w:szCs w:val="11"/>
                <w:color w:val="auto"/>
              </w:rPr>
              <w:t>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43"/>
              <w:spacing w:after="0"/>
              <w:rPr>
                <w:sz w:val="20"/>
                <w:szCs w:val="20"/>
                <w:color w:val="auto"/>
              </w:rPr>
            </w:pPr>
            <w:r>
              <w:rPr>
                <w:rFonts w:ascii="Arial" w:cs="Arial" w:eastAsia="Arial" w:hAnsi="Arial"/>
                <w:sz w:val="11"/>
                <w:szCs w:val="11"/>
                <w:color w:val="auto"/>
              </w:rPr>
              <w:t>3</w:t>
            </w:r>
          </w:p>
        </w:tc>
      </w:tr>
      <w:tr>
        <w:trPr>
          <w:trHeight w:val="220"/>
        </w:trPr>
        <w:tc>
          <w:tcPr>
            <w:tcW w:w="4020" w:type="dxa"/>
            <w:vAlign w:val="bottom"/>
            <w:shd w:val="clear" w:color="auto" w:fill="CCEEFF"/>
          </w:tcPr>
          <w:p>
            <w:pPr>
              <w:ind w:left="20"/>
              <w:spacing w:after="0"/>
              <w:rPr>
                <w:sz w:val="20"/>
                <w:szCs w:val="20"/>
                <w:color w:val="auto"/>
              </w:rPr>
            </w:pPr>
            <w:r>
              <w:rPr>
                <w:rFonts w:ascii="Arial" w:cs="Arial" w:eastAsia="Arial" w:hAnsi="Arial"/>
                <w:sz w:val="11"/>
                <w:szCs w:val="11"/>
                <w:color w:val="auto"/>
              </w:rPr>
              <w:t>Expected return on plan assets (2)</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(4)</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w:t>
            </w:r>
          </w:p>
        </w:tc>
      </w:tr>
      <w:tr>
        <w:trPr>
          <w:trHeight w:val="211"/>
        </w:trPr>
        <w:tc>
          <w:tcPr>
            <w:tcW w:w="4020" w:type="dxa"/>
            <w:vAlign w:val="bottom"/>
          </w:tcPr>
          <w:p>
            <w:pPr>
              <w:ind w:left="20"/>
              <w:spacing w:after="0"/>
              <w:rPr>
                <w:sz w:val="20"/>
                <w:szCs w:val="20"/>
                <w:color w:val="auto"/>
              </w:rPr>
            </w:pPr>
            <w:r>
              <w:rPr>
                <w:rFonts w:ascii="Arial" w:cs="Arial" w:eastAsia="Arial" w:hAnsi="Arial"/>
                <w:sz w:val="11"/>
                <w:szCs w:val="11"/>
                <w:color w:val="auto"/>
              </w:rPr>
              <w:t>Amortization of prior service cost (credit) (2)</w:t>
            </w:r>
          </w:p>
        </w:tc>
        <w:tc>
          <w:tcPr>
            <w:tcW w:w="100" w:type="dxa"/>
            <w:vAlign w:val="bottom"/>
          </w:tcPr>
          <w:p>
            <w:pPr>
              <w:spacing w:after="0"/>
              <w:rPr>
                <w:sz w:val="18"/>
                <w:szCs w:val="18"/>
                <w:color w:val="auto"/>
              </w:rPr>
            </w:pPr>
          </w:p>
        </w:tc>
        <w:tc>
          <w:tcPr>
            <w:tcW w:w="1060" w:type="dxa"/>
            <w:vAlign w:val="bottom"/>
          </w:tcPr>
          <w:p>
            <w:pPr>
              <w:jc w:val="right"/>
              <w:ind w:right="23"/>
              <w:spacing w:after="0"/>
              <w:rPr>
                <w:sz w:val="20"/>
                <w:szCs w:val="20"/>
                <w:color w:val="auto"/>
              </w:rPr>
            </w:pPr>
            <w:r>
              <w:rPr>
                <w:rFonts w:ascii="Arial" w:cs="Arial" w:eastAsia="Arial" w:hAnsi="Arial"/>
                <w:sz w:val="11"/>
                <w:szCs w:val="11"/>
                <w:color w:val="auto"/>
              </w:rPr>
              <w:t>(3)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ind w:right="23"/>
              <w:spacing w:after="0"/>
              <w:rPr>
                <w:sz w:val="20"/>
                <w:szCs w:val="20"/>
                <w:color w:val="auto"/>
              </w:rPr>
            </w:pPr>
            <w:r>
              <w:rPr>
                <w:rFonts w:ascii="Arial" w:cs="Arial" w:eastAsia="Arial" w:hAnsi="Arial"/>
                <w:sz w:val="11"/>
                <w:szCs w:val="11"/>
                <w:color w:val="auto"/>
              </w:rPr>
              <w:t>(4)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40" w:type="dxa"/>
            <w:vAlign w:val="bottom"/>
          </w:tcPr>
          <w:p>
            <w:pPr>
              <w:spacing w:after="0"/>
              <w:rPr>
                <w:sz w:val="18"/>
                <w:szCs w:val="18"/>
                <w:color w:val="auto"/>
              </w:rPr>
            </w:pPr>
          </w:p>
        </w:tc>
        <w:tc>
          <w:tcPr>
            <w:tcW w:w="280" w:type="dxa"/>
            <w:vAlign w:val="bottom"/>
          </w:tcPr>
          <w:p>
            <w:pPr>
              <w:jc w:val="right"/>
              <w:ind w:right="3"/>
              <w:spacing w:after="0"/>
              <w:rPr>
                <w:sz w:val="20"/>
                <w:szCs w:val="20"/>
                <w:color w:val="auto"/>
              </w:rPr>
            </w:pPr>
            <w:r>
              <w:rPr>
                <w:rFonts w:ascii="Arial" w:cs="Arial" w:eastAsia="Arial" w:hAnsi="Arial"/>
                <w:sz w:val="11"/>
                <w:szCs w:val="11"/>
                <w:color w:val="auto"/>
              </w:rPr>
              <w:t>(3)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3"/>
              <w:spacing w:after="0"/>
              <w:rPr>
                <w:sz w:val="20"/>
                <w:szCs w:val="20"/>
                <w:color w:val="auto"/>
              </w:rPr>
            </w:pPr>
            <w:r>
              <w:rPr>
                <w:rFonts w:ascii="Arial" w:cs="Arial" w:eastAsia="Arial" w:hAnsi="Arial"/>
                <w:sz w:val="11"/>
                <w:szCs w:val="11"/>
                <w:color w:val="auto"/>
              </w:rPr>
              <w:t>(4)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43"/>
              <w:spacing w:after="0"/>
              <w:rPr>
                <w:sz w:val="20"/>
                <w:szCs w:val="20"/>
                <w:color w:val="auto"/>
              </w:rPr>
            </w:pPr>
            <w:r>
              <w:rPr>
                <w:rFonts w:ascii="Arial" w:cs="Arial" w:eastAsia="Arial" w:hAnsi="Arial"/>
                <w:sz w:val="11"/>
                <w:szCs w:val="11"/>
                <w:color w:val="auto"/>
              </w:rPr>
              <w:t>1</w:t>
            </w:r>
          </w:p>
        </w:tc>
      </w:tr>
      <w:tr>
        <w:trPr>
          <w:trHeight w:val="189"/>
        </w:trPr>
        <w:tc>
          <w:tcPr>
            <w:tcW w:w="4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Net periodic cost (income)</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06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Arial" w:cs="Arial" w:eastAsia="Arial" w:hAnsi="Arial"/>
                <w:sz w:val="11"/>
                <w:szCs w:val="11"/>
                <w:color w:val="auto"/>
              </w:rPr>
              <w:t>6</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w w:val="97"/>
              </w:rPr>
              <w:t>$</w:t>
            </w:r>
          </w:p>
        </w:tc>
        <w:tc>
          <w:tcPr>
            <w:tcW w:w="104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Arial" w:cs="Arial" w:eastAsia="Arial" w:hAnsi="Arial"/>
                <w:sz w:val="11"/>
                <w:szCs w:val="11"/>
                <w:color w:val="auto"/>
              </w:rPr>
              <w:t>(2)</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Arial" w:cs="Arial" w:eastAsia="Arial" w:hAnsi="Arial"/>
                <w:sz w:val="11"/>
                <w:szCs w:val="11"/>
                <w:color w:val="auto"/>
              </w:rPr>
              <w:t>4</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840" w:type="dxa"/>
            <w:vAlign w:val="bottom"/>
            <w:tcBorders>
              <w:top w:val="single" w:sz="8" w:color="auto"/>
              <w:bottom w:val="single" w:sz="8" w:color="auto"/>
            </w:tcBorders>
            <w:shd w:val="clear" w:color="auto" w:fill="CCEEFF"/>
          </w:tcPr>
          <w:p>
            <w:pPr>
              <w:jc w:val="right"/>
              <w:ind w:right="703"/>
              <w:spacing w:after="0"/>
              <w:rPr>
                <w:sz w:val="20"/>
                <w:szCs w:val="20"/>
                <w:color w:val="auto"/>
              </w:rPr>
            </w:pPr>
            <w:r>
              <w:rPr>
                <w:rFonts w:ascii="Arial" w:cs="Arial" w:eastAsia="Arial" w:hAnsi="Arial"/>
                <w:sz w:val="11"/>
                <w:szCs w:val="11"/>
                <w:color w:val="auto"/>
                <w:w w:val="97"/>
              </w:rPr>
              <w:t>$</w:t>
            </w:r>
          </w:p>
        </w:tc>
        <w:tc>
          <w:tcPr>
            <w:tcW w:w="28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Arial" w:cs="Arial" w:eastAsia="Arial" w:hAnsi="Arial"/>
                <w:sz w:val="11"/>
                <w:szCs w:val="11"/>
                <w:color w:val="auto"/>
              </w:rPr>
              <w:t>4</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02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Arial" w:cs="Arial" w:eastAsia="Arial" w:hAnsi="Arial"/>
                <w:sz w:val="11"/>
                <w:szCs w:val="11"/>
                <w:color w:val="auto"/>
              </w:rPr>
              <w:t>4</w:t>
            </w:r>
          </w:p>
        </w:tc>
      </w:tr>
      <w:tr>
        <w:trPr>
          <w:trHeight w:val="20"/>
        </w:trPr>
        <w:tc>
          <w:tcPr>
            <w:tcW w:w="40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334" w:lineRule="exact"/>
        <w:rPr>
          <w:sz w:val="20"/>
          <w:szCs w:val="20"/>
          <w:color w:val="auto"/>
        </w:rPr>
      </w:pPr>
    </w:p>
    <w:p>
      <w:pPr>
        <w:ind w:left="520" w:hanging="255"/>
        <w:spacing w:after="0" w:line="288" w:lineRule="auto"/>
        <w:tabs>
          <w:tab w:leader="none" w:pos="5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Amounts presented in the tables above are included in Operation and maintenance expense in each of the Registrants’ respective Condensed Statements of Consolidated Income, net of amounts capitalized and regulatory deferrals.</w:t>
      </w:r>
    </w:p>
    <w:p>
      <w:pPr>
        <w:spacing w:after="0" w:line="130" w:lineRule="exact"/>
        <w:rPr>
          <w:rFonts w:ascii="Arial" w:cs="Arial" w:eastAsia="Arial" w:hAnsi="Arial"/>
          <w:sz w:val="14"/>
          <w:szCs w:val="14"/>
          <w:color w:val="auto"/>
        </w:rPr>
      </w:pPr>
    </w:p>
    <w:p>
      <w:pPr>
        <w:ind w:left="520" w:hanging="255"/>
        <w:spacing w:after="0" w:line="288" w:lineRule="auto"/>
        <w:tabs>
          <w:tab w:leader="none" w:pos="5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Amounts presented in the tables above are included in Other income (expense), net in each of the Registrants’ respective Condensed Statements of Consolidated Income, net of regulatory deferrals.</w:t>
      </w:r>
    </w:p>
    <w:p>
      <w:pPr>
        <w:spacing w:after="0" w:line="131" w:lineRule="exact"/>
        <w:rPr>
          <w:sz w:val="20"/>
          <w:szCs w:val="20"/>
          <w:color w:val="auto"/>
        </w:rPr>
      </w:pPr>
    </w:p>
    <w:p>
      <w:pPr>
        <w:ind w:left="300"/>
        <w:spacing w:after="0"/>
        <w:rPr>
          <w:sz w:val="20"/>
          <w:szCs w:val="20"/>
          <w:color w:val="auto"/>
        </w:rPr>
      </w:pPr>
      <w:r>
        <w:rPr>
          <w:rFonts w:ascii="Arial" w:cs="Arial" w:eastAsia="Arial" w:hAnsi="Arial"/>
          <w:sz w:val="14"/>
          <w:szCs w:val="14"/>
          <w:color w:val="auto"/>
        </w:rPr>
        <w:t>The table below reflects the expected contributions to be made to the pension and postretirement benefit plans during 2019:</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3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00" w:type="dxa"/>
            <w:vAlign w:val="bottom"/>
            <w:tcBorders>
              <w:bottom w:val="single" w:sz="8" w:color="auto"/>
            </w:tcBorders>
            <w:gridSpan w:val="4"/>
          </w:tcPr>
          <w:p>
            <w:pPr>
              <w:jc w:val="right"/>
              <w:ind w:right="193"/>
              <w:spacing w:after="0"/>
              <w:rPr>
                <w:sz w:val="20"/>
                <w:szCs w:val="20"/>
                <w:color w:val="auto"/>
              </w:rPr>
            </w:pPr>
            <w:r>
              <w:rPr>
                <w:rFonts w:ascii="Arial" w:cs="Arial" w:eastAsia="Arial" w:hAnsi="Arial"/>
                <w:sz w:val="11"/>
                <w:szCs w:val="11"/>
                <w:b w:val="1"/>
                <w:bCs w:val="1"/>
                <w:color w:val="auto"/>
              </w:rPr>
              <w:t>CenterPoint Energy</w:t>
            </w:r>
          </w:p>
        </w:tc>
        <w:tc>
          <w:tcPr>
            <w:tcW w:w="4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6"/>
              </w:rPr>
              <w:t>Houston Electric</w:t>
            </w:r>
          </w:p>
        </w:tc>
        <w:tc>
          <w:tcPr>
            <w:tcW w:w="44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493"/>
              <w:spacing w:after="0"/>
              <w:rPr>
                <w:sz w:val="20"/>
                <w:szCs w:val="20"/>
                <w:color w:val="auto"/>
              </w:rPr>
            </w:pPr>
            <w:r>
              <w:rPr>
                <w:rFonts w:ascii="Arial" w:cs="Arial" w:eastAsia="Arial" w:hAnsi="Arial"/>
                <w:sz w:val="11"/>
                <w:szCs w:val="11"/>
                <w:b w:val="1"/>
                <w:bCs w:val="1"/>
                <w:color w:val="auto"/>
              </w:rPr>
              <w:t>CERC</w:t>
            </w:r>
          </w:p>
        </w:tc>
      </w:tr>
      <w:tr>
        <w:trPr>
          <w:trHeight w:val="196"/>
        </w:trPr>
        <w:tc>
          <w:tcPr>
            <w:tcW w:w="33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80" w:type="dxa"/>
            <w:vAlign w:val="bottom"/>
          </w:tcPr>
          <w:p>
            <w:pPr>
              <w:jc w:val="center"/>
              <w:spacing w:after="0"/>
              <w:rPr>
                <w:sz w:val="20"/>
                <w:szCs w:val="20"/>
                <w:color w:val="auto"/>
              </w:rPr>
            </w:pPr>
            <w:r>
              <w:rPr>
                <w:rFonts w:ascii="Arial" w:cs="Arial" w:eastAsia="Arial" w:hAnsi="Arial"/>
                <w:sz w:val="11"/>
                <w:szCs w:val="11"/>
                <w:b w:val="1"/>
                <w:bCs w:val="1"/>
                <w:color w:val="auto"/>
                <w:w w:val="93"/>
              </w:rPr>
              <w:t>(in millions)</w:t>
            </w:r>
          </w:p>
        </w:tc>
        <w:tc>
          <w:tcPr>
            <w:tcW w:w="4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0"/>
        </w:trPr>
        <w:tc>
          <w:tcPr>
            <w:tcW w:w="3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Expected minimum contribution to pension plans during 2019</w:t>
            </w:r>
          </w:p>
        </w:tc>
        <w:tc>
          <w:tcPr>
            <w:tcW w:w="64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gridSpan w:val="2"/>
            <w:shd w:val="clear" w:color="auto" w:fill="CCEEFF"/>
          </w:tcPr>
          <w:p>
            <w:pPr>
              <w:jc w:val="right"/>
              <w:ind w:right="45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4"/>
                <w:szCs w:val="14"/>
                <w:color w:val="auto"/>
              </w:rPr>
              <w:t>94</w:t>
            </w:r>
          </w:p>
        </w:tc>
        <w:tc>
          <w:tcPr>
            <w:tcW w:w="42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CCEEFF"/>
            </w:tcBorders>
            <w:shd w:val="clear" w:color="auto" w:fill="CCEEFF"/>
          </w:tcPr>
          <w:p>
            <w:pPr>
              <w:jc w:val="right"/>
              <w:ind w:right="378"/>
              <w:spacing w:after="0"/>
              <w:rPr>
                <w:sz w:val="20"/>
                <w:szCs w:val="20"/>
                <w:color w:val="auto"/>
              </w:rPr>
            </w:pPr>
            <w:r>
              <w:rPr>
                <w:rFonts w:ascii="Arial" w:cs="Arial" w:eastAsia="Arial" w:hAnsi="Arial"/>
                <w:sz w:val="10"/>
                <w:szCs w:val="10"/>
                <w:color w:val="auto"/>
                <w:w w:val="71"/>
              </w:rPr>
              <w:t>$</w:t>
            </w: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4"/>
                <w:szCs w:val="14"/>
                <w:color w:val="auto"/>
              </w:rPr>
              <w:t>—</w:t>
            </w:r>
          </w:p>
        </w:tc>
      </w:tr>
      <w:tr>
        <w:trPr>
          <w:trHeight w:val="193"/>
        </w:trPr>
        <w:tc>
          <w:tcPr>
            <w:tcW w:w="3980" w:type="dxa"/>
            <w:vAlign w:val="bottom"/>
            <w:gridSpan w:val="2"/>
          </w:tcPr>
          <w:p>
            <w:pPr>
              <w:ind w:left="20"/>
              <w:spacing w:after="0"/>
              <w:rPr>
                <w:sz w:val="20"/>
                <w:szCs w:val="20"/>
                <w:color w:val="auto"/>
              </w:rPr>
            </w:pPr>
            <w:r>
              <w:rPr>
                <w:rFonts w:ascii="Arial" w:cs="Arial" w:eastAsia="Arial" w:hAnsi="Arial"/>
                <w:sz w:val="14"/>
                <w:szCs w:val="14"/>
                <w:color w:val="auto"/>
              </w:rPr>
              <w:t>Expected contribution to postretirement benefit plans in 2019</w:t>
            </w:r>
          </w:p>
        </w:tc>
        <w:tc>
          <w:tcPr>
            <w:tcW w:w="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ind w:right="53"/>
              <w:spacing w:after="0"/>
              <w:rPr>
                <w:sz w:val="20"/>
                <w:szCs w:val="20"/>
                <w:color w:val="auto"/>
              </w:rPr>
            </w:pPr>
            <w:r>
              <w:rPr>
                <w:rFonts w:ascii="Arial" w:cs="Arial" w:eastAsia="Arial" w:hAnsi="Arial"/>
                <w:sz w:val="14"/>
                <w:szCs w:val="14"/>
                <w:color w:val="auto"/>
              </w:rPr>
              <w:t>20</w:t>
            </w:r>
          </w:p>
        </w:tc>
        <w:tc>
          <w:tcPr>
            <w:tcW w:w="4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40" w:type="dxa"/>
            <w:vAlign w:val="bottom"/>
          </w:tcPr>
          <w:p>
            <w:pPr>
              <w:jc w:val="right"/>
              <w:ind w:right="188"/>
              <w:spacing w:after="0"/>
              <w:rPr>
                <w:sz w:val="20"/>
                <w:szCs w:val="20"/>
                <w:color w:val="auto"/>
              </w:rPr>
            </w:pPr>
            <w:r>
              <w:rPr>
                <w:rFonts w:ascii="Arial" w:cs="Arial" w:eastAsia="Arial" w:hAnsi="Arial"/>
                <w:sz w:val="14"/>
                <w:szCs w:val="14"/>
                <w:color w:val="auto"/>
              </w:rPr>
              <w:t>10</w:t>
            </w:r>
          </w:p>
        </w:tc>
        <w:tc>
          <w:tcPr>
            <w:tcW w:w="500" w:type="dxa"/>
            <w:vAlign w:val="bottom"/>
          </w:tcPr>
          <w:p>
            <w:pPr>
              <w:spacing w:after="0"/>
              <w:rPr>
                <w:sz w:val="16"/>
                <w:szCs w:val="16"/>
                <w:color w:val="auto"/>
              </w:rPr>
            </w:pPr>
          </w:p>
        </w:tc>
        <w:tc>
          <w:tcPr>
            <w:tcW w:w="940" w:type="dxa"/>
            <w:vAlign w:val="bottom"/>
          </w:tcPr>
          <w:p>
            <w:pPr>
              <w:jc w:val="right"/>
              <w:ind w:right="33"/>
              <w:spacing w:after="0"/>
              <w:rPr>
                <w:sz w:val="20"/>
                <w:szCs w:val="20"/>
                <w:color w:val="auto"/>
              </w:rPr>
            </w:pPr>
            <w:r>
              <w:rPr>
                <w:rFonts w:ascii="Arial" w:cs="Arial" w:eastAsia="Arial" w:hAnsi="Arial"/>
                <w:sz w:val="14"/>
                <w:szCs w:val="14"/>
                <w:color w:val="auto"/>
              </w:rPr>
              <w:t>4</w:t>
            </w:r>
          </w:p>
        </w:tc>
      </w:tr>
      <w:tr>
        <w:trPr>
          <w:trHeight w:val="366"/>
        </w:trPr>
        <w:tc>
          <w:tcPr>
            <w:tcW w:w="6560" w:type="dxa"/>
            <w:vAlign w:val="bottom"/>
            <w:gridSpan w:val="6"/>
          </w:tcPr>
          <w:p>
            <w:pPr>
              <w:ind w:left="300"/>
              <w:spacing w:after="0"/>
              <w:rPr>
                <w:sz w:val="20"/>
                <w:szCs w:val="20"/>
                <w:color w:val="auto"/>
              </w:rPr>
            </w:pPr>
            <w:r>
              <w:rPr>
                <w:rFonts w:ascii="Arial" w:cs="Arial" w:eastAsia="Arial" w:hAnsi="Arial"/>
                <w:sz w:val="14"/>
                <w:szCs w:val="14"/>
                <w:color w:val="auto"/>
                <w:w w:val="93"/>
              </w:rPr>
              <w:t>The table below reflects the contributions made to the pension and postretirement benefit plans during 2019:</w:t>
            </w: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20"/>
        </w:trPr>
        <w:tc>
          <w:tcPr>
            <w:tcW w:w="3340" w:type="dxa"/>
            <w:vAlign w:val="bottom"/>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4"/>
          </w:tcPr>
          <w:p>
            <w:pPr>
              <w:jc w:val="right"/>
              <w:ind w:right="108"/>
              <w:spacing w:after="0"/>
              <w:rPr>
                <w:sz w:val="20"/>
                <w:szCs w:val="20"/>
                <w:color w:val="auto"/>
              </w:rPr>
            </w:pPr>
            <w:r>
              <w:rPr>
                <w:rFonts w:ascii="Arial" w:cs="Arial" w:eastAsia="Arial" w:hAnsi="Arial"/>
                <w:sz w:val="11"/>
                <w:szCs w:val="11"/>
                <w:b w:val="1"/>
                <w:bCs w:val="1"/>
                <w:color w:val="auto"/>
              </w:rPr>
              <w:t>Three Months Ended September 30, 2019</w:t>
            </w:r>
          </w:p>
        </w:tc>
        <w:tc>
          <w:tcPr>
            <w:tcW w:w="2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4"/>
          </w:tcPr>
          <w:p>
            <w:pPr>
              <w:ind w:left="220"/>
              <w:spacing w:after="0"/>
              <w:rPr>
                <w:sz w:val="20"/>
                <w:szCs w:val="20"/>
                <w:color w:val="auto"/>
              </w:rPr>
            </w:pPr>
            <w:r>
              <w:rPr>
                <w:rFonts w:ascii="Arial" w:cs="Arial" w:eastAsia="Arial" w:hAnsi="Arial"/>
                <w:sz w:val="11"/>
                <w:szCs w:val="11"/>
                <w:b w:val="1"/>
                <w:bCs w:val="1"/>
                <w:color w:val="auto"/>
                <w:w w:val="95"/>
              </w:rPr>
              <w:t>Nine Months Ended September 30, 2019</w:t>
            </w:r>
          </w:p>
        </w:tc>
        <w:tc>
          <w:tcPr>
            <w:tcW w:w="940" w:type="dxa"/>
            <w:vAlign w:val="bottom"/>
            <w:tcBorders>
              <w:bottom w:val="single" w:sz="8" w:color="auto"/>
            </w:tcBorders>
          </w:tcPr>
          <w:p>
            <w:pPr>
              <w:spacing w:after="0"/>
              <w:rPr>
                <w:sz w:val="24"/>
                <w:szCs w:val="24"/>
                <w:color w:val="auto"/>
              </w:rPr>
            </w:pPr>
          </w:p>
        </w:tc>
      </w:tr>
      <w:tr>
        <w:trPr>
          <w:trHeight w:val="206"/>
        </w:trPr>
        <w:tc>
          <w:tcPr>
            <w:tcW w:w="3340" w:type="dxa"/>
            <w:vAlign w:val="bottom"/>
          </w:tcPr>
          <w:p>
            <w:pPr>
              <w:spacing w:after="0"/>
              <w:rPr>
                <w:sz w:val="17"/>
                <w:szCs w:val="17"/>
                <w:color w:val="auto"/>
              </w:rPr>
            </w:pPr>
          </w:p>
        </w:tc>
        <w:tc>
          <w:tcPr>
            <w:tcW w:w="1280" w:type="dxa"/>
            <w:vAlign w:val="bottom"/>
            <w:tcBorders>
              <w:bottom w:val="single" w:sz="8" w:color="auto"/>
            </w:tcBorders>
            <w:gridSpan w:val="2"/>
          </w:tcPr>
          <w:p>
            <w:pPr>
              <w:jc w:val="right"/>
              <w:ind w:right="93"/>
              <w:spacing w:after="0"/>
              <w:rPr>
                <w:sz w:val="20"/>
                <w:szCs w:val="20"/>
                <w:color w:val="auto"/>
              </w:rPr>
            </w:pPr>
            <w:r>
              <w:rPr>
                <w:rFonts w:ascii="Arial" w:cs="Arial" w:eastAsia="Arial" w:hAnsi="Arial"/>
                <w:sz w:val="11"/>
                <w:szCs w:val="11"/>
                <w:b w:val="1"/>
                <w:bCs w:val="1"/>
                <w:color w:val="auto"/>
              </w:rPr>
              <w:t>CenterPoint Energy</w:t>
            </w:r>
          </w:p>
        </w:tc>
        <w:tc>
          <w:tcPr>
            <w:tcW w:w="2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152"/>
              <w:spacing w:after="0"/>
              <w:rPr>
                <w:sz w:val="20"/>
                <w:szCs w:val="20"/>
                <w:color w:val="auto"/>
              </w:rPr>
            </w:pPr>
            <w:r>
              <w:rPr>
                <w:rFonts w:ascii="Arial" w:cs="Arial" w:eastAsia="Arial" w:hAnsi="Arial"/>
                <w:sz w:val="11"/>
                <w:szCs w:val="11"/>
                <w:b w:val="1"/>
                <w:bCs w:val="1"/>
                <w:color w:val="auto"/>
              </w:rPr>
              <w:t>Houston Electric</w:t>
            </w:r>
          </w:p>
        </w:tc>
        <w:tc>
          <w:tcPr>
            <w:tcW w:w="5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gridSpan w:val="3"/>
          </w:tcPr>
          <w:p>
            <w:pPr>
              <w:ind w:left="20"/>
              <w:spacing w:after="0"/>
              <w:rPr>
                <w:sz w:val="20"/>
                <w:szCs w:val="20"/>
                <w:color w:val="auto"/>
              </w:rPr>
            </w:pPr>
            <w:r>
              <w:rPr>
                <w:rFonts w:ascii="Arial" w:cs="Arial" w:eastAsia="Arial" w:hAnsi="Arial"/>
                <w:sz w:val="11"/>
                <w:szCs w:val="11"/>
                <w:b w:val="1"/>
                <w:bCs w:val="1"/>
                <w:color w:val="auto"/>
              </w:rPr>
              <w:t>CERC</w:t>
            </w: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2"/>
          </w:tcPr>
          <w:p>
            <w:pPr>
              <w:jc w:val="right"/>
              <w:spacing w:after="0"/>
              <w:rPr>
                <w:sz w:val="20"/>
                <w:szCs w:val="20"/>
                <w:color w:val="auto"/>
              </w:rPr>
            </w:pPr>
            <w:r>
              <w:rPr>
                <w:rFonts w:ascii="Arial" w:cs="Arial" w:eastAsia="Arial" w:hAnsi="Arial"/>
                <w:sz w:val="11"/>
                <w:szCs w:val="11"/>
                <w:b w:val="1"/>
                <w:bCs w:val="1"/>
                <w:color w:val="auto"/>
                <w:w w:val="97"/>
              </w:rPr>
              <w:t>CenterPoint Energy</w:t>
            </w:r>
          </w:p>
        </w:tc>
        <w:tc>
          <w:tcPr>
            <w:tcW w:w="1320" w:type="dxa"/>
            <w:vAlign w:val="bottom"/>
            <w:tcBorders>
              <w:bottom w:val="single" w:sz="8" w:color="auto"/>
            </w:tcBorders>
            <w:gridSpan w:val="2"/>
          </w:tcPr>
          <w:p>
            <w:pPr>
              <w:jc w:val="right"/>
              <w:ind w:right="48"/>
              <w:spacing w:after="0"/>
              <w:rPr>
                <w:sz w:val="20"/>
                <w:szCs w:val="20"/>
                <w:color w:val="auto"/>
              </w:rPr>
            </w:pPr>
            <w:r>
              <w:rPr>
                <w:rFonts w:ascii="Arial" w:cs="Arial" w:eastAsia="Arial" w:hAnsi="Arial"/>
                <w:sz w:val="11"/>
                <w:szCs w:val="11"/>
                <w:b w:val="1"/>
                <w:bCs w:val="1"/>
                <w:color w:val="auto"/>
              </w:rPr>
              <w:t>Houston Electric</w:t>
            </w:r>
          </w:p>
        </w:tc>
        <w:tc>
          <w:tcPr>
            <w:tcW w:w="5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93"/>
              <w:spacing w:after="0"/>
              <w:rPr>
                <w:sz w:val="20"/>
                <w:szCs w:val="20"/>
                <w:color w:val="auto"/>
              </w:rPr>
            </w:pPr>
            <w:r>
              <w:rPr>
                <w:rFonts w:ascii="Arial" w:cs="Arial" w:eastAsia="Arial" w:hAnsi="Arial"/>
                <w:sz w:val="11"/>
                <w:szCs w:val="11"/>
                <w:b w:val="1"/>
                <w:bCs w:val="1"/>
                <w:color w:val="auto"/>
              </w:rPr>
              <w:t>CERC</w:t>
            </w:r>
          </w:p>
        </w:tc>
      </w:tr>
      <w:tr>
        <w:trPr>
          <w:trHeight w:val="196"/>
        </w:trPr>
        <w:tc>
          <w:tcPr>
            <w:tcW w:w="33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00" w:type="dxa"/>
            <w:vAlign w:val="bottom"/>
            <w:gridSpan w:val="4"/>
          </w:tcPr>
          <w:p>
            <w:pPr>
              <w:jc w:val="right"/>
              <w:ind w:right="513"/>
              <w:spacing w:after="0"/>
              <w:rPr>
                <w:sz w:val="20"/>
                <w:szCs w:val="20"/>
                <w:color w:val="auto"/>
              </w:rPr>
            </w:pPr>
            <w:r>
              <w:rPr>
                <w:rFonts w:ascii="Arial" w:cs="Arial" w:eastAsia="Arial" w:hAnsi="Arial"/>
                <w:sz w:val="11"/>
                <w:szCs w:val="11"/>
                <w:b w:val="1"/>
                <w:bCs w:val="1"/>
                <w:color w:val="auto"/>
              </w:rPr>
              <w:t>(in millions)</w:t>
            </w:r>
          </w:p>
        </w:tc>
        <w:tc>
          <w:tcPr>
            <w:tcW w:w="4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0"/>
        </w:trPr>
        <w:tc>
          <w:tcPr>
            <w:tcW w:w="3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Pension plans</w:t>
            </w:r>
          </w:p>
        </w:tc>
        <w:tc>
          <w:tcPr>
            <w:tcW w:w="640" w:type="dxa"/>
            <w:vAlign w:val="bottom"/>
            <w:tcBorders>
              <w:bottom w:val="single" w:sz="8" w:color="CCEEFF"/>
            </w:tcBorders>
            <w:shd w:val="clear" w:color="auto" w:fill="CCEEFF"/>
          </w:tcPr>
          <w:p>
            <w:pPr>
              <w:jc w:val="right"/>
              <w:ind w:right="495"/>
              <w:spacing w:after="0"/>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4"/>
                <w:szCs w:val="14"/>
                <w:color w:val="auto"/>
              </w:rPr>
              <w:t>65</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CCEEFF"/>
            </w:tcBorders>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94</w:t>
            </w:r>
          </w:p>
        </w:tc>
        <w:tc>
          <w:tcPr>
            <w:tcW w:w="880" w:type="dxa"/>
            <w:vAlign w:val="bottom"/>
            <w:tcBorders>
              <w:bottom w:val="single" w:sz="8" w:color="CCEEFF"/>
            </w:tcBorders>
            <w:shd w:val="clear" w:color="auto" w:fill="CCEEFF"/>
          </w:tcPr>
          <w:p>
            <w:pPr>
              <w:jc w:val="right"/>
              <w:ind w:right="559"/>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CCEEFF"/>
            </w:tcBorders>
            <w:shd w:val="clear" w:color="auto" w:fill="CCEEFF"/>
          </w:tcPr>
          <w:p>
            <w:pPr>
              <w:jc w:val="right"/>
              <w:ind w:right="13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4"/>
                <w:szCs w:val="14"/>
                <w:color w:val="auto"/>
              </w:rPr>
              <w:t>—</w:t>
            </w:r>
          </w:p>
        </w:tc>
      </w:tr>
      <w:tr>
        <w:trPr>
          <w:trHeight w:val="193"/>
        </w:trPr>
        <w:tc>
          <w:tcPr>
            <w:tcW w:w="3340" w:type="dxa"/>
            <w:vAlign w:val="bottom"/>
          </w:tcPr>
          <w:p>
            <w:pPr>
              <w:ind w:left="20"/>
              <w:spacing w:after="0"/>
              <w:rPr>
                <w:sz w:val="20"/>
                <w:szCs w:val="20"/>
                <w:color w:val="auto"/>
              </w:rPr>
            </w:pPr>
            <w:r>
              <w:rPr>
                <w:rFonts w:ascii="Arial" w:cs="Arial" w:eastAsia="Arial" w:hAnsi="Arial"/>
                <w:sz w:val="14"/>
                <w:szCs w:val="14"/>
                <w:color w:val="auto"/>
              </w:rPr>
              <w:t>Postretirement benefit plans</w:t>
            </w:r>
          </w:p>
        </w:tc>
        <w:tc>
          <w:tcPr>
            <w:tcW w:w="640" w:type="dxa"/>
            <w:vAlign w:val="bottom"/>
          </w:tcPr>
          <w:p>
            <w:pPr>
              <w:spacing w:after="0"/>
              <w:rPr>
                <w:sz w:val="16"/>
                <w:szCs w:val="16"/>
                <w:color w:val="auto"/>
              </w:rPr>
            </w:pPr>
          </w:p>
        </w:tc>
        <w:tc>
          <w:tcPr>
            <w:tcW w:w="640" w:type="dxa"/>
            <w:vAlign w:val="bottom"/>
          </w:tcPr>
          <w:p>
            <w:pPr>
              <w:jc w:val="right"/>
              <w:ind w:right="73"/>
              <w:spacing w:after="0"/>
              <w:rPr>
                <w:sz w:val="20"/>
                <w:szCs w:val="20"/>
                <w:color w:val="auto"/>
              </w:rPr>
            </w:pPr>
            <w:r>
              <w:rPr>
                <w:rFonts w:ascii="Arial" w:cs="Arial" w:eastAsia="Arial" w:hAnsi="Arial"/>
                <w:sz w:val="14"/>
                <w:szCs w:val="14"/>
                <w:color w:val="auto"/>
              </w:rPr>
              <w:t>4</w:t>
            </w:r>
          </w:p>
        </w:tc>
        <w:tc>
          <w:tcPr>
            <w:tcW w:w="260" w:type="dxa"/>
            <w:vAlign w:val="bottom"/>
          </w:tcPr>
          <w:p>
            <w:pPr>
              <w:spacing w:after="0"/>
              <w:rPr>
                <w:sz w:val="16"/>
                <w:szCs w:val="16"/>
                <w:color w:val="auto"/>
              </w:rPr>
            </w:pPr>
          </w:p>
        </w:tc>
        <w:tc>
          <w:tcPr>
            <w:tcW w:w="1120" w:type="dxa"/>
            <w:vAlign w:val="bottom"/>
          </w:tcPr>
          <w:p>
            <w:pPr>
              <w:jc w:val="right"/>
              <w:ind w:right="52"/>
              <w:spacing w:after="0"/>
              <w:rPr>
                <w:sz w:val="20"/>
                <w:szCs w:val="20"/>
                <w:color w:val="auto"/>
              </w:rPr>
            </w:pPr>
            <w:r>
              <w:rPr>
                <w:rFonts w:ascii="Arial" w:cs="Arial" w:eastAsia="Arial" w:hAnsi="Arial"/>
                <w:sz w:val="14"/>
                <w:szCs w:val="14"/>
                <w:color w:val="auto"/>
              </w:rPr>
              <w:t>3</w:t>
            </w:r>
          </w:p>
        </w:tc>
        <w:tc>
          <w:tcPr>
            <w:tcW w:w="560" w:type="dxa"/>
            <w:vAlign w:val="bottom"/>
          </w:tcPr>
          <w:p>
            <w:pPr>
              <w:spacing w:after="0"/>
              <w:rPr>
                <w:sz w:val="16"/>
                <w:szCs w:val="16"/>
                <w:color w:val="auto"/>
              </w:rPr>
            </w:pPr>
          </w:p>
        </w:tc>
        <w:tc>
          <w:tcPr>
            <w:tcW w:w="820" w:type="dxa"/>
            <w:vAlign w:val="bottom"/>
            <w:gridSpan w:val="2"/>
          </w:tcPr>
          <w:p>
            <w:pPr>
              <w:jc w:val="right"/>
              <w:ind w:right="5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20" w:type="dxa"/>
            <w:vAlign w:val="bottom"/>
          </w:tcPr>
          <w:p>
            <w:pPr>
              <w:ind w:left="240"/>
              <w:spacing w:after="0"/>
              <w:rPr>
                <w:sz w:val="20"/>
                <w:szCs w:val="20"/>
                <w:color w:val="auto"/>
              </w:rPr>
            </w:pPr>
            <w:r>
              <w:rPr>
                <w:rFonts w:ascii="Arial" w:cs="Arial" w:eastAsia="Arial" w:hAnsi="Arial"/>
                <w:sz w:val="14"/>
                <w:szCs w:val="14"/>
                <w:color w:val="auto"/>
              </w:rPr>
              <w:t>12</w:t>
            </w:r>
          </w:p>
        </w:tc>
        <w:tc>
          <w:tcPr>
            <w:tcW w:w="88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8</w:t>
            </w:r>
          </w:p>
        </w:tc>
        <w:tc>
          <w:tcPr>
            <w:tcW w:w="500" w:type="dxa"/>
            <w:vAlign w:val="bottom"/>
          </w:tcPr>
          <w:p>
            <w:pPr>
              <w:spacing w:after="0"/>
              <w:rPr>
                <w:sz w:val="16"/>
                <w:szCs w:val="16"/>
                <w:color w:val="auto"/>
              </w:rPr>
            </w:pPr>
          </w:p>
        </w:tc>
        <w:tc>
          <w:tcPr>
            <w:tcW w:w="940" w:type="dxa"/>
            <w:vAlign w:val="bottom"/>
          </w:tcPr>
          <w:p>
            <w:pPr>
              <w:jc w:val="right"/>
              <w:ind w:right="33"/>
              <w:spacing w:after="0"/>
              <w:rPr>
                <w:sz w:val="20"/>
                <w:szCs w:val="20"/>
                <w:color w:val="auto"/>
              </w:rPr>
            </w:pPr>
            <w:r>
              <w:rPr>
                <w:rFonts w:ascii="Arial" w:cs="Arial" w:eastAsia="Arial" w:hAnsi="Arial"/>
                <w:sz w:val="14"/>
                <w:szCs w:val="14"/>
                <w:color w:val="auto"/>
              </w:rPr>
              <w:t>3</w:t>
            </w:r>
          </w:p>
        </w:tc>
      </w:tr>
      <w:tr>
        <w:trPr>
          <w:trHeight w:val="733"/>
        </w:trPr>
        <w:tc>
          <w:tcPr>
            <w:tcW w:w="3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jc w:val="right"/>
              <w:ind w:right="132"/>
              <w:spacing w:after="0"/>
              <w:rPr>
                <w:sz w:val="20"/>
                <w:szCs w:val="20"/>
                <w:color w:val="auto"/>
              </w:rPr>
            </w:pPr>
            <w:r>
              <w:rPr>
                <w:rFonts w:ascii="Arial" w:cs="Arial" w:eastAsia="Arial" w:hAnsi="Arial"/>
                <w:sz w:val="14"/>
                <w:szCs w:val="14"/>
                <w:color w:val="auto"/>
              </w:rPr>
              <w:t>30</w:t>
            </w: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r>
    </w:tbl>
    <w:p>
      <w:pPr>
        <w:sectPr>
          <w:pgSz w:w="11900" w:h="16838" w:orient="portrait"/>
          <w:cols w:equalWidth="0" w:num="1">
            <w:col w:w="11460"/>
          </w:cols>
          <w:pgMar w:left="220" w:top="129" w:right="219" w:bottom="1440" w:gutter="0" w:footer="0" w:header="0"/>
        </w:sectPr>
      </w:pPr>
    </w:p>
    <w:bookmarkStart w:id="40" w:name="page41"/>
    <w:bookmarkEnd w:id="40"/>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(6) Regulatory Matters</w:t>
      </w:r>
    </w:p>
    <w:p>
      <w:pPr>
        <w:spacing w:after="0" w:line="188"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following is a list of regulatory assets and liabilities reflected on the Registrants’ respective Condensed Consolidated Balance Sheets: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44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gridSpan w:val="4"/>
          </w:tcPr>
          <w:p>
            <w:pPr>
              <w:ind w:left="120"/>
              <w:spacing w:after="0"/>
              <w:rPr>
                <w:sz w:val="20"/>
                <w:szCs w:val="20"/>
                <w:color w:val="auto"/>
              </w:rPr>
            </w:pPr>
            <w:r>
              <w:rPr>
                <w:rFonts w:ascii="Arial" w:cs="Arial" w:eastAsia="Arial" w:hAnsi="Arial"/>
                <w:sz w:val="11"/>
                <w:szCs w:val="11"/>
                <w:b w:val="1"/>
                <w:bCs w:val="1"/>
                <w:color w:val="auto"/>
              </w:rPr>
              <w:t>September 30, 2019</w:t>
            </w:r>
          </w:p>
        </w:tc>
        <w:tc>
          <w:tcPr>
            <w:tcW w:w="2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gridSpan w:val="4"/>
          </w:tcPr>
          <w:p>
            <w:pPr>
              <w:jc w:val="right"/>
              <w:ind w:right="200"/>
              <w:spacing w:after="0"/>
              <w:rPr>
                <w:sz w:val="20"/>
                <w:szCs w:val="20"/>
                <w:color w:val="auto"/>
              </w:rPr>
            </w:pPr>
            <w:r>
              <w:rPr>
                <w:rFonts w:ascii="Arial" w:cs="Arial" w:eastAsia="Arial" w:hAnsi="Arial"/>
                <w:sz w:val="11"/>
                <w:szCs w:val="11"/>
                <w:b w:val="1"/>
                <w:bCs w:val="1"/>
                <w:color w:val="auto"/>
              </w:rPr>
              <w:t>December 31, 2018</w:t>
            </w: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r>
      <w:tr>
        <w:trPr>
          <w:trHeight w:val="202"/>
        </w:trPr>
        <w:tc>
          <w:tcPr>
            <w:tcW w:w="448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23"/>
              <w:spacing w:after="0"/>
              <w:rPr>
                <w:sz w:val="20"/>
                <w:szCs w:val="20"/>
                <w:color w:val="auto"/>
              </w:rPr>
            </w:pPr>
            <w:r>
              <w:rPr>
                <w:rFonts w:ascii="Arial" w:cs="Arial" w:eastAsia="Arial" w:hAnsi="Arial"/>
                <w:sz w:val="11"/>
                <w:szCs w:val="11"/>
                <w:b w:val="1"/>
                <w:bCs w:val="1"/>
                <w:color w:val="auto"/>
                <w:w w:val="95"/>
              </w:rPr>
              <w:t>CenterPoint Energy</w:t>
            </w: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gridSpan w:val="2"/>
          </w:tcPr>
          <w:p>
            <w:pPr>
              <w:ind w:left="20"/>
              <w:spacing w:after="0"/>
              <w:rPr>
                <w:sz w:val="20"/>
                <w:szCs w:val="20"/>
                <w:color w:val="auto"/>
              </w:rPr>
            </w:pPr>
            <w:r>
              <w:rPr>
                <w:rFonts w:ascii="Arial" w:cs="Arial" w:eastAsia="Arial" w:hAnsi="Arial"/>
                <w:sz w:val="11"/>
                <w:szCs w:val="11"/>
                <w:b w:val="1"/>
                <w:bCs w:val="1"/>
                <w:color w:val="auto"/>
              </w:rPr>
              <w:t>Houston Electric</w:t>
            </w:r>
          </w:p>
        </w:tc>
        <w:tc>
          <w:tcPr>
            <w:tcW w:w="2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gridSpan w:val="2"/>
          </w:tcPr>
          <w:p>
            <w:pPr>
              <w:ind w:left="140"/>
              <w:spacing w:after="0"/>
              <w:rPr>
                <w:sz w:val="20"/>
                <w:szCs w:val="20"/>
                <w:color w:val="auto"/>
              </w:rPr>
            </w:pPr>
            <w:r>
              <w:rPr>
                <w:rFonts w:ascii="Arial" w:cs="Arial" w:eastAsia="Arial" w:hAnsi="Arial"/>
                <w:sz w:val="11"/>
                <w:szCs w:val="11"/>
                <w:b w:val="1"/>
                <w:bCs w:val="1"/>
                <w:color w:val="auto"/>
              </w:rPr>
              <w:t>CERC</w:t>
            </w:r>
          </w:p>
        </w:tc>
        <w:tc>
          <w:tcPr>
            <w:tcW w:w="1140" w:type="dxa"/>
            <w:vAlign w:val="bottom"/>
            <w:tcBorders>
              <w:bottom w:val="single" w:sz="8" w:color="auto"/>
            </w:tcBorders>
            <w:gridSpan w:val="2"/>
          </w:tcPr>
          <w:p>
            <w:pPr>
              <w:jc w:val="right"/>
              <w:ind w:right="23"/>
              <w:spacing w:after="0"/>
              <w:rPr>
                <w:sz w:val="20"/>
                <w:szCs w:val="20"/>
                <w:color w:val="auto"/>
              </w:rPr>
            </w:pPr>
            <w:r>
              <w:rPr>
                <w:rFonts w:ascii="Arial" w:cs="Arial" w:eastAsia="Arial" w:hAnsi="Arial"/>
                <w:sz w:val="11"/>
                <w:szCs w:val="11"/>
                <w:b w:val="1"/>
                <w:bCs w:val="1"/>
                <w:color w:val="auto"/>
              </w:rPr>
              <w:t>CenterPoint Energy</w:t>
            </w: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1"/>
                <w:szCs w:val="11"/>
                <w:b w:val="1"/>
                <w:bCs w:val="1"/>
                <w:color w:val="auto"/>
                <w:w w:val="91"/>
              </w:rPr>
              <w:t>Houston Electric</w:t>
            </w: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83"/>
              <w:spacing w:after="0"/>
              <w:rPr>
                <w:sz w:val="20"/>
                <w:szCs w:val="20"/>
                <w:color w:val="auto"/>
              </w:rPr>
            </w:pPr>
            <w:r>
              <w:rPr>
                <w:rFonts w:ascii="Arial" w:cs="Arial" w:eastAsia="Arial" w:hAnsi="Arial"/>
                <w:sz w:val="11"/>
                <w:szCs w:val="11"/>
                <w:b w:val="1"/>
                <w:bCs w:val="1"/>
                <w:color w:val="auto"/>
              </w:rPr>
              <w:t>CERC</w:t>
            </w:r>
          </w:p>
        </w:tc>
      </w:tr>
      <w:tr>
        <w:trPr>
          <w:trHeight w:val="157"/>
        </w:trPr>
        <w:tc>
          <w:tcPr>
            <w:tcW w:w="4480" w:type="dxa"/>
            <w:vAlign w:val="bottom"/>
          </w:tcPr>
          <w:p>
            <w:pPr>
              <w:ind w:left="20"/>
              <w:spacing w:after="0"/>
              <w:rPr>
                <w:sz w:val="20"/>
                <w:szCs w:val="20"/>
                <w:color w:val="auto"/>
              </w:rPr>
            </w:pPr>
            <w:r>
              <w:rPr>
                <w:rFonts w:ascii="Arial" w:cs="Arial" w:eastAsia="Arial" w:hAnsi="Arial"/>
                <w:sz w:val="11"/>
                <w:szCs w:val="11"/>
                <w:b w:val="1"/>
                <w:bCs w:val="1"/>
                <w:color w:val="auto"/>
              </w:rPr>
              <w:t>Regulatory Assets:</w:t>
            </w:r>
          </w:p>
        </w:tc>
        <w:tc>
          <w:tcPr>
            <w:tcW w:w="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20" w:type="dxa"/>
            <w:vAlign w:val="bottom"/>
            <w:gridSpan w:val="3"/>
          </w:tcPr>
          <w:p>
            <w:pPr>
              <w:jc w:val="right"/>
              <w:ind w:right="223"/>
              <w:spacing w:after="0"/>
              <w:rPr>
                <w:sz w:val="20"/>
                <w:szCs w:val="20"/>
                <w:color w:val="auto"/>
              </w:rPr>
            </w:pPr>
            <w:r>
              <w:rPr>
                <w:rFonts w:ascii="Arial" w:cs="Arial" w:eastAsia="Arial" w:hAnsi="Arial"/>
                <w:sz w:val="11"/>
                <w:szCs w:val="11"/>
                <w:b w:val="1"/>
                <w:bCs w:val="1"/>
                <w:color w:val="auto"/>
              </w:rPr>
              <w:t>(in millions)</w:t>
            </w: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220"/>
        </w:trPr>
        <w:tc>
          <w:tcPr>
            <w:tcW w:w="4480" w:type="dxa"/>
            <w:vAlign w:val="bottom"/>
            <w:shd w:val="clear" w:color="auto" w:fill="CCEEFF"/>
          </w:tcPr>
          <w:p>
            <w:pPr>
              <w:ind w:left="20"/>
              <w:spacing w:after="0"/>
              <w:rPr>
                <w:sz w:val="20"/>
                <w:szCs w:val="20"/>
                <w:color w:val="auto"/>
              </w:rPr>
            </w:pPr>
            <w:r>
              <w:rPr>
                <w:rFonts w:ascii="Arial" w:cs="Arial" w:eastAsia="Arial" w:hAnsi="Arial"/>
                <w:sz w:val="11"/>
                <w:szCs w:val="11"/>
                <w:color w:val="auto"/>
              </w:rPr>
              <w:t xml:space="preserve">Current regulatory assets </w:t>
            </w:r>
            <w:r>
              <w:rPr>
                <w:rFonts w:ascii="Arial" w:cs="Arial" w:eastAsia="Arial" w:hAnsi="Arial"/>
                <w:sz w:val="8"/>
                <w:szCs w:val="8"/>
                <w:color w:val="auto"/>
              </w:rPr>
              <w:t>(1)</w:t>
            </w:r>
          </w:p>
        </w:tc>
        <w:tc>
          <w:tcPr>
            <w:tcW w:w="8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08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18</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w w:val="97"/>
              </w:rPr>
              <w:t>$</w:t>
            </w:r>
          </w:p>
        </w:tc>
        <w:tc>
          <w:tcPr>
            <w:tcW w:w="84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18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343"/>
              <w:spacing w:after="0"/>
              <w:rPr>
                <w:sz w:val="20"/>
                <w:szCs w:val="20"/>
                <w:color w:val="auto"/>
              </w:rPr>
            </w:pPr>
            <w:r>
              <w:rPr>
                <w:rFonts w:ascii="Arial" w:cs="Arial" w:eastAsia="Arial" w:hAnsi="Arial"/>
                <w:sz w:val="11"/>
                <w:szCs w:val="11"/>
                <w:color w:val="auto"/>
                <w:w w:val="97"/>
              </w:rPr>
              <w:t>$</w:t>
            </w:r>
          </w:p>
        </w:tc>
        <w:tc>
          <w:tcPr>
            <w:tcW w:w="66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77</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w w:val="97"/>
              </w:rPr>
              <w:t>$</w:t>
            </w:r>
          </w:p>
        </w:tc>
        <w:tc>
          <w:tcPr>
            <w:tcW w:w="80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77</w:t>
            </w:r>
          </w:p>
        </w:tc>
      </w:tr>
      <w:tr>
        <w:trPr>
          <w:trHeight w:val="202"/>
        </w:trPr>
        <w:tc>
          <w:tcPr>
            <w:tcW w:w="4480" w:type="dxa"/>
            <w:vAlign w:val="bottom"/>
          </w:tcPr>
          <w:p>
            <w:pPr>
              <w:ind w:left="20"/>
              <w:spacing w:after="0"/>
              <w:rPr>
                <w:sz w:val="20"/>
                <w:szCs w:val="20"/>
                <w:color w:val="auto"/>
              </w:rPr>
            </w:pPr>
            <w:r>
              <w:rPr>
                <w:rFonts w:ascii="Arial" w:cs="Arial" w:eastAsia="Arial" w:hAnsi="Arial"/>
                <w:sz w:val="11"/>
                <w:szCs w:val="11"/>
                <w:color w:val="auto"/>
              </w:rPr>
              <w:t>Non-current regulatory assets:</w:t>
            </w:r>
          </w:p>
        </w:tc>
        <w:tc>
          <w:tcPr>
            <w:tcW w:w="8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r>
      <w:tr>
        <w:trPr>
          <w:trHeight w:val="220"/>
        </w:trPr>
        <w:tc>
          <w:tcPr>
            <w:tcW w:w="4480" w:type="dxa"/>
            <w:vAlign w:val="bottom"/>
            <w:shd w:val="clear" w:color="auto" w:fill="CCEEFF"/>
          </w:tcPr>
          <w:p>
            <w:pPr>
              <w:ind w:left="160"/>
              <w:spacing w:after="0"/>
              <w:rPr>
                <w:sz w:val="20"/>
                <w:szCs w:val="20"/>
                <w:color w:val="auto"/>
              </w:rPr>
            </w:pPr>
            <w:r>
              <w:rPr>
                <w:rFonts w:ascii="Arial" w:cs="Arial" w:eastAsia="Arial" w:hAnsi="Arial"/>
                <w:sz w:val="11"/>
                <w:szCs w:val="11"/>
                <w:color w:val="auto"/>
              </w:rPr>
              <w:t>Securitized regulatory assets</w:t>
            </w:r>
          </w:p>
        </w:tc>
        <w:tc>
          <w:tcPr>
            <w:tcW w:w="8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821</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821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48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1,059</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1,059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w:t>
            </w:r>
          </w:p>
        </w:tc>
      </w:tr>
      <w:tr>
        <w:trPr>
          <w:trHeight w:val="211"/>
        </w:trPr>
        <w:tc>
          <w:tcPr>
            <w:tcW w:w="4480" w:type="dxa"/>
            <w:vAlign w:val="bottom"/>
          </w:tcPr>
          <w:p>
            <w:pPr>
              <w:ind w:left="160"/>
              <w:spacing w:after="0"/>
              <w:rPr>
                <w:sz w:val="20"/>
                <w:szCs w:val="20"/>
                <w:color w:val="auto"/>
              </w:rPr>
            </w:pPr>
            <w:r>
              <w:rPr>
                <w:rFonts w:ascii="Arial" w:cs="Arial" w:eastAsia="Arial" w:hAnsi="Arial"/>
                <w:sz w:val="11"/>
                <w:szCs w:val="11"/>
                <w:color w:val="auto"/>
              </w:rPr>
              <w:t xml:space="preserve">Unrecognized equity return </w:t>
            </w:r>
            <w:r>
              <w:rPr>
                <w:rFonts w:ascii="Arial" w:cs="Arial" w:eastAsia="Arial" w:hAnsi="Arial"/>
                <w:sz w:val="8"/>
                <w:szCs w:val="8"/>
                <w:color w:val="auto"/>
              </w:rPr>
              <w:t>(2)</w:t>
            </w:r>
          </w:p>
        </w:tc>
        <w:tc>
          <w:tcPr>
            <w:tcW w:w="80" w:type="dxa"/>
            <w:vAlign w:val="bottom"/>
          </w:tcPr>
          <w:p>
            <w:pPr>
              <w:spacing w:after="0"/>
              <w:rPr>
                <w:sz w:val="18"/>
                <w:szCs w:val="18"/>
                <w:color w:val="auto"/>
              </w:rPr>
            </w:pPr>
          </w:p>
        </w:tc>
        <w:tc>
          <w:tcPr>
            <w:tcW w:w="1080" w:type="dxa"/>
            <w:vAlign w:val="bottom"/>
          </w:tcPr>
          <w:p>
            <w:pPr>
              <w:jc w:val="right"/>
              <w:ind w:right="23"/>
              <w:spacing w:after="0"/>
              <w:rPr>
                <w:sz w:val="20"/>
                <w:szCs w:val="20"/>
                <w:color w:val="auto"/>
              </w:rPr>
            </w:pPr>
            <w:r>
              <w:rPr>
                <w:rFonts w:ascii="Arial" w:cs="Arial" w:eastAsia="Arial" w:hAnsi="Arial"/>
                <w:sz w:val="11"/>
                <w:szCs w:val="11"/>
                <w:color w:val="auto"/>
              </w:rPr>
              <w:t>(175)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ind w:right="23"/>
              <w:spacing w:after="0"/>
              <w:rPr>
                <w:sz w:val="20"/>
                <w:szCs w:val="20"/>
                <w:color w:val="auto"/>
              </w:rPr>
            </w:pPr>
            <w:r>
              <w:rPr>
                <w:rFonts w:ascii="Arial" w:cs="Arial" w:eastAsia="Arial" w:hAnsi="Arial"/>
                <w:sz w:val="11"/>
                <w:szCs w:val="11"/>
                <w:color w:val="auto"/>
              </w:rPr>
              <w:t>(175)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480" w:type="dxa"/>
            <w:vAlign w:val="bottom"/>
          </w:tcPr>
          <w:p>
            <w:pPr>
              <w:spacing w:after="0"/>
              <w:rPr>
                <w:sz w:val="18"/>
                <w:szCs w:val="18"/>
                <w:color w:val="auto"/>
              </w:rPr>
            </w:pPr>
          </w:p>
        </w:tc>
        <w:tc>
          <w:tcPr>
            <w:tcW w:w="660" w:type="dxa"/>
            <w:vAlign w:val="bottom"/>
          </w:tcPr>
          <w:p>
            <w:pPr>
              <w:jc w:val="right"/>
              <w:ind w:right="3"/>
              <w:spacing w:after="0"/>
              <w:rPr>
                <w:sz w:val="20"/>
                <w:szCs w:val="20"/>
                <w:color w:val="auto"/>
              </w:rPr>
            </w:pPr>
            <w:r>
              <w:rPr>
                <w:rFonts w:ascii="Arial" w:cs="Arial" w:eastAsia="Arial" w:hAnsi="Arial"/>
                <w:sz w:val="11"/>
                <w:szCs w:val="11"/>
                <w:color w:val="auto"/>
              </w:rPr>
              <w:t>(213)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3"/>
              <w:spacing w:after="0"/>
              <w:rPr>
                <w:sz w:val="20"/>
                <w:szCs w:val="20"/>
                <w:color w:val="auto"/>
              </w:rPr>
            </w:pPr>
            <w:r>
              <w:rPr>
                <w:rFonts w:ascii="Arial" w:cs="Arial" w:eastAsia="Arial" w:hAnsi="Arial"/>
                <w:sz w:val="11"/>
                <w:szCs w:val="11"/>
                <w:color w:val="auto"/>
              </w:rPr>
              <w:t>(213)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ind w:right="43"/>
              <w:spacing w:after="0"/>
              <w:rPr>
                <w:sz w:val="20"/>
                <w:szCs w:val="20"/>
                <w:color w:val="auto"/>
              </w:rPr>
            </w:pPr>
            <w:r>
              <w:rPr>
                <w:rFonts w:ascii="Arial" w:cs="Arial" w:eastAsia="Arial" w:hAnsi="Arial"/>
                <w:sz w:val="11"/>
                <w:szCs w:val="11"/>
                <w:color w:val="auto"/>
              </w:rPr>
              <w:t>—</w:t>
            </w:r>
          </w:p>
        </w:tc>
      </w:tr>
      <w:tr>
        <w:trPr>
          <w:trHeight w:val="220"/>
        </w:trPr>
        <w:tc>
          <w:tcPr>
            <w:tcW w:w="4480" w:type="dxa"/>
            <w:vAlign w:val="bottom"/>
            <w:shd w:val="clear" w:color="auto" w:fill="CCEEFF"/>
          </w:tcPr>
          <w:p>
            <w:pPr>
              <w:ind w:left="160"/>
              <w:spacing w:after="0"/>
              <w:rPr>
                <w:sz w:val="20"/>
                <w:szCs w:val="20"/>
                <w:color w:val="auto"/>
              </w:rPr>
            </w:pPr>
            <w:r>
              <w:rPr>
                <w:rFonts w:ascii="Arial" w:cs="Arial" w:eastAsia="Arial" w:hAnsi="Arial"/>
                <w:sz w:val="11"/>
                <w:szCs w:val="11"/>
                <w:color w:val="auto"/>
              </w:rPr>
              <w:t xml:space="preserve">Unamortized loss on reacquired debt </w:t>
            </w:r>
            <w:r>
              <w:rPr>
                <w:rFonts w:ascii="Arial" w:cs="Arial" w:eastAsia="Arial" w:hAnsi="Arial"/>
                <w:sz w:val="8"/>
                <w:szCs w:val="8"/>
                <w:color w:val="auto"/>
              </w:rPr>
              <w:t>(3)</w:t>
            </w:r>
          </w:p>
        </w:tc>
        <w:tc>
          <w:tcPr>
            <w:tcW w:w="8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63</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63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48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68</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68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w:t>
            </w:r>
          </w:p>
        </w:tc>
      </w:tr>
      <w:tr>
        <w:trPr>
          <w:trHeight w:val="211"/>
        </w:trPr>
        <w:tc>
          <w:tcPr>
            <w:tcW w:w="4480" w:type="dxa"/>
            <w:vAlign w:val="bottom"/>
          </w:tcPr>
          <w:p>
            <w:pPr>
              <w:ind w:left="160"/>
              <w:spacing w:after="0"/>
              <w:rPr>
                <w:sz w:val="20"/>
                <w:szCs w:val="20"/>
                <w:color w:val="auto"/>
              </w:rPr>
            </w:pPr>
            <w:r>
              <w:rPr>
                <w:rFonts w:ascii="Arial" w:cs="Arial" w:eastAsia="Arial" w:hAnsi="Arial"/>
                <w:sz w:val="11"/>
                <w:szCs w:val="11"/>
                <w:color w:val="auto"/>
              </w:rPr>
              <w:t xml:space="preserve">Pension and postretirement-related regulatory asset </w:t>
            </w:r>
            <w:r>
              <w:rPr>
                <w:rFonts w:ascii="Arial" w:cs="Arial" w:eastAsia="Arial" w:hAnsi="Arial"/>
                <w:sz w:val="8"/>
                <w:szCs w:val="8"/>
                <w:color w:val="auto"/>
              </w:rPr>
              <w:t>(3)</w:t>
            </w:r>
          </w:p>
        </w:tc>
        <w:tc>
          <w:tcPr>
            <w:tcW w:w="80" w:type="dxa"/>
            <w:vAlign w:val="bottom"/>
          </w:tcPr>
          <w:p>
            <w:pPr>
              <w:spacing w:after="0"/>
              <w:rPr>
                <w:sz w:val="18"/>
                <w:szCs w:val="18"/>
                <w:color w:val="auto"/>
              </w:rPr>
            </w:pPr>
          </w:p>
        </w:tc>
        <w:tc>
          <w:tcPr>
            <w:tcW w:w="1080" w:type="dxa"/>
            <w:vAlign w:val="bottom"/>
          </w:tcPr>
          <w:p>
            <w:pPr>
              <w:jc w:val="right"/>
              <w:ind w:right="63"/>
              <w:spacing w:after="0"/>
              <w:rPr>
                <w:sz w:val="20"/>
                <w:szCs w:val="20"/>
                <w:color w:val="auto"/>
              </w:rPr>
            </w:pPr>
            <w:r>
              <w:rPr>
                <w:rFonts w:ascii="Arial" w:cs="Arial" w:eastAsia="Arial" w:hAnsi="Arial"/>
                <w:sz w:val="11"/>
                <w:szCs w:val="11"/>
                <w:color w:val="auto"/>
              </w:rPr>
              <w:t>683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ind w:right="63"/>
              <w:spacing w:after="0"/>
              <w:rPr>
                <w:sz w:val="20"/>
                <w:szCs w:val="20"/>
                <w:color w:val="auto"/>
              </w:rPr>
            </w:pPr>
            <w:r>
              <w:rPr>
                <w:rFonts w:ascii="Arial" w:cs="Arial" w:eastAsia="Arial" w:hAnsi="Arial"/>
                <w:sz w:val="11"/>
                <w:szCs w:val="11"/>
                <w:color w:val="auto"/>
              </w:rPr>
              <w:t>35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ind w:right="63"/>
              <w:spacing w:after="0"/>
              <w:rPr>
                <w:sz w:val="20"/>
                <w:szCs w:val="20"/>
                <w:color w:val="auto"/>
              </w:rPr>
            </w:pPr>
            <w:r>
              <w:rPr>
                <w:rFonts w:ascii="Arial" w:cs="Arial" w:eastAsia="Arial" w:hAnsi="Arial"/>
                <w:sz w:val="11"/>
                <w:szCs w:val="11"/>
                <w:color w:val="auto"/>
              </w:rPr>
              <w:t>27</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jc w:val="right"/>
              <w:ind w:right="43"/>
              <w:spacing w:after="0"/>
              <w:rPr>
                <w:sz w:val="20"/>
                <w:szCs w:val="20"/>
                <w:color w:val="auto"/>
              </w:rPr>
            </w:pPr>
            <w:r>
              <w:rPr>
                <w:rFonts w:ascii="Arial" w:cs="Arial" w:eastAsia="Arial" w:hAnsi="Arial"/>
                <w:sz w:val="11"/>
                <w:szCs w:val="11"/>
                <w:color w:val="auto"/>
              </w:rPr>
              <w:t>725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43"/>
              <w:spacing w:after="0"/>
              <w:rPr>
                <w:sz w:val="20"/>
                <w:szCs w:val="20"/>
                <w:color w:val="auto"/>
              </w:rPr>
            </w:pPr>
            <w:r>
              <w:rPr>
                <w:rFonts w:ascii="Arial" w:cs="Arial" w:eastAsia="Arial" w:hAnsi="Arial"/>
                <w:sz w:val="11"/>
                <w:szCs w:val="11"/>
                <w:color w:val="auto"/>
              </w:rPr>
              <w:t>33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ind w:right="43"/>
              <w:spacing w:after="0"/>
              <w:rPr>
                <w:sz w:val="20"/>
                <w:szCs w:val="20"/>
                <w:color w:val="auto"/>
              </w:rPr>
            </w:pPr>
            <w:r>
              <w:rPr>
                <w:rFonts w:ascii="Arial" w:cs="Arial" w:eastAsia="Arial" w:hAnsi="Arial"/>
                <w:sz w:val="11"/>
                <w:szCs w:val="11"/>
                <w:color w:val="auto"/>
              </w:rPr>
              <w:t>30</w:t>
            </w:r>
          </w:p>
        </w:tc>
      </w:tr>
      <w:tr>
        <w:trPr>
          <w:trHeight w:val="220"/>
        </w:trPr>
        <w:tc>
          <w:tcPr>
            <w:tcW w:w="4480" w:type="dxa"/>
            <w:vAlign w:val="bottom"/>
            <w:shd w:val="clear" w:color="auto" w:fill="CCEEFF"/>
          </w:tcPr>
          <w:p>
            <w:pPr>
              <w:ind w:left="160"/>
              <w:spacing w:after="0"/>
              <w:rPr>
                <w:sz w:val="20"/>
                <w:szCs w:val="20"/>
                <w:color w:val="auto"/>
              </w:rPr>
            </w:pPr>
            <w:r>
              <w:rPr>
                <w:rFonts w:ascii="Arial" w:cs="Arial" w:eastAsia="Arial" w:hAnsi="Arial"/>
                <w:sz w:val="11"/>
                <w:szCs w:val="11"/>
                <w:color w:val="auto"/>
              </w:rPr>
              <w:t xml:space="preserve">Hurricane Harvey restoration costs </w:t>
            </w:r>
            <w:r>
              <w:rPr>
                <w:rFonts w:ascii="Arial" w:cs="Arial" w:eastAsia="Arial" w:hAnsi="Arial"/>
                <w:sz w:val="8"/>
                <w:szCs w:val="8"/>
                <w:color w:val="auto"/>
              </w:rPr>
              <w:t>(3)</w:t>
            </w:r>
          </w:p>
        </w:tc>
        <w:tc>
          <w:tcPr>
            <w:tcW w:w="8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68</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64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68</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64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4</w:t>
            </w:r>
          </w:p>
        </w:tc>
      </w:tr>
      <w:tr>
        <w:trPr>
          <w:trHeight w:val="211"/>
        </w:trPr>
        <w:tc>
          <w:tcPr>
            <w:tcW w:w="4480" w:type="dxa"/>
            <w:vAlign w:val="bottom"/>
          </w:tcPr>
          <w:p>
            <w:pPr>
              <w:ind w:left="160"/>
              <w:spacing w:after="0"/>
              <w:rPr>
                <w:sz w:val="20"/>
                <w:szCs w:val="20"/>
                <w:color w:val="auto"/>
              </w:rPr>
            </w:pPr>
            <w:r>
              <w:rPr>
                <w:rFonts w:ascii="Arial" w:cs="Arial" w:eastAsia="Arial" w:hAnsi="Arial"/>
                <w:sz w:val="11"/>
                <w:szCs w:val="11"/>
                <w:color w:val="auto"/>
              </w:rPr>
              <w:t xml:space="preserve">Regulatory assets related to TCJA </w:t>
            </w:r>
            <w:r>
              <w:rPr>
                <w:rFonts w:ascii="Arial" w:cs="Arial" w:eastAsia="Arial" w:hAnsi="Arial"/>
                <w:sz w:val="8"/>
                <w:szCs w:val="8"/>
                <w:color w:val="auto"/>
              </w:rPr>
              <w:t>(3) (4)</w:t>
            </w:r>
          </w:p>
        </w:tc>
        <w:tc>
          <w:tcPr>
            <w:tcW w:w="80" w:type="dxa"/>
            <w:vAlign w:val="bottom"/>
          </w:tcPr>
          <w:p>
            <w:pPr>
              <w:spacing w:after="0"/>
              <w:rPr>
                <w:sz w:val="18"/>
                <w:szCs w:val="18"/>
                <w:color w:val="auto"/>
              </w:rPr>
            </w:pPr>
          </w:p>
        </w:tc>
        <w:tc>
          <w:tcPr>
            <w:tcW w:w="1080" w:type="dxa"/>
            <w:vAlign w:val="bottom"/>
          </w:tcPr>
          <w:p>
            <w:pPr>
              <w:jc w:val="right"/>
              <w:ind w:right="63"/>
              <w:spacing w:after="0"/>
              <w:rPr>
                <w:sz w:val="20"/>
                <w:szCs w:val="20"/>
                <w:color w:val="auto"/>
              </w:rPr>
            </w:pPr>
            <w:r>
              <w:rPr>
                <w:rFonts w:ascii="Arial" w:cs="Arial" w:eastAsia="Arial" w:hAnsi="Arial"/>
                <w:sz w:val="11"/>
                <w:szCs w:val="11"/>
                <w:color w:val="auto"/>
              </w:rPr>
              <w:t>30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ind w:right="63"/>
              <w:spacing w:after="0"/>
              <w:rPr>
                <w:sz w:val="20"/>
                <w:szCs w:val="20"/>
                <w:color w:val="auto"/>
              </w:rPr>
            </w:pPr>
            <w:r>
              <w:rPr>
                <w:rFonts w:ascii="Arial" w:cs="Arial" w:eastAsia="Arial" w:hAnsi="Arial"/>
                <w:sz w:val="11"/>
                <w:szCs w:val="11"/>
                <w:color w:val="auto"/>
              </w:rPr>
              <w:t>23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ind w:right="63"/>
              <w:spacing w:after="0"/>
              <w:rPr>
                <w:sz w:val="20"/>
                <w:szCs w:val="20"/>
                <w:color w:val="auto"/>
              </w:rPr>
            </w:pPr>
            <w:r>
              <w:rPr>
                <w:rFonts w:ascii="Arial" w:cs="Arial" w:eastAsia="Arial" w:hAnsi="Arial"/>
                <w:sz w:val="11"/>
                <w:szCs w:val="11"/>
                <w:color w:val="auto"/>
              </w:rPr>
              <w:t>7</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jc w:val="right"/>
              <w:ind w:right="43"/>
              <w:spacing w:after="0"/>
              <w:rPr>
                <w:sz w:val="20"/>
                <w:szCs w:val="20"/>
                <w:color w:val="auto"/>
              </w:rPr>
            </w:pPr>
            <w:r>
              <w:rPr>
                <w:rFonts w:ascii="Arial" w:cs="Arial" w:eastAsia="Arial" w:hAnsi="Arial"/>
                <w:sz w:val="11"/>
                <w:szCs w:val="11"/>
                <w:color w:val="auto"/>
              </w:rPr>
              <w:t>33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43"/>
              <w:spacing w:after="0"/>
              <w:rPr>
                <w:sz w:val="20"/>
                <w:szCs w:val="20"/>
                <w:color w:val="auto"/>
              </w:rPr>
            </w:pPr>
            <w:r>
              <w:rPr>
                <w:rFonts w:ascii="Arial" w:cs="Arial" w:eastAsia="Arial" w:hAnsi="Arial"/>
                <w:sz w:val="11"/>
                <w:szCs w:val="11"/>
                <w:color w:val="auto"/>
              </w:rPr>
              <w:t>23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ind w:right="43"/>
              <w:spacing w:after="0"/>
              <w:rPr>
                <w:sz w:val="20"/>
                <w:szCs w:val="20"/>
                <w:color w:val="auto"/>
              </w:rPr>
            </w:pPr>
            <w:r>
              <w:rPr>
                <w:rFonts w:ascii="Arial" w:cs="Arial" w:eastAsia="Arial" w:hAnsi="Arial"/>
                <w:sz w:val="11"/>
                <w:szCs w:val="11"/>
                <w:color w:val="auto"/>
              </w:rPr>
              <w:t>10</w:t>
            </w:r>
          </w:p>
        </w:tc>
      </w:tr>
      <w:tr>
        <w:trPr>
          <w:trHeight w:val="220"/>
        </w:trPr>
        <w:tc>
          <w:tcPr>
            <w:tcW w:w="4480" w:type="dxa"/>
            <w:vAlign w:val="bottom"/>
            <w:shd w:val="clear" w:color="auto" w:fill="CCEEFF"/>
          </w:tcPr>
          <w:p>
            <w:pPr>
              <w:ind w:left="160"/>
              <w:spacing w:after="0"/>
              <w:rPr>
                <w:sz w:val="20"/>
                <w:szCs w:val="20"/>
                <w:color w:val="auto"/>
              </w:rPr>
            </w:pPr>
            <w:r>
              <w:rPr>
                <w:rFonts w:ascii="Arial" w:cs="Arial" w:eastAsia="Arial" w:hAnsi="Arial"/>
                <w:sz w:val="11"/>
                <w:szCs w:val="11"/>
                <w:color w:val="auto"/>
              </w:rPr>
              <w:t xml:space="preserve">Asset retirement obligation </w:t>
            </w:r>
            <w:r>
              <w:rPr>
                <w:rFonts w:ascii="Arial" w:cs="Arial" w:eastAsia="Arial" w:hAnsi="Arial"/>
                <w:sz w:val="8"/>
                <w:szCs w:val="8"/>
                <w:color w:val="auto"/>
              </w:rPr>
              <w:t>(3)</w:t>
            </w:r>
          </w:p>
        </w:tc>
        <w:tc>
          <w:tcPr>
            <w:tcW w:w="8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139</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25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92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109</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24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85</w:t>
            </w:r>
          </w:p>
        </w:tc>
      </w:tr>
      <w:tr>
        <w:trPr>
          <w:trHeight w:val="211"/>
        </w:trPr>
        <w:tc>
          <w:tcPr>
            <w:tcW w:w="4480" w:type="dxa"/>
            <w:vAlign w:val="bottom"/>
          </w:tcPr>
          <w:p>
            <w:pPr>
              <w:ind w:left="160"/>
              <w:spacing w:after="0"/>
              <w:rPr>
                <w:sz w:val="20"/>
                <w:szCs w:val="20"/>
                <w:color w:val="auto"/>
              </w:rPr>
            </w:pPr>
            <w:r>
              <w:rPr>
                <w:rFonts w:ascii="Arial" w:cs="Arial" w:eastAsia="Arial" w:hAnsi="Arial"/>
                <w:sz w:val="11"/>
                <w:szCs w:val="11"/>
                <w:color w:val="auto"/>
              </w:rPr>
              <w:t>Other regulatory assets-not earning a return (5)</w:t>
            </w:r>
          </w:p>
        </w:tc>
        <w:tc>
          <w:tcPr>
            <w:tcW w:w="80" w:type="dxa"/>
            <w:vAlign w:val="bottom"/>
          </w:tcPr>
          <w:p>
            <w:pPr>
              <w:spacing w:after="0"/>
              <w:rPr>
                <w:sz w:val="18"/>
                <w:szCs w:val="18"/>
                <w:color w:val="auto"/>
              </w:rPr>
            </w:pPr>
          </w:p>
        </w:tc>
        <w:tc>
          <w:tcPr>
            <w:tcW w:w="1080" w:type="dxa"/>
            <w:vAlign w:val="bottom"/>
          </w:tcPr>
          <w:p>
            <w:pPr>
              <w:jc w:val="right"/>
              <w:ind w:right="63"/>
              <w:spacing w:after="0"/>
              <w:rPr>
                <w:sz w:val="20"/>
                <w:szCs w:val="20"/>
                <w:color w:val="auto"/>
              </w:rPr>
            </w:pPr>
            <w:r>
              <w:rPr>
                <w:rFonts w:ascii="Arial" w:cs="Arial" w:eastAsia="Arial" w:hAnsi="Arial"/>
                <w:sz w:val="11"/>
                <w:szCs w:val="11"/>
                <w:color w:val="auto"/>
              </w:rPr>
              <w:t>154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ind w:right="63"/>
              <w:spacing w:after="0"/>
              <w:rPr>
                <w:sz w:val="20"/>
                <w:szCs w:val="20"/>
                <w:color w:val="auto"/>
              </w:rPr>
            </w:pPr>
            <w:r>
              <w:rPr>
                <w:rFonts w:ascii="Arial" w:cs="Arial" w:eastAsia="Arial" w:hAnsi="Arial"/>
                <w:sz w:val="11"/>
                <w:szCs w:val="11"/>
                <w:color w:val="auto"/>
              </w:rPr>
              <w:t>65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ind w:right="63"/>
              <w:spacing w:after="0"/>
              <w:rPr>
                <w:sz w:val="20"/>
                <w:szCs w:val="20"/>
                <w:color w:val="auto"/>
              </w:rPr>
            </w:pPr>
            <w:r>
              <w:rPr>
                <w:rFonts w:ascii="Arial" w:cs="Arial" w:eastAsia="Arial" w:hAnsi="Arial"/>
                <w:sz w:val="11"/>
                <w:szCs w:val="11"/>
                <w:color w:val="auto"/>
              </w:rPr>
              <w:t>46</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jc w:val="right"/>
              <w:ind w:right="43"/>
              <w:spacing w:after="0"/>
              <w:rPr>
                <w:sz w:val="20"/>
                <w:szCs w:val="20"/>
                <w:color w:val="auto"/>
              </w:rPr>
            </w:pPr>
            <w:r>
              <w:rPr>
                <w:rFonts w:ascii="Arial" w:cs="Arial" w:eastAsia="Arial" w:hAnsi="Arial"/>
                <w:sz w:val="11"/>
                <w:szCs w:val="11"/>
                <w:color w:val="auto"/>
              </w:rPr>
              <w:t>81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43"/>
              <w:spacing w:after="0"/>
              <w:rPr>
                <w:sz w:val="20"/>
                <w:szCs w:val="20"/>
                <w:color w:val="auto"/>
              </w:rPr>
            </w:pPr>
            <w:r>
              <w:rPr>
                <w:rFonts w:ascii="Arial" w:cs="Arial" w:eastAsia="Arial" w:hAnsi="Arial"/>
                <w:sz w:val="11"/>
                <w:szCs w:val="11"/>
                <w:color w:val="auto"/>
              </w:rPr>
              <w:t>55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ind w:right="43"/>
              <w:spacing w:after="0"/>
              <w:rPr>
                <w:sz w:val="20"/>
                <w:szCs w:val="20"/>
                <w:color w:val="auto"/>
              </w:rPr>
            </w:pPr>
            <w:r>
              <w:rPr>
                <w:rFonts w:ascii="Arial" w:cs="Arial" w:eastAsia="Arial" w:hAnsi="Arial"/>
                <w:sz w:val="11"/>
                <w:szCs w:val="11"/>
                <w:color w:val="auto"/>
              </w:rPr>
              <w:t>26</w:t>
            </w:r>
          </w:p>
        </w:tc>
      </w:tr>
      <w:tr>
        <w:trPr>
          <w:trHeight w:val="216"/>
        </w:trPr>
        <w:tc>
          <w:tcPr>
            <w:tcW w:w="4480" w:type="dxa"/>
            <w:vAlign w:val="bottom"/>
            <w:shd w:val="clear" w:color="auto" w:fill="CCEEFF"/>
          </w:tcPr>
          <w:p>
            <w:pPr>
              <w:ind w:left="160"/>
              <w:spacing w:after="0"/>
              <w:rPr>
                <w:sz w:val="20"/>
                <w:szCs w:val="20"/>
                <w:color w:val="auto"/>
              </w:rPr>
            </w:pPr>
            <w:r>
              <w:rPr>
                <w:rFonts w:ascii="Arial" w:cs="Arial" w:eastAsia="Arial" w:hAnsi="Arial"/>
                <w:sz w:val="11"/>
                <w:szCs w:val="11"/>
                <w:color w:val="auto"/>
              </w:rPr>
              <w:t>Other regulatory assets</w:t>
            </w:r>
          </w:p>
        </w:tc>
        <w:tc>
          <w:tcPr>
            <w:tcW w:w="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color w:val="auto"/>
              </w:rPr>
              <w:t>411</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color w:val="auto"/>
              </w:rPr>
              <w:t>30</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color w:val="auto"/>
              </w:rPr>
              <w:t>13</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1"/>
                <w:szCs w:val="11"/>
                <w:color w:val="auto"/>
              </w:rPr>
              <w:t>37</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1"/>
                <w:szCs w:val="11"/>
                <w:color w:val="auto"/>
              </w:rPr>
              <w:t>11</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1"/>
                <w:szCs w:val="11"/>
                <w:color w:val="auto"/>
              </w:rPr>
              <w:t>26</w:t>
            </w:r>
          </w:p>
        </w:tc>
      </w:tr>
      <w:tr>
        <w:trPr>
          <w:trHeight w:val="196"/>
        </w:trPr>
        <w:tc>
          <w:tcPr>
            <w:tcW w:w="4480" w:type="dxa"/>
            <w:vAlign w:val="bottom"/>
            <w:tcBorders>
              <w:bottom w:val="single" w:sz="8" w:color="CCEEFF"/>
            </w:tcBorders>
          </w:tcPr>
          <w:p>
            <w:pPr>
              <w:ind w:left="300"/>
              <w:spacing w:after="0"/>
              <w:rPr>
                <w:sz w:val="20"/>
                <w:szCs w:val="20"/>
                <w:color w:val="auto"/>
              </w:rPr>
            </w:pPr>
            <w:r>
              <w:rPr>
                <w:rFonts w:ascii="Arial" w:cs="Arial" w:eastAsia="Arial" w:hAnsi="Arial"/>
                <w:sz w:val="11"/>
                <w:szCs w:val="11"/>
                <w:color w:val="auto"/>
              </w:rPr>
              <w:t>Total non-current regulatory assets</w:t>
            </w:r>
          </w:p>
        </w:tc>
        <w:tc>
          <w:tcPr>
            <w:tcW w:w="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color w:val="auto"/>
              </w:rPr>
              <w:t>2,194</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color w:val="auto"/>
              </w:rPr>
              <w:t>951</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color w:val="auto"/>
              </w:rPr>
              <w:t>189</w:t>
            </w: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auto"/>
              </w:rPr>
              <w:t>1,967</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auto"/>
              </w:rPr>
              <w:t>1,124</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auto"/>
              </w:rPr>
              <w:t>181</w:t>
            </w:r>
          </w:p>
        </w:tc>
      </w:tr>
      <w:tr>
        <w:trPr>
          <w:trHeight w:val="200"/>
        </w:trPr>
        <w:tc>
          <w:tcPr>
            <w:tcW w:w="4480" w:type="dxa"/>
            <w:vAlign w:val="bottom"/>
            <w:shd w:val="clear" w:color="auto" w:fill="CCEEFF"/>
          </w:tcPr>
          <w:p>
            <w:pPr>
              <w:ind w:left="440"/>
              <w:spacing w:after="0"/>
              <w:rPr>
                <w:sz w:val="20"/>
                <w:szCs w:val="20"/>
                <w:color w:val="auto"/>
              </w:rPr>
            </w:pPr>
            <w:r>
              <w:rPr>
                <w:rFonts w:ascii="Arial" w:cs="Arial" w:eastAsia="Arial" w:hAnsi="Arial"/>
                <w:sz w:val="11"/>
                <w:szCs w:val="11"/>
                <w:color w:val="auto"/>
              </w:rPr>
              <w:t>Total regulatory assets</w:t>
            </w:r>
          </w:p>
        </w:tc>
        <w:tc>
          <w:tcPr>
            <w:tcW w:w="8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color w:val="auto"/>
              </w:rPr>
              <w:t>2,212</w:t>
            </w: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color w:val="auto"/>
              </w:rPr>
              <w:t>951</w:t>
            </w:r>
          </w:p>
        </w:tc>
        <w:tc>
          <w:tcPr>
            <w:tcW w:w="1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color w:val="auto"/>
              </w:rPr>
              <w:t>207</w:t>
            </w:r>
          </w:p>
        </w:tc>
        <w:tc>
          <w:tcPr>
            <w:tcW w:w="100" w:type="dxa"/>
            <w:vAlign w:val="bottom"/>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1"/>
                <w:szCs w:val="11"/>
                <w:color w:val="auto"/>
              </w:rPr>
              <w:t>2,044</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1"/>
                <w:szCs w:val="11"/>
                <w:color w:val="auto"/>
              </w:rPr>
              <w:t>1,124</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1"/>
                <w:szCs w:val="11"/>
                <w:color w:val="auto"/>
              </w:rPr>
              <w:t>258</w:t>
            </w:r>
          </w:p>
        </w:tc>
      </w:tr>
      <w:tr>
        <w:trPr>
          <w:trHeight w:val="202"/>
        </w:trPr>
        <w:tc>
          <w:tcPr>
            <w:tcW w:w="4480" w:type="dxa"/>
            <w:vAlign w:val="bottom"/>
          </w:tcPr>
          <w:p>
            <w:pPr>
              <w:ind w:left="20"/>
              <w:spacing w:after="0"/>
              <w:rPr>
                <w:sz w:val="20"/>
                <w:szCs w:val="20"/>
                <w:color w:val="auto"/>
              </w:rPr>
            </w:pPr>
            <w:r>
              <w:rPr>
                <w:rFonts w:ascii="Arial" w:cs="Arial" w:eastAsia="Arial" w:hAnsi="Arial"/>
                <w:sz w:val="11"/>
                <w:szCs w:val="11"/>
                <w:b w:val="1"/>
                <w:bCs w:val="1"/>
                <w:color w:val="auto"/>
              </w:rPr>
              <w:t>Regulatory Liabilities:</w:t>
            </w: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20"/>
        </w:trPr>
        <w:tc>
          <w:tcPr>
            <w:tcW w:w="4480" w:type="dxa"/>
            <w:vAlign w:val="bottom"/>
            <w:shd w:val="clear" w:color="auto" w:fill="CCEEFF"/>
          </w:tcPr>
          <w:p>
            <w:pPr>
              <w:ind w:left="20"/>
              <w:spacing w:after="0"/>
              <w:rPr>
                <w:sz w:val="20"/>
                <w:szCs w:val="20"/>
                <w:color w:val="auto"/>
              </w:rPr>
            </w:pPr>
            <w:r>
              <w:rPr>
                <w:rFonts w:ascii="Arial" w:cs="Arial" w:eastAsia="Arial" w:hAnsi="Arial"/>
                <w:sz w:val="11"/>
                <w:szCs w:val="11"/>
                <w:color w:val="auto"/>
              </w:rPr>
              <w:t>Current regulatory liabilities (6)</w:t>
            </w:r>
          </w:p>
        </w:tc>
        <w:tc>
          <w:tcPr>
            <w:tcW w:w="8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31</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28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38</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17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21</w:t>
            </w:r>
          </w:p>
        </w:tc>
      </w:tr>
      <w:tr>
        <w:trPr>
          <w:trHeight w:val="202"/>
        </w:trPr>
        <w:tc>
          <w:tcPr>
            <w:tcW w:w="4480" w:type="dxa"/>
            <w:vAlign w:val="bottom"/>
          </w:tcPr>
          <w:p>
            <w:pPr>
              <w:ind w:left="20"/>
              <w:spacing w:after="0"/>
              <w:rPr>
                <w:sz w:val="20"/>
                <w:szCs w:val="20"/>
                <w:color w:val="auto"/>
              </w:rPr>
            </w:pPr>
            <w:r>
              <w:rPr>
                <w:rFonts w:ascii="Arial" w:cs="Arial" w:eastAsia="Arial" w:hAnsi="Arial"/>
                <w:sz w:val="11"/>
                <w:szCs w:val="11"/>
                <w:color w:val="auto"/>
              </w:rPr>
              <w:t>Non-current regulatory liabilities:</w:t>
            </w:r>
          </w:p>
        </w:tc>
        <w:tc>
          <w:tcPr>
            <w:tcW w:w="8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r>
      <w:tr>
        <w:trPr>
          <w:trHeight w:val="220"/>
        </w:trPr>
        <w:tc>
          <w:tcPr>
            <w:tcW w:w="4480" w:type="dxa"/>
            <w:vAlign w:val="bottom"/>
            <w:shd w:val="clear" w:color="auto" w:fill="CCEEFF"/>
          </w:tcPr>
          <w:p>
            <w:pPr>
              <w:ind w:left="160"/>
              <w:spacing w:after="0"/>
              <w:rPr>
                <w:sz w:val="20"/>
                <w:szCs w:val="20"/>
                <w:color w:val="auto"/>
              </w:rPr>
            </w:pPr>
            <w:r>
              <w:rPr>
                <w:rFonts w:ascii="Arial" w:cs="Arial" w:eastAsia="Arial" w:hAnsi="Arial"/>
                <w:sz w:val="11"/>
                <w:szCs w:val="11"/>
                <w:color w:val="auto"/>
              </w:rPr>
              <w:t>Regulatory liabilities related to TCJA (4)</w:t>
            </w:r>
          </w:p>
        </w:tc>
        <w:tc>
          <w:tcPr>
            <w:tcW w:w="8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1,606</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830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449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1,323</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847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476</w:t>
            </w:r>
          </w:p>
        </w:tc>
      </w:tr>
      <w:tr>
        <w:trPr>
          <w:trHeight w:val="211"/>
        </w:trPr>
        <w:tc>
          <w:tcPr>
            <w:tcW w:w="4480" w:type="dxa"/>
            <w:vAlign w:val="bottom"/>
          </w:tcPr>
          <w:p>
            <w:pPr>
              <w:ind w:left="160"/>
              <w:spacing w:after="0"/>
              <w:rPr>
                <w:sz w:val="20"/>
                <w:szCs w:val="20"/>
                <w:color w:val="auto"/>
              </w:rPr>
            </w:pPr>
            <w:r>
              <w:rPr>
                <w:rFonts w:ascii="Arial" w:cs="Arial" w:eastAsia="Arial" w:hAnsi="Arial"/>
                <w:sz w:val="11"/>
                <w:szCs w:val="11"/>
                <w:color w:val="auto"/>
              </w:rPr>
              <w:t>Estimated removal costs</w:t>
            </w:r>
          </w:p>
        </w:tc>
        <w:tc>
          <w:tcPr>
            <w:tcW w:w="80" w:type="dxa"/>
            <w:vAlign w:val="bottom"/>
          </w:tcPr>
          <w:p>
            <w:pPr>
              <w:spacing w:after="0"/>
              <w:rPr>
                <w:sz w:val="18"/>
                <w:szCs w:val="18"/>
                <w:color w:val="auto"/>
              </w:rPr>
            </w:pPr>
          </w:p>
        </w:tc>
        <w:tc>
          <w:tcPr>
            <w:tcW w:w="1080" w:type="dxa"/>
            <w:vAlign w:val="bottom"/>
          </w:tcPr>
          <w:p>
            <w:pPr>
              <w:jc w:val="right"/>
              <w:ind w:right="63"/>
              <w:spacing w:after="0"/>
              <w:rPr>
                <w:sz w:val="20"/>
                <w:szCs w:val="20"/>
                <w:color w:val="auto"/>
              </w:rPr>
            </w:pPr>
            <w:r>
              <w:rPr>
                <w:rFonts w:ascii="Arial" w:cs="Arial" w:eastAsia="Arial" w:hAnsi="Arial"/>
                <w:sz w:val="11"/>
                <w:szCs w:val="11"/>
                <w:color w:val="auto"/>
              </w:rPr>
              <w:t>1,430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ind w:right="63"/>
              <w:spacing w:after="0"/>
              <w:rPr>
                <w:sz w:val="20"/>
                <w:szCs w:val="20"/>
                <w:color w:val="auto"/>
              </w:rPr>
            </w:pPr>
            <w:r>
              <w:rPr>
                <w:rFonts w:ascii="Arial" w:cs="Arial" w:eastAsia="Arial" w:hAnsi="Arial"/>
                <w:sz w:val="11"/>
                <w:szCs w:val="11"/>
                <w:color w:val="auto"/>
              </w:rPr>
              <w:t>259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ind w:right="63"/>
              <w:spacing w:after="0"/>
              <w:rPr>
                <w:sz w:val="20"/>
                <w:szCs w:val="20"/>
                <w:color w:val="auto"/>
              </w:rPr>
            </w:pPr>
            <w:r>
              <w:rPr>
                <w:rFonts w:ascii="Arial" w:cs="Arial" w:eastAsia="Arial" w:hAnsi="Arial"/>
                <w:sz w:val="11"/>
                <w:szCs w:val="11"/>
                <w:color w:val="auto"/>
              </w:rPr>
              <w:t>634</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jc w:val="right"/>
              <w:ind w:right="43"/>
              <w:spacing w:after="0"/>
              <w:rPr>
                <w:sz w:val="20"/>
                <w:szCs w:val="20"/>
                <w:color w:val="auto"/>
              </w:rPr>
            </w:pPr>
            <w:r>
              <w:rPr>
                <w:rFonts w:ascii="Arial" w:cs="Arial" w:eastAsia="Arial" w:hAnsi="Arial"/>
                <w:sz w:val="11"/>
                <w:szCs w:val="11"/>
                <w:color w:val="auto"/>
              </w:rPr>
              <w:t>886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43"/>
              <w:spacing w:after="0"/>
              <w:rPr>
                <w:sz w:val="20"/>
                <w:szCs w:val="20"/>
                <w:color w:val="auto"/>
              </w:rPr>
            </w:pPr>
            <w:r>
              <w:rPr>
                <w:rFonts w:ascii="Arial" w:cs="Arial" w:eastAsia="Arial" w:hAnsi="Arial"/>
                <w:sz w:val="11"/>
                <w:szCs w:val="11"/>
                <w:color w:val="auto"/>
              </w:rPr>
              <w:t>269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ind w:right="43"/>
              <w:spacing w:after="0"/>
              <w:rPr>
                <w:sz w:val="20"/>
                <w:szCs w:val="20"/>
                <w:color w:val="auto"/>
              </w:rPr>
            </w:pPr>
            <w:r>
              <w:rPr>
                <w:rFonts w:ascii="Arial" w:cs="Arial" w:eastAsia="Arial" w:hAnsi="Arial"/>
                <w:sz w:val="11"/>
                <w:szCs w:val="11"/>
                <w:color w:val="auto"/>
              </w:rPr>
              <w:t>617</w:t>
            </w:r>
          </w:p>
        </w:tc>
      </w:tr>
      <w:tr>
        <w:trPr>
          <w:trHeight w:val="216"/>
        </w:trPr>
        <w:tc>
          <w:tcPr>
            <w:tcW w:w="4480" w:type="dxa"/>
            <w:vAlign w:val="bottom"/>
            <w:shd w:val="clear" w:color="auto" w:fill="CCEEFF"/>
          </w:tcPr>
          <w:p>
            <w:pPr>
              <w:ind w:left="160"/>
              <w:spacing w:after="0"/>
              <w:rPr>
                <w:sz w:val="20"/>
                <w:szCs w:val="20"/>
                <w:color w:val="auto"/>
              </w:rPr>
            </w:pPr>
            <w:r>
              <w:rPr>
                <w:rFonts w:ascii="Arial" w:cs="Arial" w:eastAsia="Arial" w:hAnsi="Arial"/>
                <w:sz w:val="11"/>
                <w:szCs w:val="11"/>
                <w:color w:val="auto"/>
              </w:rPr>
              <w:t>Other regulatory liabilities</w:t>
            </w:r>
          </w:p>
        </w:tc>
        <w:tc>
          <w:tcPr>
            <w:tcW w:w="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color w:val="auto"/>
              </w:rPr>
              <w:t>445</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color w:val="auto"/>
              </w:rPr>
              <w:t>206</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color w:val="auto"/>
              </w:rPr>
              <w:t>138</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1"/>
                <w:szCs w:val="11"/>
                <w:color w:val="auto"/>
              </w:rPr>
              <w:t>316</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1"/>
                <w:szCs w:val="11"/>
                <w:color w:val="auto"/>
              </w:rPr>
              <w:t>182</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1"/>
                <w:szCs w:val="11"/>
                <w:color w:val="auto"/>
              </w:rPr>
              <w:t>134</w:t>
            </w:r>
          </w:p>
        </w:tc>
      </w:tr>
      <w:tr>
        <w:trPr>
          <w:trHeight w:val="196"/>
        </w:trPr>
        <w:tc>
          <w:tcPr>
            <w:tcW w:w="4480" w:type="dxa"/>
            <w:vAlign w:val="bottom"/>
            <w:tcBorders>
              <w:bottom w:val="single" w:sz="8" w:color="CCEEFF"/>
            </w:tcBorders>
          </w:tcPr>
          <w:p>
            <w:pPr>
              <w:ind w:left="300"/>
              <w:spacing w:after="0"/>
              <w:rPr>
                <w:sz w:val="20"/>
                <w:szCs w:val="20"/>
                <w:color w:val="auto"/>
              </w:rPr>
            </w:pPr>
            <w:r>
              <w:rPr>
                <w:rFonts w:ascii="Arial" w:cs="Arial" w:eastAsia="Arial" w:hAnsi="Arial"/>
                <w:sz w:val="11"/>
                <w:szCs w:val="11"/>
                <w:color w:val="auto"/>
              </w:rPr>
              <w:t>Total non-current regulatory liabilities</w:t>
            </w:r>
          </w:p>
        </w:tc>
        <w:tc>
          <w:tcPr>
            <w:tcW w:w="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color w:val="auto"/>
              </w:rPr>
              <w:t>3,481</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color w:val="auto"/>
              </w:rPr>
              <w:t>1,295</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color w:val="auto"/>
              </w:rPr>
              <w:t>1,221</w:t>
            </w: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auto"/>
              </w:rPr>
              <w:t>2,525</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auto"/>
              </w:rPr>
              <w:t>1,298</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auto"/>
              </w:rPr>
              <w:t>1,227</w:t>
            </w:r>
          </w:p>
        </w:tc>
      </w:tr>
      <w:tr>
        <w:trPr>
          <w:trHeight w:val="196"/>
        </w:trPr>
        <w:tc>
          <w:tcPr>
            <w:tcW w:w="4480" w:type="dxa"/>
            <w:vAlign w:val="bottom"/>
            <w:shd w:val="clear" w:color="auto" w:fill="CCEEFF"/>
          </w:tcPr>
          <w:p>
            <w:pPr>
              <w:ind w:left="440"/>
              <w:spacing w:after="0"/>
              <w:rPr>
                <w:sz w:val="20"/>
                <w:szCs w:val="20"/>
                <w:color w:val="auto"/>
              </w:rPr>
            </w:pPr>
            <w:r>
              <w:rPr>
                <w:rFonts w:ascii="Arial" w:cs="Arial" w:eastAsia="Arial" w:hAnsi="Arial"/>
                <w:sz w:val="11"/>
                <w:szCs w:val="11"/>
                <w:color w:val="auto"/>
              </w:rPr>
              <w:t>Total regulatory liabilities</w:t>
            </w:r>
          </w:p>
        </w:tc>
        <w:tc>
          <w:tcPr>
            <w:tcW w:w="8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color w:val="auto"/>
              </w:rPr>
              <w:t>3,512</w:t>
            </w: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color w:val="auto"/>
              </w:rPr>
              <w:t>1,295</w:t>
            </w:r>
          </w:p>
        </w:tc>
        <w:tc>
          <w:tcPr>
            <w:tcW w:w="1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color w:val="auto"/>
              </w:rPr>
              <w:t>1,249</w:t>
            </w:r>
          </w:p>
        </w:tc>
        <w:tc>
          <w:tcPr>
            <w:tcW w:w="100" w:type="dxa"/>
            <w:vAlign w:val="bottom"/>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1"/>
                <w:szCs w:val="11"/>
                <w:color w:val="auto"/>
              </w:rPr>
              <w:t>2,563</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1"/>
                <w:szCs w:val="11"/>
                <w:color w:val="auto"/>
              </w:rPr>
              <w:t>1,315</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1"/>
                <w:szCs w:val="11"/>
                <w:color w:val="auto"/>
              </w:rPr>
              <w:t>1,248</w:t>
            </w:r>
          </w:p>
        </w:tc>
      </w:tr>
      <w:tr>
        <w:trPr>
          <w:trHeight w:val="189"/>
        </w:trPr>
        <w:tc>
          <w:tcPr>
            <w:tcW w:w="4480" w:type="dxa"/>
            <w:vAlign w:val="bottom"/>
          </w:tcPr>
          <w:p>
            <w:pPr>
              <w:ind w:left="1260"/>
              <w:spacing w:after="0"/>
              <w:rPr>
                <w:sz w:val="20"/>
                <w:szCs w:val="20"/>
                <w:color w:val="auto"/>
              </w:rPr>
            </w:pPr>
            <w:r>
              <w:rPr>
                <w:rFonts w:ascii="Arial" w:cs="Arial" w:eastAsia="Arial" w:hAnsi="Arial"/>
                <w:sz w:val="11"/>
                <w:szCs w:val="11"/>
                <w:color w:val="auto"/>
              </w:rPr>
              <w:t>Total regulatory assets and liabilities, net</w:t>
            </w: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1080" w:type="dxa"/>
            <w:vAlign w:val="bottom"/>
          </w:tcPr>
          <w:p>
            <w:pPr>
              <w:jc w:val="right"/>
              <w:ind w:right="23"/>
              <w:spacing w:after="0"/>
              <w:rPr>
                <w:sz w:val="20"/>
                <w:szCs w:val="20"/>
                <w:color w:val="auto"/>
              </w:rPr>
            </w:pPr>
            <w:r>
              <w:rPr>
                <w:rFonts w:ascii="Arial" w:cs="Arial" w:eastAsia="Arial" w:hAnsi="Arial"/>
                <w:sz w:val="11"/>
                <w:szCs w:val="11"/>
                <w:color w:val="auto"/>
              </w:rPr>
              <w:t>(1,300)</w:t>
            </w:r>
          </w:p>
        </w:tc>
        <w:tc>
          <w:tcPr>
            <w:tcW w:w="22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940" w:type="dxa"/>
            <w:vAlign w:val="bottom"/>
          </w:tcPr>
          <w:p>
            <w:pPr>
              <w:jc w:val="right"/>
              <w:ind w:right="23"/>
              <w:spacing w:after="0"/>
              <w:rPr>
                <w:sz w:val="20"/>
                <w:szCs w:val="20"/>
                <w:color w:val="auto"/>
              </w:rPr>
            </w:pPr>
            <w:r>
              <w:rPr>
                <w:rFonts w:ascii="Arial" w:cs="Arial" w:eastAsia="Arial" w:hAnsi="Arial"/>
                <w:sz w:val="11"/>
                <w:szCs w:val="11"/>
                <w:color w:val="auto"/>
              </w:rPr>
              <w:t>(344)</w:t>
            </w:r>
          </w:p>
        </w:tc>
        <w:tc>
          <w:tcPr>
            <w:tcW w:w="120" w:type="dxa"/>
            <w:vAlign w:val="bottom"/>
          </w:tcPr>
          <w:p>
            <w:pPr>
              <w:spacing w:after="0"/>
              <w:rPr>
                <w:sz w:val="16"/>
                <w:szCs w:val="16"/>
                <w:color w:val="auto"/>
              </w:rPr>
            </w:pPr>
          </w:p>
        </w:tc>
        <w:tc>
          <w:tcPr>
            <w:tcW w:w="220" w:type="dxa"/>
            <w:vAlign w:val="bottom"/>
          </w:tcPr>
          <w:p>
            <w:pPr>
              <w:jc w:val="right"/>
              <w:ind w:right="83"/>
              <w:spacing w:after="0"/>
              <w:rPr>
                <w:sz w:val="20"/>
                <w:szCs w:val="20"/>
                <w:color w:val="auto"/>
              </w:rPr>
            </w:pPr>
            <w:r>
              <w:rPr>
                <w:rFonts w:ascii="Arial" w:cs="Arial" w:eastAsia="Arial" w:hAnsi="Arial"/>
                <w:sz w:val="11"/>
                <w:szCs w:val="11"/>
                <w:color w:val="auto"/>
                <w:w w:val="97"/>
              </w:rPr>
              <w:t>$</w:t>
            </w:r>
          </w:p>
        </w:tc>
        <w:tc>
          <w:tcPr>
            <w:tcW w:w="840" w:type="dxa"/>
            <w:vAlign w:val="bottom"/>
          </w:tcPr>
          <w:p>
            <w:pPr>
              <w:jc w:val="right"/>
              <w:ind w:right="43"/>
              <w:spacing w:after="0"/>
              <w:rPr>
                <w:sz w:val="20"/>
                <w:szCs w:val="20"/>
                <w:color w:val="auto"/>
              </w:rPr>
            </w:pPr>
            <w:r>
              <w:rPr>
                <w:rFonts w:ascii="Arial" w:cs="Arial" w:eastAsia="Arial" w:hAnsi="Arial"/>
                <w:sz w:val="11"/>
                <w:szCs w:val="11"/>
                <w:color w:val="auto"/>
              </w:rPr>
              <w:t>(1,042)</w:t>
            </w:r>
          </w:p>
        </w:tc>
        <w:tc>
          <w:tcPr>
            <w:tcW w:w="100" w:type="dxa"/>
            <w:vAlign w:val="bottom"/>
          </w:tcPr>
          <w:p>
            <w:pPr>
              <w:spacing w:after="0"/>
              <w:rPr>
                <w:sz w:val="16"/>
                <w:szCs w:val="16"/>
                <w:color w:val="auto"/>
              </w:rPr>
            </w:pPr>
          </w:p>
        </w:tc>
        <w:tc>
          <w:tcPr>
            <w:tcW w:w="480" w:type="dxa"/>
            <w:vAlign w:val="bottom"/>
          </w:tcPr>
          <w:p>
            <w:pPr>
              <w:jc w:val="right"/>
              <w:ind w:right="343"/>
              <w:spacing w:after="0"/>
              <w:rPr>
                <w:sz w:val="20"/>
                <w:szCs w:val="20"/>
                <w:color w:val="auto"/>
              </w:rPr>
            </w:pPr>
            <w:r>
              <w:rPr>
                <w:rFonts w:ascii="Arial" w:cs="Arial" w:eastAsia="Arial" w:hAnsi="Arial"/>
                <w:sz w:val="11"/>
                <w:szCs w:val="11"/>
                <w:color w:val="auto"/>
                <w:w w:val="97"/>
              </w:rPr>
              <w:t>$</w:t>
            </w:r>
          </w:p>
        </w:tc>
        <w:tc>
          <w:tcPr>
            <w:tcW w:w="660" w:type="dxa"/>
            <w:vAlign w:val="bottom"/>
          </w:tcPr>
          <w:p>
            <w:pPr>
              <w:jc w:val="right"/>
              <w:ind w:right="3"/>
              <w:spacing w:after="0"/>
              <w:rPr>
                <w:sz w:val="20"/>
                <w:szCs w:val="20"/>
                <w:color w:val="auto"/>
              </w:rPr>
            </w:pPr>
            <w:r>
              <w:rPr>
                <w:rFonts w:ascii="Arial" w:cs="Arial" w:eastAsia="Arial" w:hAnsi="Arial"/>
                <w:sz w:val="11"/>
                <w:szCs w:val="11"/>
                <w:color w:val="auto"/>
              </w:rPr>
              <w:t>(519)</w:t>
            </w:r>
          </w:p>
        </w:tc>
        <w:tc>
          <w:tcPr>
            <w:tcW w:w="20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920" w:type="dxa"/>
            <w:vAlign w:val="bottom"/>
          </w:tcPr>
          <w:p>
            <w:pPr>
              <w:jc w:val="right"/>
              <w:ind w:right="3"/>
              <w:spacing w:after="0"/>
              <w:rPr>
                <w:sz w:val="20"/>
                <w:szCs w:val="20"/>
                <w:color w:val="auto"/>
              </w:rPr>
            </w:pPr>
            <w:r>
              <w:rPr>
                <w:rFonts w:ascii="Arial" w:cs="Arial" w:eastAsia="Arial" w:hAnsi="Arial"/>
                <w:sz w:val="11"/>
                <w:szCs w:val="11"/>
                <w:color w:val="auto"/>
              </w:rPr>
              <w:t>(191)</w:t>
            </w:r>
          </w:p>
        </w:tc>
        <w:tc>
          <w:tcPr>
            <w:tcW w:w="100" w:type="dxa"/>
            <w:vAlign w:val="bottom"/>
          </w:tcPr>
          <w:p>
            <w:pPr>
              <w:spacing w:after="0"/>
              <w:rPr>
                <w:sz w:val="16"/>
                <w:szCs w:val="16"/>
                <w:color w:val="auto"/>
              </w:rPr>
            </w:pPr>
          </w:p>
        </w:tc>
        <w:tc>
          <w:tcPr>
            <w:tcW w:w="220" w:type="dxa"/>
            <w:vAlign w:val="bottom"/>
          </w:tcPr>
          <w:p>
            <w:pPr>
              <w:jc w:val="right"/>
              <w:ind w:right="83"/>
              <w:spacing w:after="0"/>
              <w:rPr>
                <w:sz w:val="20"/>
                <w:szCs w:val="20"/>
                <w:color w:val="auto"/>
              </w:rPr>
            </w:pPr>
            <w:r>
              <w:rPr>
                <w:rFonts w:ascii="Arial" w:cs="Arial" w:eastAsia="Arial" w:hAnsi="Arial"/>
                <w:sz w:val="11"/>
                <w:szCs w:val="11"/>
                <w:color w:val="auto"/>
                <w:w w:val="97"/>
              </w:rPr>
              <w:t>$</w:t>
            </w:r>
          </w:p>
        </w:tc>
        <w:tc>
          <w:tcPr>
            <w:tcW w:w="800" w:type="dxa"/>
            <w:vAlign w:val="bottom"/>
          </w:tcPr>
          <w:p>
            <w:pPr>
              <w:jc w:val="right"/>
              <w:ind w:right="3"/>
              <w:spacing w:after="0"/>
              <w:rPr>
                <w:sz w:val="20"/>
                <w:szCs w:val="20"/>
                <w:color w:val="auto"/>
              </w:rPr>
            </w:pPr>
            <w:r>
              <w:rPr>
                <w:rFonts w:ascii="Arial" w:cs="Arial" w:eastAsia="Arial" w:hAnsi="Arial"/>
                <w:sz w:val="11"/>
                <w:szCs w:val="11"/>
                <w:color w:val="auto"/>
              </w:rPr>
              <w:t>(990)</w:t>
            </w:r>
          </w:p>
        </w:tc>
      </w:tr>
      <w:tr>
        <w:trPr>
          <w:trHeight w:val="20"/>
        </w:trPr>
        <w:tc>
          <w:tcPr>
            <w:tcW w:w="4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pacing w:after="0" w:line="162" w:lineRule="exact"/>
        <w:rPr>
          <w:sz w:val="20"/>
          <w:szCs w:val="20"/>
          <w:color w:val="auto"/>
        </w:rPr>
      </w:pPr>
    </w:p>
    <w:p>
      <w:pPr>
        <w:ind w:left="520" w:hanging="255"/>
        <w:spacing w:after="0"/>
        <w:tabs>
          <w:tab w:leader="none" w:pos="5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Current regulatory assets are included in Prepaid expenses and other current assets in the Registrants’ respective Condensed Consolidated Balance Sheets.</w:t>
      </w:r>
    </w:p>
    <w:p>
      <w:pPr>
        <w:spacing w:after="0" w:line="183" w:lineRule="exact"/>
        <w:rPr>
          <w:rFonts w:ascii="Arial" w:cs="Arial" w:eastAsia="Arial" w:hAnsi="Arial"/>
          <w:sz w:val="14"/>
          <w:szCs w:val="14"/>
          <w:color w:val="auto"/>
        </w:rPr>
      </w:pPr>
    </w:p>
    <w:p>
      <w:pPr>
        <w:jc w:val="both"/>
        <w:ind w:left="520" w:hanging="255"/>
        <w:spacing w:after="0" w:line="272" w:lineRule="auto"/>
        <w:tabs>
          <w:tab w:leader="none" w:pos="5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The unrecognized equity return will be recognized as it is recovered in rates through 2024. The timing of CenterPoint Energy’s and Houston Electric’s recognition of the equity return will vary each period based on amounts actually collected during the period. The actual amounts recognized are adjusted at least annually to correct any over-collections or under-collections during the preceding 12 months.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4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2020" w:type="dxa"/>
            <w:vAlign w:val="bottom"/>
            <w:tcBorders>
              <w:bottom w:val="single" w:sz="8" w:color="auto"/>
            </w:tcBorders>
            <w:gridSpan w:val="4"/>
          </w:tcPr>
          <w:p>
            <w:pPr>
              <w:jc w:val="right"/>
              <w:ind w:right="86"/>
              <w:spacing w:after="0"/>
              <w:rPr>
                <w:sz w:val="20"/>
                <w:szCs w:val="20"/>
                <w:color w:val="auto"/>
              </w:rPr>
            </w:pPr>
            <w:r>
              <w:rPr>
                <w:rFonts w:ascii="Arial" w:cs="Arial" w:eastAsia="Arial" w:hAnsi="Arial"/>
                <w:sz w:val="11"/>
                <w:szCs w:val="11"/>
                <w:b w:val="1"/>
                <w:bCs w:val="1"/>
                <w:color w:val="auto"/>
                <w:w w:val="99"/>
              </w:rPr>
              <w:t>Three Months Ended September 30,</w:t>
            </w:r>
          </w:p>
        </w:tc>
        <w:tc>
          <w:tcPr>
            <w:tcW w:w="3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960" w:type="dxa"/>
            <w:vAlign w:val="bottom"/>
            <w:tcBorders>
              <w:bottom w:val="single" w:sz="8" w:color="auto"/>
            </w:tcBorders>
            <w:gridSpan w:val="4"/>
          </w:tcPr>
          <w:p>
            <w:pPr>
              <w:jc w:val="right"/>
              <w:ind w:right="83"/>
              <w:spacing w:after="0"/>
              <w:rPr>
                <w:sz w:val="20"/>
                <w:szCs w:val="20"/>
                <w:color w:val="auto"/>
              </w:rPr>
            </w:pPr>
            <w:r>
              <w:rPr>
                <w:rFonts w:ascii="Arial" w:cs="Arial" w:eastAsia="Arial" w:hAnsi="Arial"/>
                <w:sz w:val="11"/>
                <w:szCs w:val="11"/>
                <w:b w:val="1"/>
                <w:bCs w:val="1"/>
                <w:color w:val="auto"/>
                <w:w w:val="99"/>
              </w:rPr>
              <w:t>Nine Months Ended September 30,</w:t>
            </w:r>
          </w:p>
        </w:tc>
        <w:tc>
          <w:tcPr>
            <w:tcW w:w="2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r>
      <w:tr>
        <w:trPr>
          <w:trHeight w:val="206"/>
        </w:trPr>
        <w:tc>
          <w:tcPr>
            <w:tcW w:w="24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b w:val="1"/>
                <w:bCs w:val="1"/>
                <w:color w:val="auto"/>
                <w:w w:val="97"/>
              </w:rPr>
              <w:t>2019</w:t>
            </w:r>
          </w:p>
        </w:tc>
        <w:tc>
          <w:tcPr>
            <w:tcW w:w="9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b w:val="1"/>
                <w:bCs w:val="1"/>
                <w:color w:val="auto"/>
                <w:w w:val="89"/>
              </w:rPr>
              <w:t>2018</w:t>
            </w:r>
          </w:p>
        </w:tc>
        <w:tc>
          <w:tcPr>
            <w:tcW w:w="9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89"/>
              </w:rPr>
              <w:t>2019</w:t>
            </w:r>
          </w:p>
        </w:tc>
        <w:tc>
          <w:tcPr>
            <w:tcW w:w="9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89"/>
              </w:rPr>
              <w:t>2018</w:t>
            </w:r>
          </w:p>
        </w:tc>
        <w:tc>
          <w:tcPr>
            <w:tcW w:w="900" w:type="dxa"/>
            <w:vAlign w:val="bottom"/>
            <w:tcBorders>
              <w:bottom w:val="single" w:sz="8" w:color="auto"/>
            </w:tcBorders>
          </w:tcPr>
          <w:p>
            <w:pPr>
              <w:spacing w:after="0"/>
              <w:rPr>
                <w:sz w:val="17"/>
                <w:szCs w:val="17"/>
                <w:color w:val="auto"/>
              </w:rPr>
            </w:pPr>
          </w:p>
        </w:tc>
      </w:tr>
      <w:tr>
        <w:trPr>
          <w:trHeight w:val="204"/>
        </w:trPr>
        <w:tc>
          <w:tcPr>
            <w:tcW w:w="24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89"/>
              </w:rPr>
              <w:t>CenterPoint Energy</w:t>
            </w: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gridSpan w:val="2"/>
          </w:tcPr>
          <w:p>
            <w:pPr>
              <w:ind w:left="40"/>
              <w:spacing w:after="0"/>
              <w:rPr>
                <w:sz w:val="20"/>
                <w:szCs w:val="20"/>
                <w:color w:val="auto"/>
              </w:rPr>
            </w:pPr>
            <w:r>
              <w:rPr>
                <w:rFonts w:ascii="Arial" w:cs="Arial" w:eastAsia="Arial" w:hAnsi="Arial"/>
                <w:sz w:val="10"/>
                <w:szCs w:val="10"/>
                <w:b w:val="1"/>
                <w:bCs w:val="1"/>
                <w:color w:val="auto"/>
              </w:rPr>
              <w:t>Houston Electric</w:t>
            </w:r>
          </w:p>
        </w:tc>
        <w:tc>
          <w:tcPr>
            <w:tcW w:w="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92"/>
              </w:rPr>
              <w:t>CenterPoint Energy</w:t>
            </w: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gridSpan w:val="2"/>
          </w:tcPr>
          <w:p>
            <w:pPr>
              <w:ind w:left="40"/>
              <w:spacing w:after="0"/>
              <w:rPr>
                <w:sz w:val="20"/>
                <w:szCs w:val="20"/>
                <w:color w:val="auto"/>
              </w:rPr>
            </w:pPr>
            <w:r>
              <w:rPr>
                <w:rFonts w:ascii="Arial" w:cs="Arial" w:eastAsia="Arial" w:hAnsi="Arial"/>
                <w:sz w:val="10"/>
                <w:szCs w:val="10"/>
                <w:b w:val="1"/>
                <w:bCs w:val="1"/>
                <w:color w:val="auto"/>
              </w:rPr>
              <w:t>Houston Electric</w:t>
            </w: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b w:val="1"/>
                <w:bCs w:val="1"/>
                <w:color w:val="auto"/>
                <w:w w:val="98"/>
              </w:rPr>
              <w:t>CenterPoint Energy</w:t>
            </w: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2"/>
          </w:tcPr>
          <w:p>
            <w:pPr>
              <w:ind w:left="40"/>
              <w:spacing w:after="0"/>
              <w:rPr>
                <w:sz w:val="20"/>
                <w:szCs w:val="20"/>
                <w:color w:val="auto"/>
              </w:rPr>
            </w:pPr>
            <w:r>
              <w:rPr>
                <w:rFonts w:ascii="Arial" w:cs="Arial" w:eastAsia="Arial" w:hAnsi="Arial"/>
                <w:sz w:val="10"/>
                <w:szCs w:val="10"/>
                <w:b w:val="1"/>
                <w:bCs w:val="1"/>
                <w:color w:val="auto"/>
              </w:rPr>
              <w:t>Houston Electric</w:t>
            </w: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b w:val="1"/>
                <w:bCs w:val="1"/>
                <w:color w:val="auto"/>
                <w:w w:val="98"/>
              </w:rPr>
              <w:t>CenterPoint Energy</w:t>
            </w: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86"/>
              <w:spacing w:after="0"/>
              <w:rPr>
                <w:sz w:val="20"/>
                <w:szCs w:val="20"/>
                <w:color w:val="auto"/>
              </w:rPr>
            </w:pPr>
            <w:r>
              <w:rPr>
                <w:rFonts w:ascii="Arial" w:cs="Arial" w:eastAsia="Arial" w:hAnsi="Arial"/>
                <w:sz w:val="10"/>
                <w:szCs w:val="10"/>
                <w:b w:val="1"/>
                <w:bCs w:val="1"/>
                <w:color w:val="auto"/>
                <w:w w:val="93"/>
              </w:rPr>
              <w:t>Houston Electric</w:t>
            </w:r>
          </w:p>
        </w:tc>
      </w:tr>
      <w:tr>
        <w:trPr>
          <w:trHeight w:val="198"/>
        </w:trPr>
        <w:tc>
          <w:tcPr>
            <w:tcW w:w="2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20" w:type="dxa"/>
            <w:vAlign w:val="bottom"/>
            <w:gridSpan w:val="3"/>
          </w:tcPr>
          <w:p>
            <w:pPr>
              <w:jc w:val="right"/>
              <w:ind w:right="246"/>
              <w:spacing w:after="0"/>
              <w:rPr>
                <w:sz w:val="20"/>
                <w:szCs w:val="20"/>
                <w:color w:val="auto"/>
              </w:rPr>
            </w:pPr>
            <w:r>
              <w:rPr>
                <w:rFonts w:ascii="Arial" w:cs="Arial" w:eastAsia="Arial" w:hAnsi="Arial"/>
                <w:sz w:val="11"/>
                <w:szCs w:val="11"/>
                <w:b w:val="1"/>
                <w:bCs w:val="1"/>
                <w:color w:val="auto"/>
              </w:rPr>
              <w:t>(in millions)</w:t>
            </w:r>
          </w:p>
        </w:tc>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20"/>
        </w:trPr>
        <w:tc>
          <w:tcPr>
            <w:tcW w:w="2400" w:type="dxa"/>
            <w:vAlign w:val="bottom"/>
            <w:shd w:val="clear" w:color="auto" w:fill="CCEEFF"/>
          </w:tcPr>
          <w:p>
            <w:pPr>
              <w:ind w:left="20"/>
              <w:spacing w:after="0"/>
              <w:rPr>
                <w:sz w:val="20"/>
                <w:szCs w:val="20"/>
                <w:color w:val="auto"/>
              </w:rPr>
            </w:pPr>
            <w:r>
              <w:rPr>
                <w:rFonts w:ascii="Arial" w:cs="Arial" w:eastAsia="Arial" w:hAnsi="Arial"/>
                <w:sz w:val="11"/>
                <w:szCs w:val="11"/>
                <w:color w:val="auto"/>
              </w:rPr>
              <w:t>Allowed equity return recognized</w:t>
            </w: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w:t>
            </w:r>
          </w:p>
        </w:tc>
        <w:tc>
          <w:tcPr>
            <w:tcW w:w="3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920" w:type="dxa"/>
            <w:vAlign w:val="bottom"/>
            <w:shd w:val="clear" w:color="auto" w:fill="CCEEFF"/>
          </w:tcPr>
          <w:p>
            <w:pPr>
              <w:jc w:val="right"/>
              <w:ind w:right="65"/>
              <w:spacing w:after="0"/>
              <w:rPr>
                <w:sz w:val="20"/>
                <w:szCs w:val="20"/>
                <w:color w:val="auto"/>
              </w:rPr>
            </w:pPr>
            <w:r>
              <w:rPr>
                <w:rFonts w:ascii="Arial" w:cs="Arial" w:eastAsia="Arial" w:hAnsi="Arial"/>
                <w:sz w:val="11"/>
                <w:szCs w:val="11"/>
                <w:color w:val="auto"/>
              </w:rPr>
              <w:t>14</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90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17</w:t>
            </w:r>
          </w:p>
        </w:tc>
        <w:tc>
          <w:tcPr>
            <w:tcW w:w="3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920" w:type="dxa"/>
            <w:vAlign w:val="bottom"/>
            <w:shd w:val="clear" w:color="auto" w:fill="CCEEFF"/>
          </w:tcPr>
          <w:p>
            <w:pPr>
              <w:jc w:val="right"/>
              <w:ind w:right="65"/>
              <w:spacing w:after="0"/>
              <w:rPr>
                <w:sz w:val="20"/>
                <w:szCs w:val="20"/>
                <w:color w:val="auto"/>
              </w:rPr>
            </w:pPr>
            <w:r>
              <w:rPr>
                <w:rFonts w:ascii="Arial" w:cs="Arial" w:eastAsia="Arial" w:hAnsi="Arial"/>
                <w:sz w:val="11"/>
                <w:szCs w:val="11"/>
                <w:color w:val="auto"/>
              </w:rPr>
              <w:t>17</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346"/>
              <w:spacing w:after="0"/>
              <w:rPr>
                <w:sz w:val="20"/>
                <w:szCs w:val="20"/>
                <w:color w:val="auto"/>
              </w:rPr>
            </w:pPr>
            <w:r>
              <w:rPr>
                <w:rFonts w:ascii="Arial" w:cs="Arial" w:eastAsia="Arial" w:hAnsi="Arial"/>
                <w:sz w:val="11"/>
                <w:szCs w:val="11"/>
                <w:color w:val="auto"/>
                <w:w w:val="97"/>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38</w:t>
            </w:r>
          </w:p>
        </w:tc>
        <w:tc>
          <w:tcPr>
            <w:tcW w:w="2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900" w:type="dxa"/>
            <w:vAlign w:val="bottom"/>
            <w:shd w:val="clear" w:color="auto" w:fill="CCEEFF"/>
          </w:tcPr>
          <w:p>
            <w:pPr>
              <w:jc w:val="right"/>
              <w:ind w:right="45"/>
              <w:spacing w:after="0"/>
              <w:rPr>
                <w:sz w:val="20"/>
                <w:szCs w:val="20"/>
                <w:color w:val="auto"/>
              </w:rPr>
            </w:pPr>
            <w:r>
              <w:rPr>
                <w:rFonts w:ascii="Arial" w:cs="Arial" w:eastAsia="Arial" w:hAnsi="Arial"/>
                <w:sz w:val="11"/>
                <w:szCs w:val="11"/>
                <w:color w:val="auto"/>
              </w:rPr>
              <w:t>38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306"/>
              <w:spacing w:after="0"/>
              <w:rPr>
                <w:sz w:val="20"/>
                <w:szCs w:val="20"/>
                <w:color w:val="auto"/>
              </w:rPr>
            </w:pPr>
            <w:r>
              <w:rPr>
                <w:rFonts w:ascii="Arial" w:cs="Arial" w:eastAsia="Arial" w:hAnsi="Arial"/>
                <w:sz w:val="11"/>
                <w:szCs w:val="11"/>
                <w:color w:val="auto"/>
                <w:w w:val="97"/>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62</w:t>
            </w:r>
          </w:p>
        </w:tc>
        <w:tc>
          <w:tcPr>
            <w:tcW w:w="2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90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62</w:t>
            </w:r>
          </w:p>
        </w:tc>
      </w:tr>
    </w:tbl>
    <w:p>
      <w:pPr>
        <w:spacing w:after="0" w:line="334" w:lineRule="exact"/>
        <w:rPr>
          <w:sz w:val="20"/>
          <w:szCs w:val="20"/>
          <w:color w:val="auto"/>
        </w:rPr>
      </w:pPr>
    </w:p>
    <w:p>
      <w:pPr>
        <w:ind w:left="520" w:hanging="255"/>
        <w:spacing w:after="0"/>
        <w:tabs>
          <w:tab w:leader="none" w:pos="5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Substantially all of these regulatory assets are not earning a return.</w:t>
      </w:r>
    </w:p>
    <w:p>
      <w:pPr>
        <w:spacing w:after="0" w:line="183" w:lineRule="exact"/>
        <w:rPr>
          <w:rFonts w:ascii="Arial" w:cs="Arial" w:eastAsia="Arial" w:hAnsi="Arial"/>
          <w:sz w:val="14"/>
          <w:szCs w:val="14"/>
          <w:color w:val="auto"/>
        </w:rPr>
      </w:pPr>
    </w:p>
    <w:p>
      <w:pPr>
        <w:ind w:left="520" w:hanging="255"/>
        <w:spacing w:after="0"/>
        <w:tabs>
          <w:tab w:leader="none" w:pos="5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The EDIT and deferred revenues will be recovered or refunded to customers as required by tax and regulatory authorities.</w:t>
      </w:r>
    </w:p>
    <w:p>
      <w:pPr>
        <w:spacing w:after="0" w:line="183" w:lineRule="exact"/>
        <w:rPr>
          <w:rFonts w:ascii="Arial" w:cs="Arial" w:eastAsia="Arial" w:hAnsi="Arial"/>
          <w:sz w:val="14"/>
          <w:szCs w:val="14"/>
          <w:color w:val="auto"/>
        </w:rPr>
      </w:pPr>
    </w:p>
    <w:p>
      <w:pPr>
        <w:ind w:left="520" w:hanging="255"/>
        <w:spacing w:after="0" w:line="288" w:lineRule="auto"/>
        <w:tabs>
          <w:tab w:leader="none" w:pos="5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Regulatory assets acquired in the Merger and not earning a return were recorded at fair value as of the Merger Date. Such fair value adjustments are recognized over time until the regulatory asset is recovered.</w:t>
      </w: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31</w:t>
      </w:r>
    </w:p>
    <w:p>
      <w:pPr>
        <w:sectPr>
          <w:pgSz w:w="11900" w:h="16838" w:orient="portrait"/>
          <w:cols w:equalWidth="0" w:num="1">
            <w:col w:w="11460"/>
          </w:cols>
          <w:pgMar w:left="220" w:top="129" w:right="219" w:bottom="1440" w:gutter="0" w:footer="0" w:header="0"/>
        </w:sectPr>
      </w:pPr>
    </w:p>
    <w:bookmarkStart w:id="41" w:name="page42"/>
    <w:bookmarkEnd w:id="41"/>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205" w:lineRule="exact"/>
        <w:rPr>
          <w:sz w:val="20"/>
          <w:szCs w:val="20"/>
          <w:color w:val="auto"/>
        </w:rPr>
      </w:pPr>
    </w:p>
    <w:p>
      <w:pPr>
        <w:ind w:left="260"/>
        <w:spacing w:after="0"/>
        <w:rPr>
          <w:sz w:val="20"/>
          <w:szCs w:val="20"/>
          <w:color w:val="auto"/>
        </w:rPr>
      </w:pPr>
      <w:r>
        <w:rPr>
          <w:rFonts w:ascii="Arial" w:cs="Arial" w:eastAsia="Arial" w:hAnsi="Arial"/>
          <w:sz w:val="14"/>
          <w:szCs w:val="14"/>
          <w:color w:val="auto"/>
        </w:rPr>
        <w:t>(6)  Current regulatory liabilities are included in Other current liabilities in each of the Registrants’ respective Condensed Consolidated Balance Sheets.</w:t>
      </w:r>
    </w:p>
    <w:p>
      <w:pPr>
        <w:spacing w:after="0" w:line="184" w:lineRule="exact"/>
        <w:rPr>
          <w:sz w:val="20"/>
          <w:szCs w:val="20"/>
          <w:color w:val="auto"/>
        </w:rPr>
      </w:pPr>
    </w:p>
    <w:p>
      <w:pPr>
        <w:ind w:left="180"/>
        <w:spacing w:after="0"/>
        <w:rPr>
          <w:sz w:val="20"/>
          <w:szCs w:val="20"/>
          <w:color w:val="auto"/>
        </w:rPr>
      </w:pPr>
      <w:r>
        <w:rPr>
          <w:rFonts w:ascii="Arial" w:cs="Arial" w:eastAsia="Arial" w:hAnsi="Arial"/>
          <w:sz w:val="14"/>
          <w:szCs w:val="14"/>
          <w:b w:val="1"/>
          <w:bCs w:val="1"/>
          <w:i w:val="1"/>
          <w:iCs w:val="1"/>
          <w:color w:val="auto"/>
        </w:rPr>
        <w:t>Houston Electric Base Rate Case (CenterPoint Energy and Houston Electric)</w:t>
      </w:r>
    </w:p>
    <w:p>
      <w:pPr>
        <w:spacing w:after="0" w:line="184" w:lineRule="exact"/>
        <w:rPr>
          <w:sz w:val="20"/>
          <w:szCs w:val="20"/>
          <w:color w:val="auto"/>
        </w:rPr>
      </w:pPr>
    </w:p>
    <w:p>
      <w:pPr>
        <w:ind w:firstLine="259"/>
        <w:spacing w:after="0" w:line="288" w:lineRule="auto"/>
        <w:rPr>
          <w:sz w:val="20"/>
          <w:szCs w:val="20"/>
          <w:color w:val="auto"/>
        </w:rPr>
      </w:pPr>
      <w:r>
        <w:rPr>
          <w:rFonts w:ascii="Arial" w:cs="Arial" w:eastAsia="Arial" w:hAnsi="Arial"/>
          <w:sz w:val="14"/>
          <w:szCs w:val="14"/>
          <w:color w:val="auto"/>
        </w:rPr>
        <w:t>On April 5, 2019, and subsequently adjusted in errata filings in May and June 2019, Houston Electric filed its base rate application with the PUCT and the cities in its service area seeking approval for revenue increases of approximately $194 million, exclusive of the EDIT refund discussed below.</w:t>
      </w:r>
    </w:p>
    <w:p>
      <w:pPr>
        <w:spacing w:after="0" w:line="131"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key proposals of the rate case include:</w:t>
      </w:r>
    </w:p>
    <w:p>
      <w:pPr>
        <w:spacing w:after="0" w:line="184" w:lineRule="exact"/>
        <w:rPr>
          <w:sz w:val="20"/>
          <w:szCs w:val="20"/>
          <w:color w:val="auto"/>
        </w:rPr>
      </w:pPr>
    </w:p>
    <w:p>
      <w:pPr>
        <w:ind w:left="520" w:hanging="255"/>
        <w:spacing w:after="0"/>
        <w:tabs>
          <w:tab w:leader="none" w:pos="5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a rate base of $6.4 billion with a 50% debt, 50% equity capital structure and a 10.4% ROE;</w:t>
      </w:r>
    </w:p>
    <w:p>
      <w:pPr>
        <w:spacing w:after="0" w:line="183" w:lineRule="exact"/>
        <w:rPr>
          <w:rFonts w:ascii="Arial" w:cs="Arial" w:eastAsia="Arial" w:hAnsi="Arial"/>
          <w:sz w:val="14"/>
          <w:szCs w:val="14"/>
          <w:color w:val="auto"/>
        </w:rPr>
      </w:pPr>
    </w:p>
    <w:p>
      <w:pPr>
        <w:ind w:left="520" w:hanging="255"/>
        <w:spacing w:after="0"/>
        <w:tabs>
          <w:tab w:leader="none" w:pos="5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a prudency determination on all capital investments made by Houston Electric since January 1, 2010;</w:t>
      </w:r>
    </w:p>
    <w:p>
      <w:pPr>
        <w:spacing w:after="0" w:line="183" w:lineRule="exact"/>
        <w:rPr>
          <w:rFonts w:ascii="Arial" w:cs="Arial" w:eastAsia="Arial" w:hAnsi="Arial"/>
          <w:sz w:val="14"/>
          <w:szCs w:val="14"/>
          <w:color w:val="auto"/>
        </w:rPr>
      </w:pPr>
    </w:p>
    <w:p>
      <w:pPr>
        <w:ind w:left="520" w:hanging="255"/>
        <w:spacing w:after="0"/>
        <w:tabs>
          <w:tab w:leader="none" w:pos="5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the establishment of a rider to refund unprotected EDIT resulting from the TCJA; and</w:t>
      </w:r>
    </w:p>
    <w:p>
      <w:pPr>
        <w:spacing w:after="0" w:line="183" w:lineRule="exact"/>
        <w:rPr>
          <w:rFonts w:ascii="Arial" w:cs="Arial" w:eastAsia="Arial" w:hAnsi="Arial"/>
          <w:sz w:val="14"/>
          <w:szCs w:val="14"/>
          <w:color w:val="auto"/>
        </w:rPr>
      </w:pPr>
    </w:p>
    <w:p>
      <w:pPr>
        <w:ind w:left="520" w:hanging="255"/>
        <w:spacing w:after="0"/>
        <w:tabs>
          <w:tab w:leader="none" w:pos="5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updated depreciation rates and approval to recover other costs.</w:t>
      </w:r>
    </w:p>
    <w:p>
      <w:pPr>
        <w:spacing w:after="0" w:line="184" w:lineRule="exact"/>
        <w:rPr>
          <w:sz w:val="20"/>
          <w:szCs w:val="20"/>
          <w:color w:val="auto"/>
        </w:rPr>
      </w:pPr>
    </w:p>
    <w:p>
      <w:pPr>
        <w:jc w:val="both"/>
        <w:ind w:firstLine="259"/>
        <w:spacing w:after="0" w:line="263" w:lineRule="auto"/>
        <w:rPr>
          <w:sz w:val="20"/>
          <w:szCs w:val="20"/>
          <w:color w:val="auto"/>
        </w:rPr>
      </w:pPr>
      <w:r>
        <w:rPr>
          <w:rFonts w:ascii="Arial" w:cs="Arial" w:eastAsia="Arial" w:hAnsi="Arial"/>
          <w:sz w:val="14"/>
          <w:szCs w:val="14"/>
          <w:color w:val="auto"/>
        </w:rPr>
        <w:t>On September 16, 2019, the ALJs issued a PFD recommending a revenue increase of approximately $2.6 million, which is lower than as filed primarily due to the recommended rate base and operation and maintenance expense disallowances, lower equity capital structure, and lower return on equity. If the PFD were approved in its entirety, it would result, among other things, in a one-time refund obligation of capital previously recovered through Houston Electric’s TCOS and DCRF mechanisms, and a pre-tax write-off of approximately $120 million for rate base disallowance of assets recorded in CenterPoint Energy’s and Houston Electric’s Condensed Consolidated Balance Sheets as of September 30, 2019. The amount of any refunds for previously recovered capital would be determined in a separate proceeding with the PUCT. Furthermore, the PFD recommends a separate proceeding with the PUCT to determine the amount, if any, of $158 million EDIT on Houston Electric’s securitized assets to be provided to customers.</w:t>
      </w:r>
    </w:p>
    <w:p>
      <w:pPr>
        <w:spacing w:after="0" w:line="148" w:lineRule="exact"/>
        <w:rPr>
          <w:sz w:val="20"/>
          <w:szCs w:val="20"/>
          <w:color w:val="auto"/>
        </w:rPr>
      </w:pPr>
    </w:p>
    <w:p>
      <w:pPr>
        <w:jc w:val="both"/>
        <w:ind w:firstLine="259"/>
        <w:spacing w:after="0" w:line="288" w:lineRule="auto"/>
        <w:rPr>
          <w:sz w:val="20"/>
          <w:szCs w:val="20"/>
          <w:color w:val="auto"/>
        </w:rPr>
      </w:pPr>
      <w:r>
        <w:rPr>
          <w:rFonts w:ascii="Arial" w:cs="Arial" w:eastAsia="Arial" w:hAnsi="Arial"/>
          <w:sz w:val="14"/>
          <w:szCs w:val="14"/>
          <w:color w:val="auto"/>
        </w:rPr>
        <w:t>The PUCT has not yet begun deliberating on the PFD, which is prepared by judges at a different state agency. A final order from the PUCT is currently expected in the fourth quarter of 2019, but motions for rehearing, if granted, could result in the order being issued in 2020. CenterPoint Energy and Houston Electric cannot predict the outcome of the proceeding.</w:t>
      </w:r>
    </w:p>
    <w:p>
      <w:pPr>
        <w:spacing w:after="0" w:line="131" w:lineRule="exact"/>
        <w:rPr>
          <w:sz w:val="20"/>
          <w:szCs w:val="20"/>
          <w:color w:val="auto"/>
        </w:rPr>
      </w:pPr>
    </w:p>
    <w:p>
      <w:pPr>
        <w:ind w:left="260"/>
        <w:spacing w:after="0"/>
        <w:rPr>
          <w:sz w:val="20"/>
          <w:szCs w:val="20"/>
          <w:color w:val="auto"/>
        </w:rPr>
      </w:pPr>
      <w:r>
        <w:rPr>
          <w:rFonts w:ascii="Arial" w:cs="Arial" w:eastAsia="Arial" w:hAnsi="Arial"/>
          <w:sz w:val="13"/>
          <w:szCs w:val="13"/>
          <w:color w:val="auto"/>
        </w:rPr>
        <w:t>CenterPoint Energy and Houston Electric record pre-tax expense for disallowed capital investments and customer refund obligations when the amounts are deemed both probable and estimable.</w:t>
      </w:r>
    </w:p>
    <w:p>
      <w:pPr>
        <w:spacing w:after="0" w:line="36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(7) Derivative Instruments</w:t>
      </w:r>
    </w:p>
    <w:p>
      <w:pPr>
        <w:spacing w:after="0" w:line="188" w:lineRule="exact"/>
        <w:rPr>
          <w:sz w:val="20"/>
          <w:szCs w:val="20"/>
          <w:color w:val="auto"/>
        </w:rPr>
      </w:pPr>
    </w:p>
    <w:p>
      <w:pPr>
        <w:jc w:val="both"/>
        <w:ind w:firstLine="259"/>
        <w:spacing w:after="0" w:line="288" w:lineRule="auto"/>
        <w:rPr>
          <w:sz w:val="20"/>
          <w:szCs w:val="20"/>
          <w:color w:val="auto"/>
        </w:rPr>
      </w:pPr>
      <w:r>
        <w:rPr>
          <w:rFonts w:ascii="Arial" w:cs="Arial" w:eastAsia="Arial" w:hAnsi="Arial"/>
          <w:sz w:val="14"/>
          <w:szCs w:val="14"/>
          <w:color w:val="auto"/>
        </w:rPr>
        <w:t>The Registrants are exposed to various market risks. These risks arise from transactions entered into in the normal course of business. The Registrants utilize derivative instruments such as physical forward contracts, swaps and options to mitigate the impact of changes in commodity prices, weather and interest rates on operating results and cash flows.</w:t>
      </w:r>
    </w:p>
    <w:p>
      <w:pPr>
        <w:spacing w:after="0" w:line="131"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(a) Non-Trading Activities</w:t>
      </w:r>
    </w:p>
    <w:p>
      <w:pPr>
        <w:spacing w:after="0" w:line="184" w:lineRule="exact"/>
        <w:rPr>
          <w:sz w:val="20"/>
          <w:szCs w:val="20"/>
          <w:color w:val="auto"/>
        </w:rPr>
      </w:pPr>
    </w:p>
    <w:p>
      <w:pPr>
        <w:jc w:val="both"/>
        <w:ind w:firstLine="259"/>
        <w:spacing w:after="0" w:line="264" w:lineRule="auto"/>
        <w:rPr>
          <w:sz w:val="20"/>
          <w:szCs w:val="20"/>
          <w:color w:val="auto"/>
        </w:rPr>
      </w:pPr>
      <w:r>
        <w:rPr>
          <w:rFonts w:ascii="Arial" w:cs="Arial" w:eastAsia="Arial" w:hAnsi="Arial"/>
          <w:sz w:val="14"/>
          <w:szCs w:val="14"/>
          <w:i w:val="1"/>
          <w:iCs w:val="1"/>
          <w:color w:val="auto"/>
        </w:rPr>
        <w:t xml:space="preserve">Commodity Derivative Instruments (CenterPoint Energy and CERC). </w:t>
      </w:r>
      <w:r>
        <w:rPr>
          <w:rFonts w:ascii="Arial" w:cs="Arial" w:eastAsia="Arial" w:hAnsi="Arial"/>
          <w:sz w:val="14"/>
          <w:szCs w:val="14"/>
          <w:color w:val="auto"/>
        </w:rPr>
        <w:t>CenterPoint Energy, through its Indiana Utilities, and CERC, through CES, enter into certain derivative instruments to</w:t>
      </w:r>
      <w:r>
        <w:rPr>
          <w:rFonts w:ascii="Arial" w:cs="Arial" w:eastAsia="Arial" w:hAnsi="Arial"/>
          <w:sz w:val="14"/>
          <w:szCs w:val="14"/>
          <w:i w:val="1"/>
          <w:iCs w:val="1"/>
          <w:color w:val="auto"/>
        </w:rPr>
        <w:t xml:space="preserve"> </w:t>
      </w:r>
      <w:r>
        <w:rPr>
          <w:rFonts w:ascii="Arial" w:cs="Arial" w:eastAsia="Arial" w:hAnsi="Arial"/>
          <w:sz w:val="14"/>
          <w:szCs w:val="14"/>
          <w:color w:val="auto"/>
        </w:rPr>
        <w:t>mitigate the effects of commodity price movements. Certain financial instruments used to hedge portions of the natural gas inventory of the Energy Services reportable segment are designated as fair value hedges for accounting purposes. Outstanding derivative instruments designated as economic hedges at the Indiana Utilities hedge long-term variable rate natural gas purchases. The Indiana Utilities have authority to refund and recover mark-to-market gains and losses associated with hedging natural gas purchases, and thus the gains and losses on derivatives are deferred in a regulatory liability or asset. All other financial instruments do not qualify or are not designated as cash flow or fair value hedges.</w:t>
      </w:r>
    </w:p>
    <w:p>
      <w:pPr>
        <w:spacing w:after="0" w:line="149" w:lineRule="exact"/>
        <w:rPr>
          <w:sz w:val="20"/>
          <w:szCs w:val="20"/>
          <w:color w:val="auto"/>
        </w:rPr>
      </w:pPr>
    </w:p>
    <w:p>
      <w:pPr>
        <w:jc w:val="both"/>
        <w:ind w:firstLine="259"/>
        <w:spacing w:after="0" w:line="272" w:lineRule="auto"/>
        <w:rPr>
          <w:sz w:val="20"/>
          <w:szCs w:val="20"/>
          <w:color w:val="auto"/>
        </w:rPr>
      </w:pPr>
      <w:r>
        <w:rPr>
          <w:rFonts w:ascii="Arial" w:cs="Arial" w:eastAsia="Arial" w:hAnsi="Arial"/>
          <w:sz w:val="14"/>
          <w:szCs w:val="14"/>
          <w:i w:val="1"/>
          <w:iCs w:val="1"/>
          <w:color w:val="auto"/>
        </w:rPr>
        <w:t xml:space="preserve">Interest Rate Risk Derivative Instruments. </w:t>
      </w:r>
      <w:r>
        <w:rPr>
          <w:rFonts w:ascii="Arial" w:cs="Arial" w:eastAsia="Arial" w:hAnsi="Arial"/>
          <w:sz w:val="14"/>
          <w:szCs w:val="14"/>
          <w:color w:val="auto"/>
        </w:rPr>
        <w:t>From time to time, the Registrants may enter into interest rate derivatives that are designated as economic or cash flow hedges. The objective of these</w:t>
      </w:r>
      <w:r>
        <w:rPr>
          <w:rFonts w:ascii="Arial" w:cs="Arial" w:eastAsia="Arial" w:hAnsi="Arial"/>
          <w:sz w:val="14"/>
          <w:szCs w:val="14"/>
          <w:i w:val="1"/>
          <w:iCs w:val="1"/>
          <w:color w:val="auto"/>
        </w:rPr>
        <w:t xml:space="preserve"> </w:t>
      </w:r>
      <w:r>
        <w:rPr>
          <w:rFonts w:ascii="Arial" w:cs="Arial" w:eastAsia="Arial" w:hAnsi="Arial"/>
          <w:sz w:val="14"/>
          <w:szCs w:val="14"/>
          <w:color w:val="auto"/>
        </w:rPr>
        <w:t>hedges is to offset risk associated with interest rates borne by the Registrants in connection with an anticipated future fixed rate debt offering or other exposure to variable rate debt. The Indiana Utilities have authority to refund and recover mark-to-market gains and losses associated with hedging financing activity, and thus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32</w:t>
      </w:r>
    </w:p>
    <w:p>
      <w:pPr>
        <w:sectPr>
          <w:pgSz w:w="11900" w:h="16838" w:orient="portrait"/>
          <w:cols w:equalWidth="0" w:num="1">
            <w:col w:w="11460"/>
          </w:cols>
          <w:pgMar w:left="220" w:top="129" w:right="219" w:bottom="1440" w:gutter="0" w:footer="0" w:header="0"/>
        </w:sectPr>
      </w:pPr>
    </w:p>
    <w:bookmarkStart w:id="42" w:name="page43"/>
    <w:bookmarkEnd w:id="42"/>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205" w:lineRule="exact"/>
        <w:rPr>
          <w:sz w:val="20"/>
          <w:szCs w:val="20"/>
          <w:color w:val="auto"/>
        </w:rPr>
      </w:pPr>
    </w:p>
    <w:p>
      <w:pPr>
        <w:spacing w:after="0"/>
        <w:rPr>
          <w:sz w:val="20"/>
          <w:szCs w:val="20"/>
          <w:color w:val="auto"/>
        </w:rPr>
      </w:pPr>
      <w:r>
        <w:rPr>
          <w:rFonts w:ascii="Arial" w:cs="Arial" w:eastAsia="Arial" w:hAnsi="Arial"/>
          <w:sz w:val="14"/>
          <w:szCs w:val="14"/>
          <w:color w:val="auto"/>
        </w:rPr>
        <w:t>the gains and losses on derivatives are deferred in a regulatory liability or asset. For the impacts of cash flow hedges to Accumulated other comprehensive income, see Note 20.</w:t>
      </w:r>
    </w:p>
    <w:p>
      <w:pPr>
        <w:spacing w:after="0" w:line="184"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table below summarizes the Registrants’ outstanding interest rate hedging activity:</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1520" w:type="dxa"/>
            <w:vAlign w:val="bottom"/>
          </w:tcPr>
          <w:p>
            <w:pPr>
              <w:spacing w:after="0"/>
              <w:rPr>
                <w:sz w:val="13"/>
                <w:szCs w:val="13"/>
                <w:color w:val="auto"/>
              </w:rPr>
            </w:pPr>
          </w:p>
        </w:tc>
        <w:tc>
          <w:tcPr>
            <w:tcW w:w="3640" w:type="dxa"/>
            <w:vAlign w:val="bottom"/>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gridSpan w:val="2"/>
          </w:tcPr>
          <w:p>
            <w:pPr>
              <w:jc w:val="right"/>
              <w:ind w:right="518"/>
              <w:spacing w:after="0"/>
              <w:rPr>
                <w:sz w:val="20"/>
                <w:szCs w:val="20"/>
                <w:color w:val="auto"/>
              </w:rPr>
            </w:pPr>
            <w:r>
              <w:rPr>
                <w:rFonts w:ascii="Arial" w:cs="Arial" w:eastAsia="Arial" w:hAnsi="Arial"/>
                <w:sz w:val="11"/>
                <w:szCs w:val="11"/>
                <w:b w:val="1"/>
                <w:bCs w:val="1"/>
                <w:color w:val="auto"/>
                <w:w w:val="93"/>
              </w:rPr>
              <w:t>September 30, 2019</w:t>
            </w:r>
          </w:p>
        </w:tc>
        <w:tc>
          <w:tcPr>
            <w:tcW w:w="50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1"/>
                <w:szCs w:val="11"/>
                <w:b w:val="1"/>
                <w:bCs w:val="1"/>
                <w:color w:val="auto"/>
                <w:w w:val="92"/>
              </w:rPr>
              <w:t>December 31, 2018</w:t>
            </w:r>
          </w:p>
        </w:tc>
        <w:tc>
          <w:tcPr>
            <w:tcW w:w="1000" w:type="dxa"/>
            <w:vAlign w:val="bottom"/>
            <w:tcBorders>
              <w:bottom w:val="single" w:sz="8" w:color="auto"/>
            </w:tcBorders>
          </w:tcPr>
          <w:p>
            <w:pPr>
              <w:spacing w:after="0"/>
              <w:rPr>
                <w:sz w:val="13"/>
                <w:szCs w:val="13"/>
                <w:color w:val="auto"/>
              </w:rPr>
            </w:pPr>
          </w:p>
        </w:tc>
      </w:tr>
      <w:tr>
        <w:trPr>
          <w:trHeight w:val="152"/>
        </w:trPr>
        <w:tc>
          <w:tcPr>
            <w:tcW w:w="1520" w:type="dxa"/>
            <w:vAlign w:val="bottom"/>
            <w:tcBorders>
              <w:bottom w:val="single" w:sz="8" w:color="auto"/>
            </w:tcBorders>
          </w:tcPr>
          <w:p>
            <w:pPr>
              <w:spacing w:after="0"/>
              <w:rPr>
                <w:sz w:val="13"/>
                <w:szCs w:val="13"/>
                <w:color w:val="auto"/>
              </w:rPr>
            </w:pPr>
          </w:p>
        </w:tc>
        <w:tc>
          <w:tcPr>
            <w:tcW w:w="4720" w:type="dxa"/>
            <w:vAlign w:val="bottom"/>
            <w:tcBorders>
              <w:bottom w:val="single" w:sz="8" w:color="auto"/>
            </w:tcBorders>
            <w:gridSpan w:val="2"/>
          </w:tcPr>
          <w:p>
            <w:pPr>
              <w:jc w:val="right"/>
              <w:ind w:right="3043"/>
              <w:spacing w:after="0"/>
              <w:rPr>
                <w:sz w:val="20"/>
                <w:szCs w:val="20"/>
                <w:color w:val="auto"/>
              </w:rPr>
            </w:pPr>
            <w:r>
              <w:rPr>
                <w:rFonts w:ascii="Arial" w:cs="Arial" w:eastAsia="Arial" w:hAnsi="Arial"/>
                <w:sz w:val="11"/>
                <w:szCs w:val="11"/>
                <w:b w:val="1"/>
                <w:bCs w:val="1"/>
                <w:color w:val="auto"/>
              </w:rPr>
              <w:t>Hedging Classification</w:t>
            </w:r>
          </w:p>
        </w:tc>
        <w:tc>
          <w:tcPr>
            <w:tcW w:w="4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gridSpan w:val="2"/>
          </w:tcPr>
          <w:p>
            <w:pPr>
              <w:ind w:left="80"/>
              <w:spacing w:after="0"/>
              <w:rPr>
                <w:sz w:val="20"/>
                <w:szCs w:val="20"/>
                <w:color w:val="auto"/>
              </w:rPr>
            </w:pPr>
            <w:r>
              <w:rPr>
                <w:rFonts w:ascii="Arial" w:cs="Arial" w:eastAsia="Arial" w:hAnsi="Arial"/>
                <w:sz w:val="11"/>
                <w:szCs w:val="11"/>
                <w:b w:val="1"/>
                <w:bCs w:val="1"/>
                <w:color w:val="auto"/>
              </w:rPr>
              <w:t>Notional Principal</w:t>
            </w:r>
          </w:p>
        </w:tc>
        <w:tc>
          <w:tcPr>
            <w:tcW w:w="4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r>
      <w:tr>
        <w:trPr>
          <w:trHeight w:val="118"/>
        </w:trPr>
        <w:tc>
          <w:tcPr>
            <w:tcW w:w="1520" w:type="dxa"/>
            <w:vAlign w:val="bottom"/>
          </w:tcPr>
          <w:p>
            <w:pPr>
              <w:spacing w:after="0"/>
              <w:rPr>
                <w:sz w:val="10"/>
                <w:szCs w:val="10"/>
                <w:color w:val="auto"/>
              </w:rPr>
            </w:pPr>
          </w:p>
        </w:tc>
        <w:tc>
          <w:tcPr>
            <w:tcW w:w="3640" w:type="dxa"/>
            <w:vAlign w:val="bottom"/>
          </w:tcPr>
          <w:p>
            <w:pPr>
              <w:spacing w:after="0"/>
              <w:rPr>
                <w:sz w:val="10"/>
                <w:szCs w:val="10"/>
                <w:color w:val="auto"/>
              </w:rPr>
            </w:pPr>
          </w:p>
        </w:tc>
        <w:tc>
          <w:tcPr>
            <w:tcW w:w="1080" w:type="dxa"/>
            <w:vAlign w:val="bottom"/>
          </w:tcPr>
          <w:p>
            <w:pPr>
              <w:jc w:val="center"/>
              <w:ind w:left="383"/>
              <w:spacing w:after="0" w:line="119" w:lineRule="exact"/>
              <w:rPr>
                <w:sz w:val="20"/>
                <w:szCs w:val="20"/>
                <w:color w:val="auto"/>
              </w:rPr>
            </w:pPr>
            <w:r>
              <w:rPr>
                <w:rFonts w:ascii="Arial" w:cs="Arial" w:eastAsia="Arial" w:hAnsi="Arial"/>
                <w:sz w:val="11"/>
                <w:szCs w:val="11"/>
                <w:b w:val="1"/>
                <w:bCs w:val="1"/>
                <w:color w:val="auto"/>
                <w:w w:val="96"/>
              </w:rPr>
              <w:t>CenterPoint</w:t>
            </w:r>
          </w:p>
        </w:tc>
        <w:tc>
          <w:tcPr>
            <w:tcW w:w="440" w:type="dxa"/>
            <w:vAlign w:val="bottom"/>
          </w:tcPr>
          <w:p>
            <w:pPr>
              <w:spacing w:after="0"/>
              <w:rPr>
                <w:sz w:val="10"/>
                <w:szCs w:val="10"/>
                <w:color w:val="auto"/>
              </w:rPr>
            </w:pPr>
          </w:p>
        </w:tc>
        <w:tc>
          <w:tcPr>
            <w:tcW w:w="1120" w:type="dxa"/>
            <w:vAlign w:val="bottom"/>
          </w:tcPr>
          <w:p>
            <w:pPr>
              <w:jc w:val="right"/>
              <w:spacing w:after="0" w:line="119" w:lineRule="exact"/>
              <w:rPr>
                <w:sz w:val="20"/>
                <w:szCs w:val="20"/>
                <w:color w:val="auto"/>
              </w:rPr>
            </w:pPr>
            <w:r>
              <w:rPr>
                <w:rFonts w:ascii="Arial" w:cs="Arial" w:eastAsia="Arial" w:hAnsi="Arial"/>
                <w:sz w:val="11"/>
                <w:szCs w:val="11"/>
                <w:b w:val="1"/>
                <w:bCs w:val="1"/>
                <w:color w:val="auto"/>
              </w:rPr>
              <w:t>Houston</w:t>
            </w:r>
          </w:p>
        </w:tc>
        <w:tc>
          <w:tcPr>
            <w:tcW w:w="500" w:type="dxa"/>
            <w:vAlign w:val="bottom"/>
          </w:tcPr>
          <w:p>
            <w:pPr>
              <w:spacing w:after="0"/>
              <w:rPr>
                <w:sz w:val="10"/>
                <w:szCs w:val="10"/>
                <w:color w:val="auto"/>
              </w:rPr>
            </w:pPr>
          </w:p>
        </w:tc>
        <w:tc>
          <w:tcPr>
            <w:tcW w:w="1160" w:type="dxa"/>
            <w:vAlign w:val="bottom"/>
          </w:tcPr>
          <w:p>
            <w:pPr>
              <w:jc w:val="center"/>
              <w:ind w:left="458"/>
              <w:spacing w:after="0" w:line="119" w:lineRule="exact"/>
              <w:rPr>
                <w:sz w:val="20"/>
                <w:szCs w:val="20"/>
                <w:color w:val="auto"/>
              </w:rPr>
            </w:pPr>
            <w:r>
              <w:rPr>
                <w:rFonts w:ascii="Arial" w:cs="Arial" w:eastAsia="Arial" w:hAnsi="Arial"/>
                <w:sz w:val="11"/>
                <w:szCs w:val="11"/>
                <w:b w:val="1"/>
                <w:bCs w:val="1"/>
                <w:color w:val="auto"/>
                <w:w w:val="96"/>
              </w:rPr>
              <w:t>CenterPoint</w:t>
            </w:r>
          </w:p>
        </w:tc>
        <w:tc>
          <w:tcPr>
            <w:tcW w:w="4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0" w:type="dxa"/>
            <w:vAlign w:val="bottom"/>
          </w:tcPr>
          <w:p>
            <w:pPr>
              <w:jc w:val="right"/>
              <w:ind w:right="455"/>
              <w:spacing w:after="0" w:line="119" w:lineRule="exact"/>
              <w:rPr>
                <w:sz w:val="20"/>
                <w:szCs w:val="20"/>
                <w:color w:val="auto"/>
              </w:rPr>
            </w:pPr>
            <w:r>
              <w:rPr>
                <w:rFonts w:ascii="Arial" w:cs="Arial" w:eastAsia="Arial" w:hAnsi="Arial"/>
                <w:sz w:val="11"/>
                <w:szCs w:val="11"/>
                <w:b w:val="1"/>
                <w:bCs w:val="1"/>
                <w:color w:val="auto"/>
              </w:rPr>
              <w:t>Houston</w:t>
            </w:r>
          </w:p>
        </w:tc>
      </w:tr>
      <w:tr>
        <w:trPr>
          <w:trHeight w:val="153"/>
        </w:trPr>
        <w:tc>
          <w:tcPr>
            <w:tcW w:w="1520" w:type="dxa"/>
            <w:vAlign w:val="bottom"/>
          </w:tcPr>
          <w:p>
            <w:pPr>
              <w:spacing w:after="0"/>
              <w:rPr>
                <w:sz w:val="13"/>
                <w:szCs w:val="13"/>
                <w:color w:val="auto"/>
              </w:rPr>
            </w:pPr>
          </w:p>
        </w:tc>
        <w:tc>
          <w:tcPr>
            <w:tcW w:w="3640" w:type="dxa"/>
            <w:vAlign w:val="bottom"/>
          </w:tcPr>
          <w:p>
            <w:pPr>
              <w:spacing w:after="0"/>
              <w:rPr>
                <w:sz w:val="13"/>
                <w:szCs w:val="13"/>
                <w:color w:val="auto"/>
              </w:rPr>
            </w:pPr>
          </w:p>
        </w:tc>
        <w:tc>
          <w:tcPr>
            <w:tcW w:w="1080" w:type="dxa"/>
            <w:vAlign w:val="bottom"/>
            <w:tcBorders>
              <w:bottom w:val="single" w:sz="8" w:color="auto"/>
            </w:tcBorders>
          </w:tcPr>
          <w:p>
            <w:pPr>
              <w:jc w:val="center"/>
              <w:ind w:left="403"/>
              <w:spacing w:after="0"/>
              <w:rPr>
                <w:sz w:val="20"/>
                <w:szCs w:val="20"/>
                <w:color w:val="auto"/>
              </w:rPr>
            </w:pPr>
            <w:r>
              <w:rPr>
                <w:rFonts w:ascii="Arial" w:cs="Arial" w:eastAsia="Arial" w:hAnsi="Arial"/>
                <w:sz w:val="11"/>
                <w:szCs w:val="11"/>
                <w:b w:val="1"/>
                <w:bCs w:val="1"/>
                <w:color w:val="auto"/>
                <w:w w:val="99"/>
              </w:rPr>
              <w:t xml:space="preserve">Energy </w:t>
            </w:r>
            <w:r>
              <w:rPr>
                <w:rFonts w:ascii="Arial" w:cs="Arial" w:eastAsia="Arial" w:hAnsi="Arial"/>
                <w:sz w:val="8"/>
                <w:szCs w:val="8"/>
                <w:b w:val="1"/>
                <w:bCs w:val="1"/>
                <w:color w:val="auto"/>
                <w:w w:val="99"/>
              </w:rPr>
              <w:t>(1)</w:t>
            </w:r>
          </w:p>
        </w:tc>
        <w:tc>
          <w:tcPr>
            <w:tcW w:w="4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Electric</w:t>
            </w:r>
          </w:p>
        </w:tc>
        <w:tc>
          <w:tcPr>
            <w:tcW w:w="50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center"/>
              <w:ind w:left="498"/>
              <w:spacing w:after="0"/>
              <w:rPr>
                <w:sz w:val="20"/>
                <w:szCs w:val="20"/>
                <w:color w:val="auto"/>
              </w:rPr>
            </w:pPr>
            <w:r>
              <w:rPr>
                <w:rFonts w:ascii="Arial" w:cs="Arial" w:eastAsia="Arial" w:hAnsi="Arial"/>
                <w:sz w:val="11"/>
                <w:szCs w:val="11"/>
                <w:b w:val="1"/>
                <w:bCs w:val="1"/>
                <w:color w:val="auto"/>
                <w:w w:val="96"/>
              </w:rPr>
              <w:t>Energy</w:t>
            </w:r>
          </w:p>
        </w:tc>
        <w:tc>
          <w:tcPr>
            <w:tcW w:w="4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55"/>
              <w:spacing w:after="0"/>
              <w:rPr>
                <w:sz w:val="20"/>
                <w:szCs w:val="20"/>
                <w:color w:val="auto"/>
              </w:rPr>
            </w:pPr>
            <w:r>
              <w:rPr>
                <w:rFonts w:ascii="Arial" w:cs="Arial" w:eastAsia="Arial" w:hAnsi="Arial"/>
                <w:sz w:val="11"/>
                <w:szCs w:val="11"/>
                <w:b w:val="1"/>
                <w:bCs w:val="1"/>
                <w:color w:val="auto"/>
              </w:rPr>
              <w:t>Electric</w:t>
            </w:r>
          </w:p>
        </w:tc>
      </w:tr>
      <w:tr>
        <w:trPr>
          <w:trHeight w:val="196"/>
        </w:trPr>
        <w:tc>
          <w:tcPr>
            <w:tcW w:w="152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60" w:type="dxa"/>
            <w:vAlign w:val="bottom"/>
            <w:gridSpan w:val="2"/>
          </w:tcPr>
          <w:p>
            <w:pPr>
              <w:ind w:left="240"/>
              <w:spacing w:after="0"/>
              <w:rPr>
                <w:sz w:val="20"/>
                <w:szCs w:val="20"/>
                <w:color w:val="auto"/>
              </w:rPr>
            </w:pPr>
            <w:r>
              <w:rPr>
                <w:rFonts w:ascii="Arial" w:cs="Arial" w:eastAsia="Arial" w:hAnsi="Arial"/>
                <w:sz w:val="11"/>
                <w:szCs w:val="11"/>
                <w:b w:val="1"/>
                <w:bCs w:val="1"/>
                <w:color w:val="auto"/>
              </w:rPr>
              <w:t>(in millions)</w:t>
            </w:r>
          </w:p>
        </w:tc>
        <w:tc>
          <w:tcPr>
            <w:tcW w:w="4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0"/>
        </w:trPr>
        <w:tc>
          <w:tcPr>
            <w:tcW w:w="1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Economic hedge</w:t>
            </w:r>
          </w:p>
        </w:tc>
        <w:tc>
          <w:tcPr>
            <w:tcW w:w="4720" w:type="dxa"/>
            <w:vAlign w:val="bottom"/>
            <w:tcBorders>
              <w:bottom w:val="single" w:sz="8" w:color="CCEEFF"/>
            </w:tcBorders>
            <w:gridSpan w:val="2"/>
            <w:shd w:val="clear" w:color="auto" w:fill="CCEEFF"/>
          </w:tcPr>
          <w:p>
            <w:pPr>
              <w:jc w:val="right"/>
              <w:ind w:right="923"/>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4"/>
                <w:szCs w:val="14"/>
                <w:color w:val="auto"/>
              </w:rPr>
              <w:t>84</w:t>
            </w:r>
          </w:p>
        </w:tc>
        <w:tc>
          <w:tcPr>
            <w:tcW w:w="1120" w:type="dxa"/>
            <w:vAlign w:val="bottom"/>
            <w:tcBorders>
              <w:bottom w:val="single" w:sz="8" w:color="CCEEFF"/>
            </w:tcBorders>
            <w:shd w:val="clear" w:color="auto" w:fill="CCEEFF"/>
          </w:tcPr>
          <w:p>
            <w:pPr>
              <w:jc w:val="right"/>
              <w:ind w:right="858"/>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CCEEFF"/>
            </w:tcBorders>
            <w:shd w:val="clear" w:color="auto" w:fill="CCEEFF"/>
          </w:tcPr>
          <w:p>
            <w:pPr>
              <w:jc w:val="right"/>
              <w:ind w:right="898"/>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CCEEFF"/>
            </w:tcBorders>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4"/>
                <w:szCs w:val="14"/>
                <w:color w:val="auto"/>
              </w:rPr>
              <w:t>—</w:t>
            </w:r>
          </w:p>
        </w:tc>
      </w:tr>
      <w:tr>
        <w:trPr>
          <w:trHeight w:val="193"/>
        </w:trPr>
        <w:tc>
          <w:tcPr>
            <w:tcW w:w="1520" w:type="dxa"/>
            <w:vAlign w:val="bottom"/>
          </w:tcPr>
          <w:p>
            <w:pPr>
              <w:ind w:left="20"/>
              <w:spacing w:after="0"/>
              <w:rPr>
                <w:sz w:val="20"/>
                <w:szCs w:val="20"/>
                <w:color w:val="auto"/>
              </w:rPr>
            </w:pPr>
            <w:r>
              <w:rPr>
                <w:rFonts w:ascii="Arial" w:cs="Arial" w:eastAsia="Arial" w:hAnsi="Arial"/>
                <w:sz w:val="14"/>
                <w:szCs w:val="14"/>
                <w:color w:val="auto"/>
              </w:rPr>
              <w:t>Cash flow hedge</w:t>
            </w:r>
          </w:p>
        </w:tc>
        <w:tc>
          <w:tcPr>
            <w:tcW w:w="36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40" w:type="dxa"/>
            <w:vAlign w:val="bottom"/>
          </w:tcPr>
          <w:p>
            <w:pPr>
              <w:jc w:val="right"/>
              <w:ind w:right="73"/>
              <w:spacing w:after="0"/>
              <w:rPr>
                <w:sz w:val="20"/>
                <w:szCs w:val="20"/>
                <w:color w:val="auto"/>
              </w:rPr>
            </w:pPr>
            <w:r>
              <w:rPr>
                <w:rFonts w:ascii="Arial" w:cs="Arial" w:eastAsia="Arial" w:hAnsi="Arial"/>
                <w:sz w:val="14"/>
                <w:szCs w:val="14"/>
                <w:color w:val="auto"/>
              </w:rPr>
              <w:t>—</w:t>
            </w:r>
          </w:p>
        </w:tc>
        <w:tc>
          <w:tcPr>
            <w:tcW w:w="1120" w:type="dxa"/>
            <w:vAlign w:val="bottom"/>
          </w:tcPr>
          <w:p>
            <w:pPr>
              <w:spacing w:after="0"/>
              <w:rPr>
                <w:sz w:val="16"/>
                <w:szCs w:val="16"/>
                <w:color w:val="auto"/>
              </w:rPr>
            </w:pPr>
          </w:p>
        </w:tc>
        <w:tc>
          <w:tcPr>
            <w:tcW w:w="500" w:type="dxa"/>
            <w:vAlign w:val="bottom"/>
          </w:tcPr>
          <w:p>
            <w:pPr>
              <w:ind w:left="220"/>
              <w:spacing w:after="0"/>
              <w:rPr>
                <w:sz w:val="20"/>
                <w:szCs w:val="20"/>
                <w:color w:val="auto"/>
              </w:rPr>
            </w:pPr>
            <w:r>
              <w:rPr>
                <w:rFonts w:ascii="Arial" w:cs="Arial" w:eastAsia="Arial" w:hAnsi="Arial"/>
                <w:sz w:val="14"/>
                <w:szCs w:val="14"/>
                <w:color w:val="auto"/>
              </w:rPr>
              <w:t>—</w:t>
            </w:r>
          </w:p>
        </w:tc>
        <w:tc>
          <w:tcPr>
            <w:tcW w:w="1160" w:type="dxa"/>
            <w:vAlign w:val="bottom"/>
          </w:tcPr>
          <w:p>
            <w:pPr>
              <w:spacing w:after="0"/>
              <w:rPr>
                <w:sz w:val="16"/>
                <w:szCs w:val="16"/>
                <w:color w:val="auto"/>
              </w:rPr>
            </w:pPr>
          </w:p>
        </w:tc>
        <w:tc>
          <w:tcPr>
            <w:tcW w:w="440" w:type="dxa"/>
            <w:vAlign w:val="bottom"/>
          </w:tcPr>
          <w:p>
            <w:pPr>
              <w:jc w:val="right"/>
              <w:ind w:right="53"/>
              <w:spacing w:after="0"/>
              <w:rPr>
                <w:sz w:val="20"/>
                <w:szCs w:val="20"/>
                <w:color w:val="auto"/>
              </w:rPr>
            </w:pPr>
            <w:r>
              <w:rPr>
                <w:rFonts w:ascii="Arial" w:cs="Arial" w:eastAsia="Arial" w:hAnsi="Arial"/>
                <w:sz w:val="14"/>
                <w:szCs w:val="14"/>
                <w:color w:val="auto"/>
              </w:rPr>
              <w:t>450</w:t>
            </w:r>
          </w:p>
        </w:tc>
        <w:tc>
          <w:tcPr>
            <w:tcW w:w="560" w:type="dxa"/>
            <w:vAlign w:val="bottom"/>
          </w:tcPr>
          <w:p>
            <w:pPr>
              <w:spacing w:after="0"/>
              <w:rPr>
                <w:sz w:val="16"/>
                <w:szCs w:val="16"/>
                <w:color w:val="auto"/>
              </w:rPr>
            </w:pPr>
          </w:p>
        </w:tc>
        <w:tc>
          <w:tcPr>
            <w:tcW w:w="1000" w:type="dxa"/>
            <w:vAlign w:val="bottom"/>
          </w:tcPr>
          <w:p>
            <w:pPr>
              <w:jc w:val="right"/>
              <w:ind w:right="35"/>
              <w:spacing w:after="0"/>
              <w:rPr>
                <w:sz w:val="20"/>
                <w:szCs w:val="20"/>
                <w:color w:val="auto"/>
              </w:rPr>
            </w:pPr>
            <w:r>
              <w:rPr>
                <w:rFonts w:ascii="Arial" w:cs="Arial" w:eastAsia="Arial" w:hAnsi="Arial"/>
                <w:sz w:val="14"/>
                <w:szCs w:val="14"/>
                <w:color w:val="auto"/>
              </w:rPr>
              <w:t>450</w:t>
            </w:r>
          </w:p>
        </w:tc>
      </w:tr>
    </w:tbl>
    <w:p>
      <w:pPr>
        <w:spacing w:after="0" w:line="184" w:lineRule="exact"/>
        <w:rPr>
          <w:sz w:val="20"/>
          <w:szCs w:val="20"/>
          <w:color w:val="auto"/>
        </w:rPr>
      </w:pPr>
    </w:p>
    <w:p>
      <w:pPr>
        <w:ind w:left="260"/>
        <w:spacing w:after="0"/>
        <w:rPr>
          <w:sz w:val="20"/>
          <w:szCs w:val="20"/>
          <w:color w:val="auto"/>
        </w:rPr>
      </w:pPr>
      <w:r>
        <w:rPr>
          <w:rFonts w:ascii="Arial" w:cs="Arial" w:eastAsia="Arial" w:hAnsi="Arial"/>
          <w:sz w:val="14"/>
          <w:szCs w:val="14"/>
          <w:color w:val="auto"/>
        </w:rPr>
        <w:t>(1)  Relates to interest rate derivative instruments at SIGECO.</w:t>
      </w:r>
    </w:p>
    <w:p>
      <w:pPr>
        <w:spacing w:after="0" w:line="184" w:lineRule="exact"/>
        <w:rPr>
          <w:sz w:val="20"/>
          <w:szCs w:val="20"/>
          <w:color w:val="auto"/>
        </w:rPr>
      </w:pPr>
    </w:p>
    <w:p>
      <w:pPr>
        <w:jc w:val="both"/>
        <w:ind w:firstLine="259"/>
        <w:spacing w:after="0" w:line="294" w:lineRule="auto"/>
        <w:rPr>
          <w:sz w:val="20"/>
          <w:szCs w:val="20"/>
          <w:color w:val="auto"/>
        </w:rPr>
      </w:pPr>
      <w:r>
        <w:rPr>
          <w:rFonts w:ascii="Arial" w:cs="Arial" w:eastAsia="Arial" w:hAnsi="Arial"/>
          <w:sz w:val="13"/>
          <w:szCs w:val="13"/>
          <w:i w:val="1"/>
          <w:iCs w:val="1"/>
          <w:color w:val="auto"/>
        </w:rPr>
        <w:t xml:space="preserve">Weather Hedges (CenterPoint Energy and CERC). </w:t>
      </w:r>
      <w:r>
        <w:rPr>
          <w:rFonts w:ascii="Arial" w:cs="Arial" w:eastAsia="Arial" w:hAnsi="Arial"/>
          <w:sz w:val="13"/>
          <w:szCs w:val="13"/>
          <w:color w:val="auto"/>
        </w:rPr>
        <w:t>CenterPoint Energy and CERC have weather normalization or other rate mechanisms that largely mitigate the impact of weather on NGD in</w:t>
      </w:r>
      <w:r>
        <w:rPr>
          <w:rFonts w:ascii="Arial" w:cs="Arial" w:eastAsia="Arial" w:hAnsi="Arial"/>
          <w:sz w:val="13"/>
          <w:szCs w:val="13"/>
          <w:i w:val="1"/>
          <w:iCs w:val="1"/>
          <w:color w:val="auto"/>
        </w:rPr>
        <w:t xml:space="preserve"> </w:t>
      </w:r>
      <w:r>
        <w:rPr>
          <w:rFonts w:ascii="Arial" w:cs="Arial" w:eastAsia="Arial" w:hAnsi="Arial"/>
          <w:sz w:val="13"/>
          <w:szCs w:val="13"/>
          <w:color w:val="auto"/>
        </w:rPr>
        <w:t>Arkansas, Indiana, Louisiana, Mississippi, Minnesota, Ohio and Oklahoma, as applicable. CenterPoint Energy’s and CERC’s NGD in Texas and CenterPoint Energy’s electric operations in Texas and Indiana do not have such mechanisms, although fixed customer charges are historically higher in Texas for NGD compared to its other jurisdictions. As a result, fluctuations from normal weather may have a positive or negative effect on CenterPoint Energy’s and CERC’s NGD’s results in Texas and on CenterPoint Energy’s electric operations’ results in its Texas and Indiana service territories.</w:t>
      </w:r>
    </w:p>
    <w:p>
      <w:pPr>
        <w:spacing w:after="0" w:line="130" w:lineRule="exact"/>
        <w:rPr>
          <w:sz w:val="20"/>
          <w:szCs w:val="20"/>
          <w:color w:val="auto"/>
        </w:rPr>
      </w:pPr>
    </w:p>
    <w:p>
      <w:pPr>
        <w:jc w:val="both"/>
        <w:ind w:firstLine="259"/>
        <w:spacing w:after="0" w:line="272" w:lineRule="auto"/>
        <w:rPr>
          <w:sz w:val="20"/>
          <w:szCs w:val="20"/>
          <w:color w:val="auto"/>
        </w:rPr>
      </w:pPr>
      <w:r>
        <w:rPr>
          <w:rFonts w:ascii="Arial" w:cs="Arial" w:eastAsia="Arial" w:hAnsi="Arial"/>
          <w:sz w:val="14"/>
          <w:szCs w:val="14"/>
          <w:color w:val="auto"/>
        </w:rPr>
        <w:t>CenterPoint Energy and CERC, as applicable, enter into winter season weather hedges from time to time for certain NGD jurisdictions and electric operations’ service territory to mitigate the effect of fluctuations from normal weather on results of operations and cash flows. These weather hedges are based on heating degree days at 10-year normal weather. Houston Electric and Indiana Electric do not enter into weather hedges.</w:t>
      </w:r>
    </w:p>
    <w:p>
      <w:pPr>
        <w:spacing w:after="0" w:line="142"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tables below summarize CenterPoint Energy’s and CERC’s current weather hedge gain (loss) activity:</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32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080" w:type="dxa"/>
            <w:vAlign w:val="bottom"/>
            <w:tcBorders>
              <w:bottom w:val="single" w:sz="8" w:color="auto"/>
            </w:tcBorders>
            <w:gridSpan w:val="5"/>
          </w:tcPr>
          <w:p>
            <w:pPr>
              <w:jc w:val="right"/>
              <w:ind w:right="183"/>
              <w:spacing w:after="0"/>
              <w:rPr>
                <w:sz w:val="20"/>
                <w:szCs w:val="20"/>
                <w:color w:val="auto"/>
              </w:rPr>
            </w:pPr>
            <w:r>
              <w:rPr>
                <w:rFonts w:ascii="Arial" w:cs="Arial" w:eastAsia="Arial" w:hAnsi="Arial"/>
                <w:sz w:val="11"/>
                <w:szCs w:val="11"/>
                <w:b w:val="1"/>
                <w:bCs w:val="1"/>
                <w:color w:val="auto"/>
                <w:w w:val="97"/>
              </w:rPr>
              <w:t>Three Months Ended September 30,</w:t>
            </w:r>
          </w:p>
        </w:tc>
        <w:tc>
          <w:tcPr>
            <w:tcW w:w="1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r>
      <w:tr>
        <w:trPr>
          <w:trHeight w:val="206"/>
        </w:trPr>
        <w:tc>
          <w:tcPr>
            <w:tcW w:w="2320" w:type="dxa"/>
            <w:vAlign w:val="bottom"/>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gridSpan w:val="3"/>
          </w:tcPr>
          <w:p>
            <w:pPr>
              <w:jc w:val="right"/>
              <w:ind w:right="323"/>
              <w:spacing w:after="0"/>
              <w:rPr>
                <w:sz w:val="20"/>
                <w:szCs w:val="20"/>
                <w:color w:val="auto"/>
              </w:rPr>
            </w:pPr>
            <w:r>
              <w:rPr>
                <w:rFonts w:ascii="Arial" w:cs="Arial" w:eastAsia="Arial" w:hAnsi="Arial"/>
                <w:sz w:val="11"/>
                <w:szCs w:val="11"/>
                <w:b w:val="1"/>
                <w:bCs w:val="1"/>
                <w:color w:val="auto"/>
                <w:w w:val="89"/>
              </w:rPr>
              <w:t>2019</w:t>
            </w:r>
          </w:p>
        </w:tc>
        <w:tc>
          <w:tcPr>
            <w:tcW w:w="5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gridSpan w:val="3"/>
          </w:tcPr>
          <w:p>
            <w:pPr>
              <w:jc w:val="right"/>
              <w:ind w:right="303"/>
              <w:spacing w:after="0"/>
              <w:rPr>
                <w:sz w:val="20"/>
                <w:szCs w:val="20"/>
                <w:color w:val="auto"/>
              </w:rPr>
            </w:pPr>
            <w:r>
              <w:rPr>
                <w:rFonts w:ascii="Arial" w:cs="Arial" w:eastAsia="Arial" w:hAnsi="Arial"/>
                <w:sz w:val="11"/>
                <w:szCs w:val="11"/>
                <w:b w:val="1"/>
                <w:bCs w:val="1"/>
                <w:color w:val="auto"/>
              </w:rPr>
              <w:t>2018</w:t>
            </w:r>
          </w:p>
        </w:tc>
        <w:tc>
          <w:tcPr>
            <w:tcW w:w="56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r>
      <w:tr>
        <w:trPr>
          <w:trHeight w:val="206"/>
        </w:trPr>
        <w:tc>
          <w:tcPr>
            <w:tcW w:w="2320" w:type="dxa"/>
            <w:vAlign w:val="bottom"/>
            <w:tcBorders>
              <w:bottom w:val="single" w:sz="8" w:color="auto"/>
            </w:tcBorders>
          </w:tcPr>
          <w:p>
            <w:pPr>
              <w:ind w:left="740"/>
              <w:spacing w:after="0"/>
              <w:rPr>
                <w:sz w:val="20"/>
                <w:szCs w:val="20"/>
                <w:color w:val="auto"/>
              </w:rPr>
            </w:pPr>
            <w:r>
              <w:rPr>
                <w:rFonts w:ascii="Arial" w:cs="Arial" w:eastAsia="Arial" w:hAnsi="Arial"/>
                <w:sz w:val="11"/>
                <w:szCs w:val="11"/>
                <w:b w:val="1"/>
                <w:bCs w:val="1"/>
                <w:color w:val="auto"/>
              </w:rPr>
              <w:t>Texas Operations</w:t>
            </w:r>
          </w:p>
        </w:tc>
        <w:tc>
          <w:tcPr>
            <w:tcW w:w="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b w:val="1"/>
                <w:bCs w:val="1"/>
                <w:color w:val="auto"/>
              </w:rPr>
              <w:t>Winter Season</w:t>
            </w: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b w:val="1"/>
                <w:bCs w:val="1"/>
                <w:color w:val="auto"/>
                <w:w w:val="98"/>
              </w:rPr>
              <w:t>Bilateral Cap</w:t>
            </w:r>
          </w:p>
        </w:tc>
        <w:tc>
          <w:tcPr>
            <w:tcW w:w="1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5"/>
          </w:tcPr>
          <w:p>
            <w:pPr>
              <w:ind w:left="20"/>
              <w:spacing w:after="0"/>
              <w:rPr>
                <w:sz w:val="20"/>
                <w:szCs w:val="20"/>
                <w:color w:val="auto"/>
              </w:rPr>
            </w:pPr>
            <w:r>
              <w:rPr>
                <w:rFonts w:ascii="Arial" w:cs="Arial" w:eastAsia="Arial" w:hAnsi="Arial"/>
                <w:sz w:val="11"/>
                <w:szCs w:val="11"/>
                <w:b w:val="1"/>
                <w:bCs w:val="1"/>
                <w:color w:val="auto"/>
              </w:rPr>
              <w:t>CenterPoint Energy</w:t>
            </w: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ind w:left="180"/>
              <w:spacing w:after="0"/>
              <w:rPr>
                <w:sz w:val="20"/>
                <w:szCs w:val="20"/>
                <w:color w:val="auto"/>
              </w:rPr>
            </w:pPr>
            <w:r>
              <w:rPr>
                <w:rFonts w:ascii="Arial" w:cs="Arial" w:eastAsia="Arial" w:hAnsi="Arial"/>
                <w:sz w:val="11"/>
                <w:szCs w:val="11"/>
                <w:b w:val="1"/>
                <w:bCs w:val="1"/>
                <w:color w:val="auto"/>
              </w:rPr>
              <w:t>CERC</w:t>
            </w: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ind w:left="160"/>
              <w:spacing w:after="0"/>
              <w:rPr>
                <w:sz w:val="20"/>
                <w:szCs w:val="20"/>
                <w:color w:val="auto"/>
              </w:rPr>
            </w:pPr>
            <w:r>
              <w:rPr>
                <w:rFonts w:ascii="Arial" w:cs="Arial" w:eastAsia="Arial" w:hAnsi="Arial"/>
                <w:sz w:val="11"/>
                <w:szCs w:val="11"/>
                <w:b w:val="1"/>
                <w:bCs w:val="1"/>
                <w:color w:val="auto"/>
              </w:rPr>
              <w:t>Winter Season</w:t>
            </w: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b w:val="1"/>
                <w:bCs w:val="1"/>
                <w:color w:val="auto"/>
              </w:rPr>
              <w:t>Bilateral Cap</w:t>
            </w:r>
          </w:p>
        </w:tc>
        <w:tc>
          <w:tcPr>
            <w:tcW w:w="1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5"/>
          </w:tcPr>
          <w:p>
            <w:pPr>
              <w:ind w:left="20"/>
              <w:spacing w:after="0"/>
              <w:rPr>
                <w:sz w:val="20"/>
                <w:szCs w:val="20"/>
                <w:color w:val="auto"/>
              </w:rPr>
            </w:pPr>
            <w:r>
              <w:rPr>
                <w:rFonts w:ascii="Arial" w:cs="Arial" w:eastAsia="Arial" w:hAnsi="Arial"/>
                <w:sz w:val="11"/>
                <w:szCs w:val="11"/>
                <w:b w:val="1"/>
                <w:bCs w:val="1"/>
                <w:color w:val="auto"/>
              </w:rPr>
              <w:t>CenterPoint Energy</w:t>
            </w: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ind w:left="140"/>
              <w:spacing w:after="0"/>
              <w:rPr>
                <w:sz w:val="20"/>
                <w:szCs w:val="20"/>
                <w:color w:val="auto"/>
              </w:rPr>
            </w:pPr>
            <w:r>
              <w:rPr>
                <w:rFonts w:ascii="Arial" w:cs="Arial" w:eastAsia="Arial" w:hAnsi="Arial"/>
                <w:sz w:val="11"/>
                <w:szCs w:val="11"/>
                <w:b w:val="1"/>
                <w:bCs w:val="1"/>
                <w:color w:val="auto"/>
              </w:rPr>
              <w:t>CERC</w:t>
            </w:r>
          </w:p>
        </w:tc>
      </w:tr>
      <w:tr>
        <w:trPr>
          <w:trHeight w:val="206"/>
        </w:trPr>
        <w:tc>
          <w:tcPr>
            <w:tcW w:w="2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80" w:type="dxa"/>
            <w:vAlign w:val="bottom"/>
            <w:gridSpan w:val="5"/>
          </w:tcPr>
          <w:p>
            <w:pPr>
              <w:ind w:left="600"/>
              <w:spacing w:after="0"/>
              <w:rPr>
                <w:sz w:val="20"/>
                <w:szCs w:val="20"/>
                <w:color w:val="auto"/>
              </w:rPr>
            </w:pPr>
            <w:r>
              <w:rPr>
                <w:rFonts w:ascii="Arial" w:cs="Arial" w:eastAsia="Arial" w:hAnsi="Arial"/>
                <w:sz w:val="11"/>
                <w:szCs w:val="11"/>
                <w:b w:val="1"/>
                <w:bCs w:val="1"/>
                <w:color w:val="auto"/>
              </w:rPr>
              <w:t>(in millions)</w:t>
            </w: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20"/>
        </w:trPr>
        <w:tc>
          <w:tcPr>
            <w:tcW w:w="2320" w:type="dxa"/>
            <w:vAlign w:val="bottom"/>
            <w:shd w:val="clear" w:color="auto" w:fill="CCEEFF"/>
          </w:tcPr>
          <w:p>
            <w:pPr>
              <w:ind w:left="20"/>
              <w:spacing w:after="0"/>
              <w:rPr>
                <w:sz w:val="20"/>
                <w:szCs w:val="20"/>
                <w:color w:val="auto"/>
              </w:rPr>
            </w:pPr>
            <w:r>
              <w:rPr>
                <w:rFonts w:ascii="Arial" w:cs="Arial" w:eastAsia="Arial" w:hAnsi="Arial"/>
                <w:sz w:val="11"/>
                <w:szCs w:val="11"/>
                <w:color w:val="auto"/>
              </w:rPr>
              <w:t>NGD</w:t>
            </w:r>
          </w:p>
        </w:tc>
        <w:tc>
          <w:tcPr>
            <w:tcW w:w="60" w:type="dxa"/>
            <w:vAlign w:val="bottom"/>
            <w:shd w:val="clear" w:color="auto" w:fill="CCEEFF"/>
          </w:tcPr>
          <w:p>
            <w:pPr>
              <w:spacing w:after="0"/>
              <w:rPr>
                <w:sz w:val="19"/>
                <w:szCs w:val="19"/>
                <w:color w:val="auto"/>
              </w:rPr>
            </w:pPr>
          </w:p>
        </w:tc>
        <w:tc>
          <w:tcPr>
            <w:tcW w:w="960" w:type="dxa"/>
            <w:vAlign w:val="bottom"/>
            <w:shd w:val="clear" w:color="auto" w:fill="CCEEFF"/>
          </w:tcPr>
          <w:p>
            <w:pPr>
              <w:ind w:left="140"/>
              <w:spacing w:after="0"/>
              <w:rPr>
                <w:sz w:val="20"/>
                <w:szCs w:val="20"/>
                <w:color w:val="auto"/>
              </w:rPr>
            </w:pPr>
            <w:r>
              <w:rPr>
                <w:rFonts w:ascii="Arial" w:cs="Arial" w:eastAsia="Arial" w:hAnsi="Arial"/>
                <w:sz w:val="11"/>
                <w:szCs w:val="11"/>
                <w:color w:val="auto"/>
              </w:rPr>
              <w:t>2018 – 2019</w:t>
            </w:r>
          </w:p>
        </w:tc>
        <w:tc>
          <w:tcPr>
            <w:tcW w:w="24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w:t>
            </w:r>
          </w:p>
        </w:tc>
        <w:tc>
          <w:tcPr>
            <w:tcW w:w="84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9</w:t>
            </w:r>
          </w:p>
        </w:tc>
        <w:tc>
          <w:tcPr>
            <w:tcW w:w="200" w:type="dxa"/>
            <w:vAlign w:val="bottom"/>
            <w:gridSpan w:val="2"/>
            <w:shd w:val="clear" w:color="auto" w:fill="CCEEFF"/>
          </w:tcPr>
          <w:p>
            <w:pPr>
              <w:ind w:left="140"/>
              <w:spacing w:after="0"/>
              <w:rPr>
                <w:sz w:val="20"/>
                <w:szCs w:val="20"/>
                <w:color w:val="auto"/>
              </w:rPr>
            </w:pPr>
            <w:r>
              <w:rPr>
                <w:rFonts w:ascii="Arial" w:cs="Arial" w:eastAsia="Arial" w:hAnsi="Arial"/>
                <w:sz w:val="10"/>
                <w:szCs w:val="10"/>
                <w:color w:val="auto"/>
                <w:w w:val="71"/>
              </w:rPr>
              <w:t>$</w:t>
            </w:r>
          </w:p>
        </w:tc>
        <w:tc>
          <w:tcPr>
            <w:tcW w:w="420" w:type="dxa"/>
            <w:vAlign w:val="bottom"/>
            <w:shd w:val="clear" w:color="auto" w:fill="CCEEFF"/>
          </w:tcPr>
          <w:p>
            <w:pPr>
              <w:spacing w:after="0"/>
              <w:rPr>
                <w:sz w:val="19"/>
                <w:szCs w:val="19"/>
                <w:color w:val="auto"/>
              </w:rPr>
            </w:pPr>
          </w:p>
        </w:tc>
        <w:tc>
          <w:tcPr>
            <w:tcW w:w="720" w:type="dxa"/>
            <w:vAlign w:val="bottom"/>
            <w:gridSpan w:val="3"/>
            <w:shd w:val="clear" w:color="auto" w:fill="CCEEFF"/>
          </w:tcPr>
          <w:p>
            <w:pPr>
              <w:ind w:left="320"/>
              <w:spacing w:after="0"/>
              <w:rPr>
                <w:sz w:val="20"/>
                <w:szCs w:val="20"/>
                <w:color w:val="auto"/>
              </w:rPr>
            </w:pPr>
            <w:r>
              <w:rPr>
                <w:rFonts w:ascii="Arial" w:cs="Arial" w:eastAsia="Arial" w:hAnsi="Arial"/>
                <w:sz w:val="11"/>
                <w:szCs w:val="11"/>
                <w:color w:val="auto"/>
              </w:rPr>
              <w:t>—</w:t>
            </w:r>
          </w:p>
        </w:tc>
        <w:tc>
          <w:tcPr>
            <w:tcW w:w="18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CEEFF"/>
          </w:tcPr>
          <w:p>
            <w:pPr>
              <w:ind w:left="640"/>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60" w:type="dxa"/>
            <w:vAlign w:val="bottom"/>
            <w:shd w:val="clear" w:color="auto" w:fill="CCEEFF"/>
          </w:tcPr>
          <w:p>
            <w:pPr>
              <w:ind w:left="420"/>
              <w:spacing w:after="0"/>
              <w:rPr>
                <w:sz w:val="20"/>
                <w:szCs w:val="20"/>
                <w:color w:val="auto"/>
              </w:rPr>
            </w:pPr>
            <w:r>
              <w:rPr>
                <w:rFonts w:ascii="Arial" w:cs="Arial" w:eastAsia="Arial" w:hAnsi="Arial"/>
                <w:sz w:val="11"/>
                <w:szCs w:val="11"/>
                <w:color w:val="auto"/>
              </w:rPr>
              <w:t>2017 – 2018</w:t>
            </w:r>
          </w:p>
        </w:tc>
        <w:tc>
          <w:tcPr>
            <w:tcW w:w="1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8</w:t>
            </w:r>
          </w:p>
        </w:tc>
        <w:tc>
          <w:tcPr>
            <w:tcW w:w="640" w:type="dxa"/>
            <w:vAlign w:val="bottom"/>
            <w:gridSpan w:val="3"/>
            <w:shd w:val="clear" w:color="auto" w:fill="CCEEFF"/>
          </w:tcPr>
          <w:p>
            <w:pPr>
              <w:ind w:left="160"/>
              <w:spacing w:after="0"/>
              <w:rPr>
                <w:sz w:val="20"/>
                <w:szCs w:val="20"/>
                <w:color w:val="auto"/>
              </w:rPr>
            </w:pPr>
            <w:r>
              <w:rPr>
                <w:rFonts w:ascii="Arial" w:cs="Arial" w:eastAsia="Arial" w:hAnsi="Arial"/>
                <w:sz w:val="11"/>
                <w:szCs w:val="11"/>
                <w:color w:val="auto"/>
              </w:rPr>
              <w:t>$</w:t>
            </w:r>
          </w:p>
        </w:tc>
        <w:tc>
          <w:tcPr>
            <w:tcW w:w="740" w:type="dxa"/>
            <w:vAlign w:val="bottom"/>
            <w:gridSpan w:val="4"/>
            <w:shd w:val="clear" w:color="auto" w:fill="CCEEFF"/>
          </w:tcPr>
          <w:p>
            <w:pPr>
              <w:ind w:left="34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jc w:val="right"/>
              <w:ind w:right="85"/>
              <w:spacing w:after="0"/>
              <w:rPr>
                <w:sz w:val="20"/>
                <w:szCs w:val="20"/>
                <w:color w:val="auto"/>
              </w:rPr>
            </w:pPr>
            <w:r>
              <w:rPr>
                <w:rFonts w:ascii="Arial" w:cs="Arial" w:eastAsia="Arial" w:hAnsi="Arial"/>
                <w:sz w:val="11"/>
                <w:szCs w:val="11"/>
                <w:color w:val="auto"/>
                <w:w w:val="97"/>
              </w:rPr>
              <w:t>$</w:t>
            </w:r>
          </w:p>
        </w:tc>
        <w:tc>
          <w:tcPr>
            <w:tcW w:w="820" w:type="dxa"/>
            <w:vAlign w:val="bottom"/>
            <w:shd w:val="clear" w:color="auto" w:fill="CCEEFF"/>
          </w:tcPr>
          <w:p>
            <w:pPr>
              <w:ind w:left="600"/>
              <w:spacing w:after="0"/>
              <w:rPr>
                <w:sz w:val="20"/>
                <w:szCs w:val="20"/>
                <w:color w:val="auto"/>
              </w:rPr>
            </w:pPr>
            <w:r>
              <w:rPr>
                <w:rFonts w:ascii="Arial" w:cs="Arial" w:eastAsia="Arial" w:hAnsi="Arial"/>
                <w:sz w:val="11"/>
                <w:szCs w:val="11"/>
                <w:color w:val="auto"/>
              </w:rPr>
              <w:t>—</w:t>
            </w:r>
          </w:p>
        </w:tc>
      </w:tr>
      <w:tr>
        <w:trPr>
          <w:trHeight w:val="211"/>
        </w:trPr>
        <w:tc>
          <w:tcPr>
            <w:tcW w:w="232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Electric operations</w:t>
            </w:r>
          </w:p>
        </w:tc>
        <w:tc>
          <w:tcPr>
            <w:tcW w:w="60" w:type="dxa"/>
            <w:vAlign w:val="bottom"/>
            <w:tcBorders>
              <w:bottom w:val="single" w:sz="8" w:color="CCEEFF"/>
            </w:tcBorders>
          </w:tcPr>
          <w:p>
            <w:pPr>
              <w:spacing w:after="0"/>
              <w:rPr>
                <w:sz w:val="18"/>
                <w:szCs w:val="18"/>
                <w:color w:val="auto"/>
              </w:rPr>
            </w:pPr>
          </w:p>
        </w:tc>
        <w:tc>
          <w:tcPr>
            <w:tcW w:w="960" w:type="dxa"/>
            <w:vAlign w:val="bottom"/>
            <w:tcBorders>
              <w:bottom w:val="single" w:sz="8" w:color="CCEEFF"/>
            </w:tcBorders>
          </w:tcPr>
          <w:p>
            <w:pPr>
              <w:ind w:left="140"/>
              <w:spacing w:after="0"/>
              <w:rPr>
                <w:sz w:val="20"/>
                <w:szCs w:val="20"/>
                <w:color w:val="auto"/>
              </w:rPr>
            </w:pPr>
            <w:r>
              <w:rPr>
                <w:rFonts w:ascii="Arial" w:cs="Arial" w:eastAsia="Arial" w:hAnsi="Arial"/>
                <w:sz w:val="11"/>
                <w:szCs w:val="11"/>
                <w:color w:val="auto"/>
              </w:rPr>
              <w:t>2018 – 2019</w:t>
            </w:r>
          </w:p>
        </w:tc>
        <w:tc>
          <w:tcPr>
            <w:tcW w:w="24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jc w:val="right"/>
              <w:ind w:right="43"/>
              <w:spacing w:after="0"/>
              <w:rPr>
                <w:sz w:val="20"/>
                <w:szCs w:val="20"/>
                <w:color w:val="auto"/>
              </w:rPr>
            </w:pPr>
            <w:r>
              <w:rPr>
                <w:rFonts w:ascii="Arial" w:cs="Arial" w:eastAsia="Arial" w:hAnsi="Arial"/>
                <w:sz w:val="11"/>
                <w:szCs w:val="11"/>
                <w:color w:val="auto"/>
              </w:rPr>
              <w:t>8</w:t>
            </w: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ind w:left="32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gridSpan w:val="2"/>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ind w:left="640"/>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60" w:type="dxa"/>
            <w:vAlign w:val="bottom"/>
            <w:tcBorders>
              <w:bottom w:val="single" w:sz="8" w:color="CCEEFF"/>
            </w:tcBorders>
          </w:tcPr>
          <w:p>
            <w:pPr>
              <w:ind w:left="420"/>
              <w:spacing w:after="0"/>
              <w:rPr>
                <w:sz w:val="20"/>
                <w:szCs w:val="20"/>
                <w:color w:val="auto"/>
              </w:rPr>
            </w:pPr>
            <w:r>
              <w:rPr>
                <w:rFonts w:ascii="Arial" w:cs="Arial" w:eastAsia="Arial" w:hAnsi="Arial"/>
                <w:sz w:val="11"/>
                <w:szCs w:val="11"/>
                <w:color w:val="auto"/>
              </w:rPr>
              <w:t>2017 – 2018</w:t>
            </w:r>
          </w:p>
        </w:tc>
        <w:tc>
          <w:tcPr>
            <w:tcW w:w="18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jc w:val="right"/>
              <w:ind w:right="3"/>
              <w:spacing w:after="0"/>
              <w:rPr>
                <w:sz w:val="20"/>
                <w:szCs w:val="20"/>
                <w:color w:val="auto"/>
              </w:rPr>
            </w:pPr>
            <w:r>
              <w:rPr>
                <w:rFonts w:ascii="Arial" w:cs="Arial" w:eastAsia="Arial" w:hAnsi="Arial"/>
                <w:sz w:val="11"/>
                <w:szCs w:val="11"/>
                <w:color w:val="auto"/>
              </w:rPr>
              <w:t>9</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ind w:left="34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gridSpan w:val="3"/>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ind w:left="600"/>
              <w:spacing w:after="0"/>
              <w:rPr>
                <w:sz w:val="20"/>
                <w:szCs w:val="20"/>
                <w:color w:val="auto"/>
              </w:rPr>
            </w:pPr>
            <w:r>
              <w:rPr>
                <w:rFonts w:ascii="Arial" w:cs="Arial" w:eastAsia="Arial" w:hAnsi="Arial"/>
                <w:sz w:val="11"/>
                <w:szCs w:val="11"/>
                <w:color w:val="auto"/>
              </w:rPr>
              <w:t>—</w:t>
            </w:r>
          </w:p>
        </w:tc>
      </w:tr>
      <w:tr>
        <w:trPr>
          <w:trHeight w:val="189"/>
        </w:trPr>
        <w:tc>
          <w:tcPr>
            <w:tcW w:w="2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1"/>
                <w:szCs w:val="11"/>
                <w:b w:val="1"/>
                <w:bCs w:val="1"/>
                <w:color w:val="auto"/>
              </w:rPr>
              <w:t>Total (1)</w:t>
            </w:r>
          </w:p>
        </w:tc>
        <w:tc>
          <w:tcPr>
            <w:tcW w:w="6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42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gridSpan w:val="2"/>
            <w:shd w:val="clear" w:color="auto" w:fill="CCEEFF"/>
          </w:tcPr>
          <w:p>
            <w:pPr>
              <w:spacing w:after="0"/>
              <w:rPr>
                <w:sz w:val="16"/>
                <w:szCs w:val="16"/>
                <w:color w:val="auto"/>
              </w:rPr>
            </w:pPr>
          </w:p>
        </w:tc>
        <w:tc>
          <w:tcPr>
            <w:tcW w:w="18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shd w:val="clear" w:color="auto" w:fill="CCEEFF"/>
          </w:tcPr>
          <w:p>
            <w:pPr>
              <w:ind w:left="640"/>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1"/>
                <w:szCs w:val="11"/>
                <w:color w:val="auto"/>
              </w:rPr>
              <w:t>$</w:t>
            </w:r>
          </w:p>
        </w:tc>
        <w:tc>
          <w:tcPr>
            <w:tcW w:w="56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gridSpan w:val="3"/>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1"/>
                <w:szCs w:val="11"/>
                <w:color w:val="auto"/>
                <w:w w:val="97"/>
              </w:rPr>
              <w:t>$</w:t>
            </w:r>
          </w:p>
        </w:tc>
        <w:tc>
          <w:tcPr>
            <w:tcW w:w="82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1"/>
                <w:szCs w:val="11"/>
                <w:color w:val="auto"/>
              </w:rPr>
              <w:t>—</w:t>
            </w:r>
          </w:p>
        </w:tc>
      </w:tr>
      <w:tr>
        <w:trPr>
          <w:trHeight w:val="20"/>
        </w:trPr>
        <w:tc>
          <w:tcPr>
            <w:tcW w:w="2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291"/>
        </w:trPr>
        <w:tc>
          <w:tcPr>
            <w:tcW w:w="2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5"/>
          </w:tcPr>
          <w:p>
            <w:pPr>
              <w:jc w:val="right"/>
              <w:ind w:right="183"/>
              <w:spacing w:after="0"/>
              <w:rPr>
                <w:sz w:val="20"/>
                <w:szCs w:val="20"/>
                <w:color w:val="auto"/>
              </w:rPr>
            </w:pPr>
            <w:r>
              <w:rPr>
                <w:rFonts w:ascii="Arial" w:cs="Arial" w:eastAsia="Arial" w:hAnsi="Arial"/>
                <w:sz w:val="11"/>
                <w:szCs w:val="11"/>
                <w:b w:val="1"/>
                <w:bCs w:val="1"/>
                <w:color w:val="auto"/>
              </w:rPr>
              <w:t>Nine Months Ended September 30,</w:t>
            </w: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r>
      <w:tr>
        <w:trPr>
          <w:trHeight w:val="206"/>
        </w:trPr>
        <w:tc>
          <w:tcPr>
            <w:tcW w:w="2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gridSpan w:val="3"/>
          </w:tcPr>
          <w:p>
            <w:pPr>
              <w:jc w:val="right"/>
              <w:ind w:right="263"/>
              <w:spacing w:after="0"/>
              <w:rPr>
                <w:sz w:val="20"/>
                <w:szCs w:val="20"/>
                <w:color w:val="auto"/>
              </w:rPr>
            </w:pPr>
            <w:r>
              <w:rPr>
                <w:rFonts w:ascii="Arial" w:cs="Arial" w:eastAsia="Arial" w:hAnsi="Arial"/>
                <w:sz w:val="11"/>
                <w:szCs w:val="11"/>
                <w:b w:val="1"/>
                <w:bCs w:val="1"/>
                <w:color w:val="auto"/>
              </w:rPr>
              <w:t>2019</w:t>
            </w:r>
          </w:p>
        </w:tc>
        <w:tc>
          <w:tcPr>
            <w:tcW w:w="5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gridSpan w:val="3"/>
          </w:tcPr>
          <w:p>
            <w:pPr>
              <w:jc w:val="right"/>
              <w:ind w:right="303"/>
              <w:spacing w:after="0"/>
              <w:rPr>
                <w:sz w:val="20"/>
                <w:szCs w:val="20"/>
                <w:color w:val="auto"/>
              </w:rPr>
            </w:pPr>
            <w:r>
              <w:rPr>
                <w:rFonts w:ascii="Arial" w:cs="Arial" w:eastAsia="Arial" w:hAnsi="Arial"/>
                <w:sz w:val="11"/>
                <w:szCs w:val="11"/>
                <w:b w:val="1"/>
                <w:bCs w:val="1"/>
                <w:color w:val="auto"/>
              </w:rPr>
              <w:t>2018</w:t>
            </w:r>
          </w:p>
        </w:tc>
        <w:tc>
          <w:tcPr>
            <w:tcW w:w="56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r>
      <w:tr>
        <w:trPr>
          <w:trHeight w:val="206"/>
        </w:trPr>
        <w:tc>
          <w:tcPr>
            <w:tcW w:w="2320" w:type="dxa"/>
            <w:vAlign w:val="bottom"/>
            <w:tcBorders>
              <w:bottom w:val="single" w:sz="8" w:color="auto"/>
            </w:tcBorders>
          </w:tcPr>
          <w:p>
            <w:pPr>
              <w:ind w:left="760"/>
              <w:spacing w:after="0"/>
              <w:rPr>
                <w:sz w:val="20"/>
                <w:szCs w:val="20"/>
                <w:color w:val="auto"/>
              </w:rPr>
            </w:pPr>
            <w:r>
              <w:rPr>
                <w:rFonts w:ascii="Arial" w:cs="Arial" w:eastAsia="Arial" w:hAnsi="Arial"/>
                <w:sz w:val="11"/>
                <w:szCs w:val="11"/>
                <w:b w:val="1"/>
                <w:bCs w:val="1"/>
                <w:color w:val="auto"/>
              </w:rPr>
              <w:t>Texas Operations</w:t>
            </w:r>
          </w:p>
        </w:tc>
        <w:tc>
          <w:tcPr>
            <w:tcW w:w="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ind w:left="140"/>
              <w:spacing w:after="0"/>
              <w:rPr>
                <w:sz w:val="20"/>
                <w:szCs w:val="20"/>
                <w:color w:val="auto"/>
              </w:rPr>
            </w:pPr>
            <w:r>
              <w:rPr>
                <w:rFonts w:ascii="Arial" w:cs="Arial" w:eastAsia="Arial" w:hAnsi="Arial"/>
                <w:sz w:val="11"/>
                <w:szCs w:val="11"/>
                <w:b w:val="1"/>
                <w:bCs w:val="1"/>
                <w:color w:val="auto"/>
              </w:rPr>
              <w:t>Winter Season</w:t>
            </w: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3"/>
              <w:spacing w:after="0"/>
              <w:rPr>
                <w:sz w:val="20"/>
                <w:szCs w:val="20"/>
                <w:color w:val="auto"/>
              </w:rPr>
            </w:pPr>
            <w:r>
              <w:rPr>
                <w:rFonts w:ascii="Arial" w:cs="Arial" w:eastAsia="Arial" w:hAnsi="Arial"/>
                <w:sz w:val="11"/>
                <w:szCs w:val="11"/>
                <w:b w:val="1"/>
                <w:bCs w:val="1"/>
                <w:color w:val="auto"/>
              </w:rPr>
              <w:t>Bilateral Cap</w:t>
            </w:r>
          </w:p>
        </w:tc>
        <w:tc>
          <w:tcPr>
            <w:tcW w:w="1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4"/>
          </w:tcPr>
          <w:p>
            <w:pPr>
              <w:ind w:left="40"/>
              <w:spacing w:after="0"/>
              <w:rPr>
                <w:sz w:val="20"/>
                <w:szCs w:val="20"/>
                <w:color w:val="auto"/>
              </w:rPr>
            </w:pPr>
            <w:r>
              <w:rPr>
                <w:rFonts w:ascii="Arial" w:cs="Arial" w:eastAsia="Arial" w:hAnsi="Arial"/>
                <w:sz w:val="11"/>
                <w:szCs w:val="11"/>
                <w:b w:val="1"/>
                <w:bCs w:val="1"/>
                <w:color w:val="auto"/>
              </w:rPr>
              <w:t>CenterPoint Energy</w:t>
            </w: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ind w:left="200"/>
              <w:spacing w:after="0"/>
              <w:rPr>
                <w:sz w:val="20"/>
                <w:szCs w:val="20"/>
                <w:color w:val="auto"/>
              </w:rPr>
            </w:pPr>
            <w:r>
              <w:rPr>
                <w:rFonts w:ascii="Arial" w:cs="Arial" w:eastAsia="Arial" w:hAnsi="Arial"/>
                <w:sz w:val="11"/>
                <w:szCs w:val="11"/>
                <w:b w:val="1"/>
                <w:bCs w:val="1"/>
                <w:color w:val="auto"/>
              </w:rPr>
              <w:t>CERC</w:t>
            </w: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ind w:left="140"/>
              <w:spacing w:after="0"/>
              <w:rPr>
                <w:sz w:val="20"/>
                <w:szCs w:val="20"/>
                <w:color w:val="auto"/>
              </w:rPr>
            </w:pPr>
            <w:r>
              <w:rPr>
                <w:rFonts w:ascii="Arial" w:cs="Arial" w:eastAsia="Arial" w:hAnsi="Arial"/>
                <w:sz w:val="11"/>
                <w:szCs w:val="11"/>
                <w:b w:val="1"/>
                <w:bCs w:val="1"/>
                <w:color w:val="auto"/>
              </w:rPr>
              <w:t>Winter Season</w:t>
            </w: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b w:val="1"/>
                <w:bCs w:val="1"/>
                <w:color w:val="auto"/>
              </w:rPr>
              <w:t>Bilateral Cap</w:t>
            </w:r>
          </w:p>
        </w:tc>
        <w:tc>
          <w:tcPr>
            <w:tcW w:w="1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5"/>
          </w:tcPr>
          <w:p>
            <w:pPr>
              <w:ind w:left="60"/>
              <w:spacing w:after="0"/>
              <w:rPr>
                <w:sz w:val="20"/>
                <w:szCs w:val="20"/>
                <w:color w:val="auto"/>
              </w:rPr>
            </w:pPr>
            <w:r>
              <w:rPr>
                <w:rFonts w:ascii="Arial" w:cs="Arial" w:eastAsia="Arial" w:hAnsi="Arial"/>
                <w:sz w:val="11"/>
                <w:szCs w:val="11"/>
                <w:b w:val="1"/>
                <w:bCs w:val="1"/>
                <w:color w:val="auto"/>
              </w:rPr>
              <w:t>CenterPoint Energy</w:t>
            </w: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ind w:left="140"/>
              <w:spacing w:after="0"/>
              <w:rPr>
                <w:sz w:val="20"/>
                <w:szCs w:val="20"/>
                <w:color w:val="auto"/>
              </w:rPr>
            </w:pPr>
            <w:r>
              <w:rPr>
                <w:rFonts w:ascii="Arial" w:cs="Arial" w:eastAsia="Arial" w:hAnsi="Arial"/>
                <w:sz w:val="11"/>
                <w:szCs w:val="11"/>
                <w:b w:val="1"/>
                <w:bCs w:val="1"/>
                <w:color w:val="auto"/>
              </w:rPr>
              <w:t>CERC</w:t>
            </w:r>
          </w:p>
        </w:tc>
      </w:tr>
      <w:tr>
        <w:trPr>
          <w:trHeight w:val="206"/>
        </w:trPr>
        <w:tc>
          <w:tcPr>
            <w:tcW w:w="2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80" w:type="dxa"/>
            <w:vAlign w:val="bottom"/>
            <w:gridSpan w:val="5"/>
          </w:tcPr>
          <w:p>
            <w:pPr>
              <w:ind w:left="640"/>
              <w:spacing w:after="0"/>
              <w:rPr>
                <w:sz w:val="20"/>
                <w:szCs w:val="20"/>
                <w:color w:val="auto"/>
              </w:rPr>
            </w:pPr>
            <w:r>
              <w:rPr>
                <w:rFonts w:ascii="Arial" w:cs="Arial" w:eastAsia="Arial" w:hAnsi="Arial"/>
                <w:sz w:val="11"/>
                <w:szCs w:val="11"/>
                <w:b w:val="1"/>
                <w:bCs w:val="1"/>
                <w:color w:val="auto"/>
              </w:rPr>
              <w:t>(in millions)</w:t>
            </w: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20"/>
        </w:trPr>
        <w:tc>
          <w:tcPr>
            <w:tcW w:w="2320" w:type="dxa"/>
            <w:vAlign w:val="bottom"/>
            <w:shd w:val="clear" w:color="auto" w:fill="CCEEFF"/>
          </w:tcPr>
          <w:p>
            <w:pPr>
              <w:ind w:left="20"/>
              <w:spacing w:after="0"/>
              <w:rPr>
                <w:sz w:val="20"/>
                <w:szCs w:val="20"/>
                <w:color w:val="auto"/>
              </w:rPr>
            </w:pPr>
            <w:r>
              <w:rPr>
                <w:rFonts w:ascii="Arial" w:cs="Arial" w:eastAsia="Arial" w:hAnsi="Arial"/>
                <w:sz w:val="11"/>
                <w:szCs w:val="11"/>
                <w:color w:val="auto"/>
              </w:rPr>
              <w:t>NGD</w:t>
            </w:r>
          </w:p>
        </w:tc>
        <w:tc>
          <w:tcPr>
            <w:tcW w:w="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auto"/>
              </w:rPr>
              <w:t>2018 – 2019</w:t>
            </w:r>
          </w:p>
        </w:tc>
        <w:tc>
          <w:tcPr>
            <w:tcW w:w="2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w:t>
            </w:r>
          </w:p>
        </w:tc>
        <w:tc>
          <w:tcPr>
            <w:tcW w:w="620" w:type="dxa"/>
            <w:vAlign w:val="bottom"/>
            <w:gridSpan w:val="3"/>
            <w:shd w:val="clear" w:color="auto" w:fill="CCEEFF"/>
          </w:tcPr>
          <w:p>
            <w:pPr>
              <w:ind w:left="220"/>
              <w:spacing w:after="0"/>
              <w:rPr>
                <w:sz w:val="20"/>
                <w:szCs w:val="20"/>
                <w:color w:val="auto"/>
              </w:rPr>
            </w:pPr>
            <w:r>
              <w:rPr>
                <w:rFonts w:ascii="Arial" w:cs="Arial" w:eastAsia="Arial" w:hAnsi="Arial"/>
                <w:sz w:val="11"/>
                <w:szCs w:val="11"/>
                <w:color w:val="auto"/>
              </w:rPr>
              <w:t>$</w:t>
            </w:r>
          </w:p>
        </w:tc>
        <w:tc>
          <w:tcPr>
            <w:tcW w:w="720" w:type="dxa"/>
            <w:vAlign w:val="bottom"/>
            <w:gridSpan w:val="3"/>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8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860" w:type="dxa"/>
            <w:vAlign w:val="bottom"/>
            <w:shd w:val="clear" w:color="auto" w:fill="CCEEFF"/>
          </w:tcPr>
          <w:p>
            <w:pPr>
              <w:ind w:left="680"/>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60" w:type="dxa"/>
            <w:vAlign w:val="bottom"/>
            <w:shd w:val="clear" w:color="auto" w:fill="CCEEFF"/>
          </w:tcPr>
          <w:p>
            <w:pPr>
              <w:ind w:left="420"/>
              <w:spacing w:after="0"/>
              <w:rPr>
                <w:sz w:val="20"/>
                <w:szCs w:val="20"/>
                <w:color w:val="auto"/>
              </w:rPr>
            </w:pPr>
            <w:r>
              <w:rPr>
                <w:rFonts w:ascii="Arial" w:cs="Arial" w:eastAsia="Arial" w:hAnsi="Arial"/>
                <w:sz w:val="11"/>
                <w:szCs w:val="11"/>
                <w:color w:val="auto"/>
              </w:rPr>
              <w:t>2017 – 2018</w:t>
            </w:r>
          </w:p>
        </w:tc>
        <w:tc>
          <w:tcPr>
            <w:tcW w:w="1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8</w:t>
            </w:r>
          </w:p>
        </w:tc>
        <w:tc>
          <w:tcPr>
            <w:tcW w:w="640" w:type="dxa"/>
            <w:vAlign w:val="bottom"/>
            <w:gridSpan w:val="3"/>
            <w:shd w:val="clear" w:color="auto" w:fill="CCEEFF"/>
          </w:tcPr>
          <w:p>
            <w:pPr>
              <w:ind w:left="180"/>
              <w:spacing w:after="0"/>
              <w:rPr>
                <w:sz w:val="20"/>
                <w:szCs w:val="20"/>
                <w:color w:val="auto"/>
              </w:rPr>
            </w:pPr>
            <w:r>
              <w:rPr>
                <w:rFonts w:ascii="Arial" w:cs="Arial" w:eastAsia="Arial" w:hAnsi="Arial"/>
                <w:sz w:val="11"/>
                <w:szCs w:val="11"/>
                <w:color w:val="auto"/>
              </w:rPr>
              <w:t>$</w:t>
            </w:r>
          </w:p>
        </w:tc>
        <w:tc>
          <w:tcPr>
            <w:tcW w:w="740" w:type="dxa"/>
            <w:vAlign w:val="bottom"/>
            <w:gridSpan w:val="4"/>
            <w:shd w:val="clear" w:color="auto" w:fill="CCEEFF"/>
          </w:tcPr>
          <w:p>
            <w:pPr>
              <w:jc w:val="right"/>
              <w:ind w:right="28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jc w:val="right"/>
              <w:ind w:right="105"/>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CEEFF"/>
          </w:tcPr>
          <w:p>
            <w:pPr>
              <w:ind w:left="600"/>
              <w:spacing w:after="0"/>
              <w:rPr>
                <w:sz w:val="20"/>
                <w:szCs w:val="20"/>
                <w:color w:val="auto"/>
              </w:rPr>
            </w:pPr>
            <w:r>
              <w:rPr>
                <w:rFonts w:ascii="Arial" w:cs="Arial" w:eastAsia="Arial" w:hAnsi="Arial"/>
                <w:sz w:val="11"/>
                <w:szCs w:val="11"/>
                <w:color w:val="auto"/>
              </w:rPr>
              <w:t>—</w:t>
            </w:r>
          </w:p>
        </w:tc>
      </w:tr>
      <w:tr>
        <w:trPr>
          <w:trHeight w:val="211"/>
        </w:trPr>
        <w:tc>
          <w:tcPr>
            <w:tcW w:w="232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Electric operations</w:t>
            </w:r>
          </w:p>
        </w:tc>
        <w:tc>
          <w:tcPr>
            <w:tcW w:w="60" w:type="dxa"/>
            <w:vAlign w:val="bottom"/>
            <w:tcBorders>
              <w:bottom w:val="single" w:sz="8" w:color="CCEEFF"/>
            </w:tcBorders>
          </w:tcPr>
          <w:p>
            <w:pPr>
              <w:spacing w:after="0"/>
              <w:rPr>
                <w:sz w:val="18"/>
                <w:szCs w:val="18"/>
                <w:color w:val="auto"/>
              </w:rPr>
            </w:pPr>
          </w:p>
        </w:tc>
        <w:tc>
          <w:tcPr>
            <w:tcW w:w="960" w:type="dxa"/>
            <w:vAlign w:val="bottom"/>
            <w:tcBorders>
              <w:bottom w:val="single" w:sz="8" w:color="CCEEFF"/>
            </w:tcBorders>
          </w:tcPr>
          <w:p>
            <w:pPr>
              <w:jc w:val="right"/>
              <w:ind w:right="103"/>
              <w:spacing w:after="0"/>
              <w:rPr>
                <w:sz w:val="20"/>
                <w:szCs w:val="20"/>
                <w:color w:val="auto"/>
              </w:rPr>
            </w:pPr>
            <w:r>
              <w:rPr>
                <w:rFonts w:ascii="Arial" w:cs="Arial" w:eastAsia="Arial" w:hAnsi="Arial"/>
                <w:sz w:val="11"/>
                <w:szCs w:val="11"/>
                <w:color w:val="auto"/>
              </w:rPr>
              <w:t>2018 – 2019</w:t>
            </w:r>
          </w:p>
        </w:tc>
        <w:tc>
          <w:tcPr>
            <w:tcW w:w="24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jc w:val="right"/>
              <w:spacing w:after="0"/>
              <w:rPr>
                <w:sz w:val="20"/>
                <w:szCs w:val="20"/>
                <w:color w:val="auto"/>
              </w:rPr>
            </w:pPr>
            <w:r>
              <w:rPr>
                <w:rFonts w:ascii="Arial" w:cs="Arial" w:eastAsia="Arial" w:hAnsi="Arial"/>
                <w:sz w:val="11"/>
                <w:szCs w:val="11"/>
                <w:color w:val="auto"/>
              </w:rPr>
              <w:t>8</w:t>
            </w: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w:t>
            </w:r>
          </w:p>
        </w:tc>
        <w:tc>
          <w:tcPr>
            <w:tcW w:w="10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ind w:left="680"/>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60" w:type="dxa"/>
            <w:vAlign w:val="bottom"/>
            <w:tcBorders>
              <w:bottom w:val="single" w:sz="8" w:color="CCEEFF"/>
            </w:tcBorders>
          </w:tcPr>
          <w:p>
            <w:pPr>
              <w:ind w:left="420"/>
              <w:spacing w:after="0"/>
              <w:rPr>
                <w:sz w:val="20"/>
                <w:szCs w:val="20"/>
                <w:color w:val="auto"/>
              </w:rPr>
            </w:pPr>
            <w:r>
              <w:rPr>
                <w:rFonts w:ascii="Arial" w:cs="Arial" w:eastAsia="Arial" w:hAnsi="Arial"/>
                <w:sz w:val="11"/>
                <w:szCs w:val="11"/>
                <w:color w:val="auto"/>
              </w:rPr>
              <w:t>2017 – 2018</w:t>
            </w:r>
          </w:p>
        </w:tc>
        <w:tc>
          <w:tcPr>
            <w:tcW w:w="18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jc w:val="right"/>
              <w:ind w:right="3"/>
              <w:spacing w:after="0"/>
              <w:rPr>
                <w:sz w:val="20"/>
                <w:szCs w:val="20"/>
                <w:color w:val="auto"/>
              </w:rPr>
            </w:pPr>
            <w:r>
              <w:rPr>
                <w:rFonts w:ascii="Arial" w:cs="Arial" w:eastAsia="Arial" w:hAnsi="Arial"/>
                <w:sz w:val="11"/>
                <w:szCs w:val="11"/>
                <w:color w:val="auto"/>
              </w:rPr>
              <w:t>9</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(4)</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ind w:left="600"/>
              <w:spacing w:after="0"/>
              <w:rPr>
                <w:sz w:val="20"/>
                <w:szCs w:val="20"/>
                <w:color w:val="auto"/>
              </w:rPr>
            </w:pPr>
            <w:r>
              <w:rPr>
                <w:rFonts w:ascii="Arial" w:cs="Arial" w:eastAsia="Arial" w:hAnsi="Arial"/>
                <w:sz w:val="11"/>
                <w:szCs w:val="11"/>
                <w:color w:val="auto"/>
              </w:rPr>
              <w:t>—</w:t>
            </w:r>
          </w:p>
        </w:tc>
      </w:tr>
      <w:tr>
        <w:trPr>
          <w:trHeight w:val="189"/>
        </w:trPr>
        <w:tc>
          <w:tcPr>
            <w:tcW w:w="2320" w:type="dxa"/>
            <w:vAlign w:val="bottom"/>
            <w:shd w:val="clear" w:color="auto" w:fill="CCEEFF"/>
          </w:tcPr>
          <w:p>
            <w:pPr>
              <w:ind w:left="280"/>
              <w:spacing w:after="0"/>
              <w:rPr>
                <w:sz w:val="20"/>
                <w:szCs w:val="20"/>
                <w:color w:val="auto"/>
              </w:rPr>
            </w:pPr>
            <w:r>
              <w:rPr>
                <w:rFonts w:ascii="Arial" w:cs="Arial" w:eastAsia="Arial" w:hAnsi="Arial"/>
                <w:sz w:val="11"/>
                <w:szCs w:val="11"/>
                <w:b w:val="1"/>
                <w:bCs w:val="1"/>
                <w:color w:val="auto"/>
              </w:rPr>
              <w:t>Total (1)</w:t>
            </w:r>
          </w:p>
        </w:tc>
        <w:tc>
          <w:tcPr>
            <w:tcW w:w="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620" w:type="dxa"/>
            <w:vAlign w:val="bottom"/>
            <w:gridSpan w:val="3"/>
            <w:shd w:val="clear" w:color="auto" w:fill="CCEEFF"/>
          </w:tcPr>
          <w:p>
            <w:pPr>
              <w:ind w:left="220"/>
              <w:spacing w:after="0"/>
              <w:rPr>
                <w:sz w:val="20"/>
                <w:szCs w:val="20"/>
                <w:color w:val="auto"/>
              </w:rPr>
            </w:pPr>
            <w:r>
              <w:rPr>
                <w:rFonts w:ascii="Arial" w:cs="Arial" w:eastAsia="Arial" w:hAnsi="Arial"/>
                <w:sz w:val="11"/>
                <w:szCs w:val="11"/>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860" w:type="dxa"/>
            <w:vAlign w:val="bottom"/>
            <w:shd w:val="clear" w:color="auto" w:fill="CCEEFF"/>
          </w:tcPr>
          <w:p>
            <w:pPr>
              <w:ind w:left="680"/>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640" w:type="dxa"/>
            <w:vAlign w:val="bottom"/>
            <w:gridSpan w:val="3"/>
            <w:shd w:val="clear" w:color="auto" w:fill="CCEEFF"/>
          </w:tcPr>
          <w:p>
            <w:pPr>
              <w:ind w:left="180"/>
              <w:spacing w:after="0"/>
              <w:rPr>
                <w:sz w:val="20"/>
                <w:szCs w:val="20"/>
                <w:color w:val="auto"/>
              </w:rPr>
            </w:pPr>
            <w:r>
              <w:rPr>
                <w:rFonts w:ascii="Arial" w:cs="Arial" w:eastAsia="Arial" w:hAnsi="Arial"/>
                <w:sz w:val="11"/>
                <w:szCs w:val="11"/>
                <w:color w:val="auto"/>
              </w:rPr>
              <w:t>$</w:t>
            </w:r>
          </w:p>
        </w:tc>
        <w:tc>
          <w:tcPr>
            <w:tcW w:w="5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(4)</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105"/>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CEEFF"/>
          </w:tcPr>
          <w:p>
            <w:pPr>
              <w:ind w:left="600"/>
              <w:spacing w:after="0"/>
              <w:rPr>
                <w:sz w:val="20"/>
                <w:szCs w:val="20"/>
                <w:color w:val="auto"/>
              </w:rPr>
            </w:pPr>
            <w:r>
              <w:rPr>
                <w:rFonts w:ascii="Arial" w:cs="Arial" w:eastAsia="Arial" w:hAnsi="Arial"/>
                <w:sz w:val="11"/>
                <w:szCs w:val="11"/>
                <w:color w:val="auto"/>
              </w:rPr>
              <w:t>—</w:t>
            </w:r>
          </w:p>
        </w:tc>
      </w:tr>
      <w:tr>
        <w:trPr>
          <w:trHeight w:val="20"/>
        </w:trPr>
        <w:tc>
          <w:tcPr>
            <w:tcW w:w="23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bl>
    <w:p>
      <w:pPr>
        <w:spacing w:after="0" w:line="162" w:lineRule="exact"/>
        <w:rPr>
          <w:sz w:val="20"/>
          <w:szCs w:val="20"/>
          <w:color w:val="auto"/>
        </w:rPr>
      </w:pPr>
    </w:p>
    <w:p>
      <w:pPr>
        <w:ind w:left="260"/>
        <w:spacing w:after="0"/>
        <w:rPr>
          <w:sz w:val="20"/>
          <w:szCs w:val="20"/>
          <w:color w:val="auto"/>
        </w:rPr>
      </w:pPr>
      <w:r>
        <w:rPr>
          <w:rFonts w:ascii="Arial" w:cs="Arial" w:eastAsia="Arial" w:hAnsi="Arial"/>
          <w:sz w:val="14"/>
          <w:szCs w:val="14"/>
          <w:color w:val="auto"/>
        </w:rPr>
        <w:t>(1)  Weather hedge gains (losses) are recorded in Revenues in the Condensed Statements of Consolidated Income.</w:t>
      </w:r>
    </w:p>
    <w:p>
      <w:pPr>
        <w:spacing w:after="0" w:line="184"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(b) Derivative Fair Values and Income Statement Impacts</w:t>
      </w:r>
    </w:p>
    <w:p>
      <w:pPr>
        <w:spacing w:after="0" w:line="184" w:lineRule="exact"/>
        <w:rPr>
          <w:sz w:val="20"/>
          <w:szCs w:val="20"/>
          <w:color w:val="auto"/>
        </w:rPr>
      </w:pPr>
    </w:p>
    <w:p>
      <w:pPr>
        <w:jc w:val="both"/>
        <w:ind w:firstLine="259"/>
        <w:spacing w:after="0" w:line="288" w:lineRule="auto"/>
        <w:rPr>
          <w:sz w:val="20"/>
          <w:szCs w:val="20"/>
          <w:color w:val="auto"/>
        </w:rPr>
      </w:pPr>
      <w:r>
        <w:rPr>
          <w:rFonts w:ascii="Arial" w:cs="Arial" w:eastAsia="Arial" w:hAnsi="Arial"/>
          <w:sz w:val="14"/>
          <w:szCs w:val="14"/>
          <w:color w:val="auto"/>
        </w:rPr>
        <w:t>The following tables present information about derivative instruments and hedging activities. The first three tables provide a balance sheet overview of Derivative Assets and Liabilities, while the last two tables provide a breakdown of the related income statement impacts.</w:t>
      </w: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33</w:t>
      </w:r>
    </w:p>
    <w:p>
      <w:pPr>
        <w:sectPr>
          <w:pgSz w:w="11900" w:h="16838" w:orient="portrait"/>
          <w:cols w:equalWidth="0" w:num="1">
            <w:col w:w="11460"/>
          </w:cols>
          <w:pgMar w:left="220" w:top="129" w:right="219" w:bottom="1440" w:gutter="0" w:footer="0" w:header="0"/>
        </w:sectPr>
      </w:pPr>
    </w:p>
    <w:bookmarkStart w:id="43" w:name="page44"/>
    <w:bookmarkEnd w:id="43"/>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Fair Value of Derivative Instruments and Hedged Items</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CenterPoint Energy</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40" w:type="dxa"/>
            <w:vAlign w:val="bottom"/>
            <w:tcBorders>
              <w:bottom w:val="single" w:sz="8" w:color="auto"/>
            </w:tcBorders>
            <w:gridSpan w:val="5"/>
          </w:tcPr>
          <w:p>
            <w:pPr>
              <w:jc w:val="right"/>
              <w:ind w:right="663"/>
              <w:spacing w:after="0"/>
              <w:rPr>
                <w:sz w:val="20"/>
                <w:szCs w:val="20"/>
                <w:color w:val="auto"/>
              </w:rPr>
            </w:pPr>
            <w:r>
              <w:rPr>
                <w:rFonts w:ascii="Arial" w:cs="Arial" w:eastAsia="Arial" w:hAnsi="Arial"/>
                <w:sz w:val="11"/>
                <w:szCs w:val="11"/>
                <w:b w:val="1"/>
                <w:bCs w:val="1"/>
                <w:color w:val="auto"/>
              </w:rPr>
              <w:t>September 30, 2019</w:t>
            </w:r>
          </w:p>
        </w:tc>
        <w:tc>
          <w:tcPr>
            <w:tcW w:w="12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100" w:type="dxa"/>
            <w:vAlign w:val="bottom"/>
            <w:tcBorders>
              <w:bottom w:val="single" w:sz="8" w:color="auto"/>
            </w:tcBorders>
            <w:gridSpan w:val="4"/>
          </w:tcPr>
          <w:p>
            <w:pPr>
              <w:jc w:val="right"/>
              <w:ind w:right="643"/>
              <w:spacing w:after="0"/>
              <w:rPr>
                <w:sz w:val="20"/>
                <w:szCs w:val="20"/>
                <w:color w:val="auto"/>
              </w:rPr>
            </w:pPr>
            <w:r>
              <w:rPr>
                <w:rFonts w:ascii="Arial" w:cs="Arial" w:eastAsia="Arial" w:hAnsi="Arial"/>
                <w:sz w:val="11"/>
                <w:szCs w:val="11"/>
                <w:b w:val="1"/>
                <w:bCs w:val="1"/>
                <w:color w:val="auto"/>
              </w:rPr>
              <w:t>December 31, 2018</w:t>
            </w:r>
          </w:p>
        </w:tc>
        <w:tc>
          <w:tcPr>
            <w:tcW w:w="0" w:type="dxa"/>
            <w:vAlign w:val="bottom"/>
          </w:tcPr>
          <w:p>
            <w:pPr>
              <w:spacing w:after="0"/>
              <w:rPr>
                <w:sz w:val="1"/>
                <w:szCs w:val="1"/>
                <w:color w:val="auto"/>
              </w:rPr>
            </w:pPr>
          </w:p>
        </w:tc>
      </w:tr>
      <w:tr>
        <w:trPr>
          <w:trHeight w:val="118"/>
        </w:trPr>
        <w:tc>
          <w:tcPr>
            <w:tcW w:w="2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jc w:val="center"/>
              <w:ind w:left="263"/>
              <w:spacing w:after="0" w:line="119" w:lineRule="exact"/>
              <w:rPr>
                <w:sz w:val="20"/>
                <w:szCs w:val="20"/>
                <w:color w:val="auto"/>
              </w:rPr>
            </w:pPr>
            <w:r>
              <w:rPr>
                <w:rFonts w:ascii="Arial" w:cs="Arial" w:eastAsia="Arial" w:hAnsi="Arial"/>
                <w:sz w:val="11"/>
                <w:szCs w:val="11"/>
                <w:b w:val="1"/>
                <w:bCs w:val="1"/>
                <w:color w:val="auto"/>
                <w:w w:val="94"/>
              </w:rPr>
              <w:t>Derivative</w:t>
            </w: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80" w:type="dxa"/>
            <w:vAlign w:val="bottom"/>
            <w:gridSpan w:val="2"/>
          </w:tcPr>
          <w:p>
            <w:pPr>
              <w:ind w:left="140"/>
              <w:spacing w:after="0" w:line="119" w:lineRule="exact"/>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0"/>
                <w:szCs w:val="10"/>
                <w:color w:val="auto"/>
              </w:rPr>
            </w:pPr>
          </w:p>
        </w:tc>
        <w:tc>
          <w:tcPr>
            <w:tcW w:w="980" w:type="dxa"/>
            <w:vAlign w:val="bottom"/>
            <w:gridSpan w:val="2"/>
          </w:tcPr>
          <w:p>
            <w:pPr>
              <w:jc w:val="center"/>
              <w:ind w:right="380"/>
              <w:spacing w:after="0" w:line="119" w:lineRule="exact"/>
              <w:rPr>
                <w:sz w:val="20"/>
                <w:szCs w:val="20"/>
                <w:color w:val="auto"/>
              </w:rPr>
            </w:pPr>
            <w:r>
              <w:rPr>
                <w:rFonts w:ascii="Arial" w:cs="Arial" w:eastAsia="Arial" w:hAnsi="Arial"/>
                <w:sz w:val="11"/>
                <w:szCs w:val="11"/>
                <w:b w:val="1"/>
                <w:bCs w:val="1"/>
                <w:color w:val="auto"/>
                <w:w w:val="98"/>
              </w:rPr>
              <w:t>Derivative</w:t>
            </w:r>
          </w:p>
        </w:tc>
        <w:tc>
          <w:tcPr>
            <w:tcW w:w="180" w:type="dxa"/>
            <w:vAlign w:val="bottom"/>
          </w:tcPr>
          <w:p>
            <w:pPr>
              <w:spacing w:after="0"/>
              <w:rPr>
                <w:sz w:val="10"/>
                <w:szCs w:val="10"/>
                <w:color w:val="auto"/>
              </w:rPr>
            </w:pPr>
          </w:p>
        </w:tc>
        <w:tc>
          <w:tcPr>
            <w:tcW w:w="940" w:type="dxa"/>
            <w:vAlign w:val="bottom"/>
          </w:tcPr>
          <w:p>
            <w:pPr>
              <w:ind w:left="120"/>
              <w:spacing w:after="0" w:line="119" w:lineRule="exact"/>
              <w:rPr>
                <w:sz w:val="20"/>
                <w:szCs w:val="20"/>
                <w:color w:val="auto"/>
              </w:rPr>
            </w:pPr>
            <w:r>
              <w:rPr>
                <w:rFonts w:ascii="Arial" w:cs="Arial" w:eastAsia="Arial" w:hAnsi="Arial"/>
                <w:sz w:val="11"/>
                <w:szCs w:val="11"/>
                <w:b w:val="1"/>
                <w:bCs w:val="1"/>
                <w:color w:val="auto"/>
              </w:rPr>
              <w:t>Derivative</w:t>
            </w:r>
          </w:p>
        </w:tc>
        <w:tc>
          <w:tcPr>
            <w:tcW w:w="0" w:type="dxa"/>
            <w:vAlign w:val="bottom"/>
          </w:tcPr>
          <w:p>
            <w:pPr>
              <w:spacing w:after="0"/>
              <w:rPr>
                <w:sz w:val="1"/>
                <w:szCs w:val="1"/>
                <w:color w:val="auto"/>
              </w:rPr>
            </w:pPr>
          </w:p>
        </w:tc>
      </w:tr>
      <w:tr>
        <w:trPr>
          <w:trHeight w:val="119"/>
        </w:trPr>
        <w:tc>
          <w:tcPr>
            <w:tcW w:w="2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20" w:type="dxa"/>
            <w:vAlign w:val="bottom"/>
            <w:gridSpan w:val="2"/>
            <w:vMerge w:val="restart"/>
          </w:tcPr>
          <w:p>
            <w:pPr>
              <w:ind w:left="1380"/>
              <w:spacing w:after="0"/>
              <w:rPr>
                <w:sz w:val="20"/>
                <w:szCs w:val="20"/>
                <w:color w:val="auto"/>
              </w:rPr>
            </w:pPr>
            <w:r>
              <w:rPr>
                <w:rFonts w:ascii="Arial" w:cs="Arial" w:eastAsia="Arial" w:hAnsi="Arial"/>
                <w:sz w:val="11"/>
                <w:szCs w:val="11"/>
                <w:b w:val="1"/>
                <w:bCs w:val="1"/>
                <w:color w:val="auto"/>
              </w:rPr>
              <w:t>Balance Sheet Location</w:t>
            </w:r>
          </w:p>
        </w:tc>
        <w:tc>
          <w:tcPr>
            <w:tcW w:w="860" w:type="dxa"/>
            <w:vAlign w:val="bottom"/>
          </w:tcPr>
          <w:p>
            <w:pPr>
              <w:jc w:val="center"/>
              <w:ind w:left="263"/>
              <w:spacing w:after="0" w:line="119" w:lineRule="exact"/>
              <w:rPr>
                <w:sz w:val="20"/>
                <w:szCs w:val="20"/>
                <w:color w:val="auto"/>
              </w:rPr>
            </w:pPr>
            <w:r>
              <w:rPr>
                <w:rFonts w:ascii="Arial" w:cs="Arial" w:eastAsia="Arial" w:hAnsi="Arial"/>
                <w:sz w:val="11"/>
                <w:szCs w:val="11"/>
                <w:b w:val="1"/>
                <w:bCs w:val="1"/>
                <w:color w:val="auto"/>
                <w:w w:val="83"/>
              </w:rPr>
              <w:t>Assets</w:t>
            </w: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80" w:type="dxa"/>
            <w:vAlign w:val="bottom"/>
            <w:gridSpan w:val="2"/>
          </w:tcPr>
          <w:p>
            <w:pPr>
              <w:ind w:left="140"/>
              <w:spacing w:after="0" w:line="119" w:lineRule="exact"/>
              <w:rPr>
                <w:sz w:val="20"/>
                <w:szCs w:val="20"/>
                <w:color w:val="auto"/>
              </w:rPr>
            </w:pPr>
            <w:r>
              <w:rPr>
                <w:rFonts w:ascii="Arial" w:cs="Arial" w:eastAsia="Arial" w:hAnsi="Arial"/>
                <w:sz w:val="11"/>
                <w:szCs w:val="11"/>
                <w:b w:val="1"/>
                <w:bCs w:val="1"/>
                <w:color w:val="auto"/>
              </w:rPr>
              <w:t>Liabilities</w:t>
            </w:r>
          </w:p>
        </w:tc>
        <w:tc>
          <w:tcPr>
            <w:tcW w:w="260" w:type="dxa"/>
            <w:vAlign w:val="bottom"/>
          </w:tcPr>
          <w:p>
            <w:pPr>
              <w:spacing w:after="0"/>
              <w:rPr>
                <w:sz w:val="10"/>
                <w:szCs w:val="10"/>
                <w:color w:val="auto"/>
              </w:rPr>
            </w:pPr>
          </w:p>
        </w:tc>
        <w:tc>
          <w:tcPr>
            <w:tcW w:w="980" w:type="dxa"/>
            <w:vAlign w:val="bottom"/>
            <w:gridSpan w:val="2"/>
          </w:tcPr>
          <w:p>
            <w:pPr>
              <w:jc w:val="center"/>
              <w:ind w:right="400"/>
              <w:spacing w:after="0" w:line="119" w:lineRule="exact"/>
              <w:rPr>
                <w:sz w:val="20"/>
                <w:szCs w:val="20"/>
                <w:color w:val="auto"/>
              </w:rPr>
            </w:pPr>
            <w:r>
              <w:rPr>
                <w:rFonts w:ascii="Arial" w:cs="Arial" w:eastAsia="Arial" w:hAnsi="Arial"/>
                <w:sz w:val="11"/>
                <w:szCs w:val="11"/>
                <w:b w:val="1"/>
                <w:bCs w:val="1"/>
                <w:color w:val="auto"/>
                <w:w w:val="83"/>
              </w:rPr>
              <w:t>Assets</w:t>
            </w:r>
          </w:p>
        </w:tc>
        <w:tc>
          <w:tcPr>
            <w:tcW w:w="180" w:type="dxa"/>
            <w:vAlign w:val="bottom"/>
          </w:tcPr>
          <w:p>
            <w:pPr>
              <w:spacing w:after="0"/>
              <w:rPr>
                <w:sz w:val="10"/>
                <w:szCs w:val="10"/>
                <w:color w:val="auto"/>
              </w:rPr>
            </w:pPr>
          </w:p>
        </w:tc>
        <w:tc>
          <w:tcPr>
            <w:tcW w:w="940" w:type="dxa"/>
            <w:vAlign w:val="bottom"/>
          </w:tcPr>
          <w:p>
            <w:pPr>
              <w:ind w:left="140"/>
              <w:spacing w:after="0" w:line="119" w:lineRule="exact"/>
              <w:rPr>
                <w:sz w:val="20"/>
                <w:szCs w:val="20"/>
                <w:color w:val="auto"/>
              </w:rPr>
            </w:pPr>
            <w:r>
              <w:rPr>
                <w:rFonts w:ascii="Arial" w:cs="Arial" w:eastAsia="Arial" w:hAnsi="Arial"/>
                <w:sz w:val="11"/>
                <w:szCs w:val="11"/>
                <w:b w:val="1"/>
                <w:bCs w:val="1"/>
                <w:color w:val="auto"/>
              </w:rPr>
              <w:t>Liabilities</w:t>
            </w:r>
          </w:p>
        </w:tc>
        <w:tc>
          <w:tcPr>
            <w:tcW w:w="0" w:type="dxa"/>
            <w:vAlign w:val="bottom"/>
          </w:tcPr>
          <w:p>
            <w:pPr>
              <w:spacing w:after="0"/>
              <w:rPr>
                <w:sz w:val="1"/>
                <w:szCs w:val="1"/>
                <w:color w:val="auto"/>
              </w:rPr>
            </w:pPr>
          </w:p>
        </w:tc>
      </w:tr>
      <w:tr>
        <w:trPr>
          <w:trHeight w:val="153"/>
        </w:trPr>
        <w:tc>
          <w:tcPr>
            <w:tcW w:w="2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20" w:type="dxa"/>
            <w:vAlign w:val="bottom"/>
            <w:gridSpan w:val="2"/>
            <w:vMerge w:val="continue"/>
          </w:tcPr>
          <w:p>
            <w:pPr>
              <w:spacing w:after="0"/>
              <w:rPr>
                <w:sz w:val="13"/>
                <w:szCs w:val="13"/>
                <w:color w:val="auto"/>
              </w:rPr>
            </w:pPr>
          </w:p>
        </w:tc>
        <w:tc>
          <w:tcPr>
            <w:tcW w:w="860" w:type="dxa"/>
            <w:vAlign w:val="bottom"/>
          </w:tcPr>
          <w:p>
            <w:pPr>
              <w:jc w:val="center"/>
              <w:ind w:left="263"/>
              <w:spacing w:after="0"/>
              <w:rPr>
                <w:sz w:val="20"/>
                <w:szCs w:val="20"/>
                <w:color w:val="auto"/>
              </w:rPr>
            </w:pPr>
            <w:r>
              <w:rPr>
                <w:rFonts w:ascii="Arial" w:cs="Arial" w:eastAsia="Arial" w:hAnsi="Arial"/>
                <w:sz w:val="11"/>
                <w:szCs w:val="11"/>
                <w:b w:val="1"/>
                <w:bCs w:val="1"/>
                <w:color w:val="auto"/>
                <w:w w:val="94"/>
              </w:rPr>
              <w:t>Fair Value</w:t>
            </w: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gridSpan w:val="2"/>
          </w:tcPr>
          <w:p>
            <w:pPr>
              <w:ind w:left="120"/>
              <w:spacing w:after="0"/>
              <w:rPr>
                <w:sz w:val="20"/>
                <w:szCs w:val="20"/>
                <w:color w:val="auto"/>
              </w:rPr>
            </w:pPr>
            <w:r>
              <w:rPr>
                <w:rFonts w:ascii="Arial" w:cs="Arial" w:eastAsia="Arial" w:hAnsi="Arial"/>
                <w:sz w:val="11"/>
                <w:szCs w:val="11"/>
                <w:b w:val="1"/>
                <w:bCs w:val="1"/>
                <w:color w:val="auto"/>
              </w:rPr>
              <w:t>Fair Value</w:t>
            </w:r>
          </w:p>
        </w:tc>
        <w:tc>
          <w:tcPr>
            <w:tcW w:w="260" w:type="dxa"/>
            <w:vAlign w:val="bottom"/>
          </w:tcPr>
          <w:p>
            <w:pPr>
              <w:spacing w:after="0"/>
              <w:rPr>
                <w:sz w:val="13"/>
                <w:szCs w:val="13"/>
                <w:color w:val="auto"/>
              </w:rPr>
            </w:pPr>
          </w:p>
        </w:tc>
        <w:tc>
          <w:tcPr>
            <w:tcW w:w="980" w:type="dxa"/>
            <w:vAlign w:val="bottom"/>
            <w:gridSpan w:val="2"/>
          </w:tcPr>
          <w:p>
            <w:pPr>
              <w:jc w:val="center"/>
              <w:ind w:right="380"/>
              <w:spacing w:after="0"/>
              <w:rPr>
                <w:sz w:val="20"/>
                <w:szCs w:val="20"/>
                <w:color w:val="auto"/>
              </w:rPr>
            </w:pPr>
            <w:r>
              <w:rPr>
                <w:rFonts w:ascii="Arial" w:cs="Arial" w:eastAsia="Arial" w:hAnsi="Arial"/>
                <w:sz w:val="11"/>
                <w:szCs w:val="11"/>
                <w:b w:val="1"/>
                <w:bCs w:val="1"/>
                <w:color w:val="auto"/>
                <w:w w:val="98"/>
              </w:rPr>
              <w:t>Fair Value</w:t>
            </w:r>
          </w:p>
        </w:tc>
        <w:tc>
          <w:tcPr>
            <w:tcW w:w="180" w:type="dxa"/>
            <w:vAlign w:val="bottom"/>
          </w:tcPr>
          <w:p>
            <w:pPr>
              <w:spacing w:after="0"/>
              <w:rPr>
                <w:sz w:val="13"/>
                <w:szCs w:val="13"/>
                <w:color w:val="auto"/>
              </w:rPr>
            </w:pPr>
          </w:p>
        </w:tc>
        <w:tc>
          <w:tcPr>
            <w:tcW w:w="940" w:type="dxa"/>
            <w:vAlign w:val="bottom"/>
          </w:tcPr>
          <w:p>
            <w:pPr>
              <w:ind w:left="120"/>
              <w:spacing w:after="0"/>
              <w:rPr>
                <w:sz w:val="20"/>
                <w:szCs w:val="20"/>
                <w:color w:val="auto"/>
              </w:rPr>
            </w:pPr>
            <w:r>
              <w:rPr>
                <w:rFonts w:ascii="Arial" w:cs="Arial" w:eastAsia="Arial" w:hAnsi="Arial"/>
                <w:sz w:val="11"/>
                <w:szCs w:val="11"/>
                <w:b w:val="1"/>
                <w:bCs w:val="1"/>
                <w:color w:val="auto"/>
              </w:rPr>
              <w:t>Fair Value</w:t>
            </w:r>
          </w:p>
        </w:tc>
        <w:tc>
          <w:tcPr>
            <w:tcW w:w="0" w:type="dxa"/>
            <w:vAlign w:val="bottom"/>
          </w:tcPr>
          <w:p>
            <w:pPr>
              <w:spacing w:after="0"/>
              <w:rPr>
                <w:sz w:val="1"/>
                <w:szCs w:val="1"/>
                <w:color w:val="auto"/>
              </w:rPr>
            </w:pPr>
          </w:p>
        </w:tc>
      </w:tr>
      <w:tr>
        <w:trPr>
          <w:trHeight w:val="148"/>
        </w:trPr>
        <w:tc>
          <w:tcPr>
            <w:tcW w:w="2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9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340" w:type="dxa"/>
            <w:vAlign w:val="bottom"/>
            <w:tcBorders>
              <w:top w:val="single" w:sz="8" w:color="auto"/>
            </w:tcBorders>
            <w:gridSpan w:val="3"/>
          </w:tcPr>
          <w:p>
            <w:pPr>
              <w:ind w:left="700"/>
              <w:spacing w:after="0"/>
              <w:rPr>
                <w:sz w:val="20"/>
                <w:szCs w:val="20"/>
                <w:color w:val="auto"/>
              </w:rPr>
            </w:pPr>
            <w:r>
              <w:rPr>
                <w:rFonts w:ascii="Arial" w:cs="Arial" w:eastAsia="Arial" w:hAnsi="Arial"/>
                <w:sz w:val="11"/>
                <w:szCs w:val="11"/>
                <w:b w:val="1"/>
                <w:bCs w:val="1"/>
                <w:color w:val="auto"/>
              </w:rPr>
              <w:t>(in millions)</w:t>
            </w:r>
          </w:p>
        </w:tc>
        <w:tc>
          <w:tcPr>
            <w:tcW w:w="8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220" w:type="dxa"/>
            <w:vAlign w:val="bottom"/>
          </w:tcPr>
          <w:p>
            <w:pPr>
              <w:ind w:left="20"/>
              <w:spacing w:after="0"/>
              <w:rPr>
                <w:sz w:val="20"/>
                <w:szCs w:val="20"/>
                <w:color w:val="auto"/>
              </w:rPr>
            </w:pPr>
            <w:r>
              <w:rPr>
                <w:rFonts w:ascii="Arial" w:cs="Arial" w:eastAsia="Arial" w:hAnsi="Arial"/>
                <w:sz w:val="11"/>
                <w:szCs w:val="11"/>
                <w:b w:val="1"/>
                <w:bCs w:val="1"/>
                <w:color w:val="auto"/>
                <w:w w:val="93"/>
              </w:rPr>
              <w:t>Derivatives designated as cash flow hedges:</w:t>
            </w:r>
          </w:p>
        </w:tc>
        <w:tc>
          <w:tcPr>
            <w:tcW w:w="30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3"/>
        </w:trPr>
        <w:tc>
          <w:tcPr>
            <w:tcW w:w="2220" w:type="dxa"/>
            <w:vAlign w:val="bottom"/>
          </w:tcPr>
          <w:p>
            <w:pPr>
              <w:spacing w:after="0"/>
              <w:rPr>
                <w:sz w:val="5"/>
                <w:szCs w:val="5"/>
                <w:color w:val="auto"/>
              </w:rPr>
            </w:pPr>
          </w:p>
        </w:tc>
        <w:tc>
          <w:tcPr>
            <w:tcW w:w="300" w:type="dxa"/>
            <w:vAlign w:val="bottom"/>
          </w:tcPr>
          <w:p>
            <w:pPr>
              <w:spacing w:after="0"/>
              <w:rPr>
                <w:sz w:val="5"/>
                <w:szCs w:val="5"/>
                <w:color w:val="auto"/>
              </w:rPr>
            </w:pPr>
          </w:p>
        </w:tc>
        <w:tc>
          <w:tcPr>
            <w:tcW w:w="3900" w:type="dxa"/>
            <w:vAlign w:val="bottom"/>
          </w:tcPr>
          <w:p>
            <w:pPr>
              <w:spacing w:after="0"/>
              <w:rPr>
                <w:sz w:val="5"/>
                <w:szCs w:val="5"/>
                <w:color w:val="auto"/>
              </w:rPr>
            </w:pPr>
          </w:p>
        </w:tc>
        <w:tc>
          <w:tcPr>
            <w:tcW w:w="120" w:type="dxa"/>
            <w:vAlign w:val="bottom"/>
          </w:tcPr>
          <w:p>
            <w:pPr>
              <w:spacing w:after="0"/>
              <w:rPr>
                <w:sz w:val="5"/>
                <w:szCs w:val="5"/>
                <w:color w:val="auto"/>
              </w:rPr>
            </w:pPr>
          </w:p>
        </w:tc>
        <w:tc>
          <w:tcPr>
            <w:tcW w:w="8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9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8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3"/>
        </w:trPr>
        <w:tc>
          <w:tcPr>
            <w:tcW w:w="2220" w:type="dxa"/>
            <w:vAlign w:val="bottom"/>
            <w:shd w:val="clear" w:color="auto" w:fill="CCEEFF"/>
          </w:tcPr>
          <w:p>
            <w:pPr>
              <w:ind w:left="20"/>
              <w:spacing w:after="0"/>
              <w:rPr>
                <w:sz w:val="20"/>
                <w:szCs w:val="20"/>
                <w:color w:val="auto"/>
              </w:rPr>
            </w:pPr>
            <w:r>
              <w:rPr>
                <w:rFonts w:ascii="Arial" w:cs="Arial" w:eastAsia="Arial" w:hAnsi="Arial"/>
                <w:sz w:val="11"/>
                <w:szCs w:val="11"/>
                <w:color w:val="auto"/>
              </w:rPr>
              <w:t>Interest rate derivatives</w:t>
            </w:r>
          </w:p>
        </w:tc>
        <w:tc>
          <w:tcPr>
            <w:tcW w:w="300" w:type="dxa"/>
            <w:vAlign w:val="bottom"/>
            <w:shd w:val="clear" w:color="auto" w:fill="CCEEFF"/>
          </w:tcPr>
          <w:p>
            <w:pPr>
              <w:spacing w:after="0"/>
              <w:rPr>
                <w:sz w:val="13"/>
                <w:szCs w:val="13"/>
                <w:color w:val="auto"/>
              </w:rPr>
            </w:pPr>
          </w:p>
        </w:tc>
        <w:tc>
          <w:tcPr>
            <w:tcW w:w="4020" w:type="dxa"/>
            <w:vAlign w:val="bottom"/>
            <w:gridSpan w:val="2"/>
            <w:vMerge w:val="restart"/>
            <w:shd w:val="clear" w:color="auto" w:fill="CCEEFF"/>
          </w:tcPr>
          <w:p>
            <w:pPr>
              <w:ind w:left="20"/>
              <w:spacing w:after="0"/>
              <w:rPr>
                <w:sz w:val="20"/>
                <w:szCs w:val="20"/>
                <w:color w:val="auto"/>
              </w:rPr>
            </w:pPr>
            <w:r>
              <w:rPr>
                <w:rFonts w:ascii="Arial" w:cs="Arial" w:eastAsia="Arial" w:hAnsi="Arial"/>
                <w:sz w:val="11"/>
                <w:szCs w:val="11"/>
                <w:color w:val="auto"/>
              </w:rPr>
              <w:t>Current Liabilities: Non-trading derivative liabilities</w:t>
            </w:r>
          </w:p>
        </w:tc>
        <w:tc>
          <w:tcPr>
            <w:tcW w:w="860" w:type="dxa"/>
            <w:vAlign w:val="bottom"/>
            <w:vMerge w:val="restart"/>
            <w:shd w:val="clear" w:color="auto" w:fill="CCEEFF"/>
          </w:tcPr>
          <w:p>
            <w:pPr>
              <w:jc w:val="right"/>
              <w:ind w:right="723"/>
              <w:spacing w:after="0"/>
              <w:rPr>
                <w:sz w:val="20"/>
                <w:szCs w:val="20"/>
                <w:color w:val="auto"/>
              </w:rPr>
            </w:pPr>
            <w:r>
              <w:rPr>
                <w:rFonts w:ascii="Arial" w:cs="Arial" w:eastAsia="Arial" w:hAnsi="Arial"/>
                <w:sz w:val="11"/>
                <w:szCs w:val="11"/>
                <w:color w:val="auto"/>
                <w:w w:val="97"/>
              </w:rPr>
              <w:t>$</w:t>
            </w:r>
          </w:p>
        </w:tc>
        <w:tc>
          <w:tcPr>
            <w:tcW w:w="4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80" w:type="dxa"/>
            <w:vAlign w:val="bottom"/>
            <w:vMerge w:val="restart"/>
            <w:shd w:val="clear" w:color="auto" w:fill="CCEEFF"/>
          </w:tcPr>
          <w:p>
            <w:pPr>
              <w:jc w:val="right"/>
              <w:ind w:right="68"/>
              <w:spacing w:after="0"/>
              <w:rPr>
                <w:sz w:val="20"/>
                <w:szCs w:val="20"/>
                <w:color w:val="auto"/>
              </w:rPr>
            </w:pPr>
            <w:r>
              <w:rPr>
                <w:rFonts w:ascii="Arial" w:cs="Arial" w:eastAsia="Arial" w:hAnsi="Arial"/>
                <w:sz w:val="10"/>
                <w:szCs w:val="10"/>
                <w:color w:val="auto"/>
                <w:w w:val="71"/>
              </w:rPr>
              <w:t>$</w:t>
            </w:r>
          </w:p>
        </w:tc>
        <w:tc>
          <w:tcPr>
            <w:tcW w:w="10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260" w:type="dxa"/>
            <w:vAlign w:val="bottom"/>
            <w:vMerge w:val="restart"/>
            <w:shd w:val="clear" w:color="auto" w:fill="CCEEFF"/>
          </w:tcPr>
          <w:p>
            <w:pPr>
              <w:jc w:val="right"/>
              <w:ind w:right="123"/>
              <w:spacing w:after="0"/>
              <w:rPr>
                <w:sz w:val="20"/>
                <w:szCs w:val="20"/>
                <w:color w:val="auto"/>
              </w:rPr>
            </w:pPr>
            <w:r>
              <w:rPr>
                <w:rFonts w:ascii="Arial" w:cs="Arial" w:eastAsia="Arial" w:hAnsi="Arial"/>
                <w:sz w:val="11"/>
                <w:szCs w:val="11"/>
                <w:color w:val="auto"/>
                <w:w w:val="97"/>
              </w:rPr>
              <w:t>$</w:t>
            </w:r>
          </w:p>
        </w:tc>
        <w:tc>
          <w:tcPr>
            <w:tcW w:w="9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80" w:type="dxa"/>
            <w:vAlign w:val="bottom"/>
            <w:vMerge w:val="restart"/>
            <w:shd w:val="clear" w:color="auto" w:fill="CCEEFF"/>
          </w:tcPr>
          <w:p>
            <w:pPr>
              <w:jc w:val="right"/>
              <w:ind w:right="68"/>
              <w:spacing w:after="0"/>
              <w:rPr>
                <w:sz w:val="20"/>
                <w:szCs w:val="20"/>
                <w:color w:val="auto"/>
              </w:rPr>
            </w:pPr>
            <w:r>
              <w:rPr>
                <w:rFonts w:ascii="Arial" w:cs="Arial" w:eastAsia="Arial" w:hAnsi="Arial"/>
                <w:sz w:val="10"/>
                <w:szCs w:val="10"/>
                <w:color w:val="auto"/>
                <w:w w:val="71"/>
              </w:rPr>
              <w:t>$</w:t>
            </w:r>
          </w:p>
        </w:tc>
        <w:tc>
          <w:tcPr>
            <w:tcW w:w="940" w:type="dxa"/>
            <w:vAlign w:val="bottom"/>
            <w:vMerge w:val="restart"/>
            <w:shd w:val="clear" w:color="auto" w:fill="CCEEFF"/>
          </w:tcPr>
          <w:p>
            <w:pPr>
              <w:jc w:val="right"/>
              <w:ind w:right="43"/>
              <w:spacing w:after="0"/>
              <w:rPr>
                <w:sz w:val="20"/>
                <w:szCs w:val="20"/>
                <w:color w:val="auto"/>
              </w:rPr>
            </w:pPr>
            <w:r>
              <w:rPr>
                <w:rFonts w:ascii="Arial" w:cs="Arial" w:eastAsia="Arial" w:hAnsi="Arial"/>
                <w:sz w:val="11"/>
                <w:szCs w:val="11"/>
                <w:color w:val="auto"/>
              </w:rPr>
              <w:t>24</w:t>
            </w:r>
          </w:p>
        </w:tc>
        <w:tc>
          <w:tcPr>
            <w:tcW w:w="0" w:type="dxa"/>
            <w:vAlign w:val="bottom"/>
          </w:tcPr>
          <w:p>
            <w:pPr>
              <w:spacing w:after="0"/>
              <w:rPr>
                <w:sz w:val="1"/>
                <w:szCs w:val="1"/>
                <w:color w:val="auto"/>
              </w:rPr>
            </w:pPr>
          </w:p>
        </w:tc>
      </w:tr>
      <w:tr>
        <w:trPr>
          <w:trHeight w:val="63"/>
        </w:trPr>
        <w:tc>
          <w:tcPr>
            <w:tcW w:w="222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4020" w:type="dxa"/>
            <w:vAlign w:val="bottom"/>
            <w:gridSpan w:val="2"/>
            <w:vMerge w:val="continue"/>
            <w:shd w:val="clear" w:color="auto" w:fill="CCEEFF"/>
          </w:tcPr>
          <w:p>
            <w:pPr>
              <w:spacing w:after="0"/>
              <w:rPr>
                <w:sz w:val="5"/>
                <w:szCs w:val="5"/>
                <w:color w:val="auto"/>
              </w:rPr>
            </w:pPr>
          </w:p>
        </w:tc>
        <w:tc>
          <w:tcPr>
            <w:tcW w:w="860" w:type="dxa"/>
            <w:vAlign w:val="bottom"/>
            <w:vMerge w:val="continue"/>
            <w:shd w:val="clear" w:color="auto" w:fill="CCEEFF"/>
          </w:tcPr>
          <w:p>
            <w:pPr>
              <w:spacing w:after="0"/>
              <w:rPr>
                <w:sz w:val="5"/>
                <w:szCs w:val="5"/>
                <w:color w:val="auto"/>
              </w:rPr>
            </w:pPr>
          </w:p>
        </w:tc>
        <w:tc>
          <w:tcPr>
            <w:tcW w:w="440" w:type="dxa"/>
            <w:vAlign w:val="bottom"/>
            <w:gridSpan w:val="2"/>
            <w:vMerge w:val="continue"/>
            <w:shd w:val="clear" w:color="auto" w:fill="CCEEFF"/>
          </w:tcPr>
          <w:p>
            <w:pPr>
              <w:spacing w:after="0"/>
              <w:rPr>
                <w:sz w:val="5"/>
                <w:szCs w:val="5"/>
                <w:color w:val="auto"/>
              </w:rPr>
            </w:pPr>
          </w:p>
        </w:tc>
        <w:tc>
          <w:tcPr>
            <w:tcW w:w="180" w:type="dxa"/>
            <w:vAlign w:val="bottom"/>
            <w:vMerge w:val="continue"/>
            <w:shd w:val="clear" w:color="auto" w:fill="CCEEFF"/>
          </w:tcPr>
          <w:p>
            <w:pPr>
              <w:spacing w:after="0"/>
              <w:rPr>
                <w:sz w:val="5"/>
                <w:szCs w:val="5"/>
                <w:color w:val="auto"/>
              </w:rPr>
            </w:pPr>
          </w:p>
        </w:tc>
        <w:tc>
          <w:tcPr>
            <w:tcW w:w="1080" w:type="dxa"/>
            <w:vAlign w:val="bottom"/>
            <w:gridSpan w:val="2"/>
            <w:vMerge w:val="continue"/>
            <w:shd w:val="clear" w:color="auto" w:fill="CCEEFF"/>
          </w:tcPr>
          <w:p>
            <w:pPr>
              <w:spacing w:after="0"/>
              <w:rPr>
                <w:sz w:val="5"/>
                <w:szCs w:val="5"/>
                <w:color w:val="auto"/>
              </w:rPr>
            </w:pPr>
          </w:p>
        </w:tc>
        <w:tc>
          <w:tcPr>
            <w:tcW w:w="260" w:type="dxa"/>
            <w:vAlign w:val="bottom"/>
            <w:vMerge w:val="continue"/>
            <w:shd w:val="clear" w:color="auto" w:fill="CCEEFF"/>
          </w:tcPr>
          <w:p>
            <w:pPr>
              <w:spacing w:after="0"/>
              <w:rPr>
                <w:sz w:val="5"/>
                <w:szCs w:val="5"/>
                <w:color w:val="auto"/>
              </w:rPr>
            </w:pPr>
          </w:p>
        </w:tc>
        <w:tc>
          <w:tcPr>
            <w:tcW w:w="980" w:type="dxa"/>
            <w:vAlign w:val="bottom"/>
            <w:gridSpan w:val="2"/>
            <w:vMerge w:val="continue"/>
            <w:shd w:val="clear" w:color="auto" w:fill="CCEEFF"/>
          </w:tcPr>
          <w:p>
            <w:pPr>
              <w:spacing w:after="0"/>
              <w:rPr>
                <w:sz w:val="5"/>
                <w:szCs w:val="5"/>
                <w:color w:val="auto"/>
              </w:rPr>
            </w:pPr>
          </w:p>
        </w:tc>
        <w:tc>
          <w:tcPr>
            <w:tcW w:w="180" w:type="dxa"/>
            <w:vAlign w:val="bottom"/>
            <w:vMerge w:val="continue"/>
            <w:shd w:val="clear" w:color="auto" w:fill="CCEEFF"/>
          </w:tcPr>
          <w:p>
            <w:pPr>
              <w:spacing w:after="0"/>
              <w:rPr>
                <w:sz w:val="5"/>
                <w:szCs w:val="5"/>
                <w:color w:val="auto"/>
              </w:rPr>
            </w:pPr>
          </w:p>
        </w:tc>
        <w:tc>
          <w:tcPr>
            <w:tcW w:w="94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53"/>
        </w:trPr>
        <w:tc>
          <w:tcPr>
            <w:tcW w:w="2220" w:type="dxa"/>
            <w:vAlign w:val="bottom"/>
          </w:tcPr>
          <w:p>
            <w:pPr>
              <w:ind w:left="20"/>
              <w:spacing w:after="0"/>
              <w:rPr>
                <w:sz w:val="20"/>
                <w:szCs w:val="20"/>
                <w:color w:val="auto"/>
              </w:rPr>
            </w:pPr>
            <w:r>
              <w:rPr>
                <w:rFonts w:ascii="Arial" w:cs="Arial" w:eastAsia="Arial" w:hAnsi="Arial"/>
                <w:sz w:val="11"/>
                <w:szCs w:val="11"/>
                <w:b w:val="1"/>
                <w:bCs w:val="1"/>
                <w:color w:val="auto"/>
                <w:w w:val="94"/>
              </w:rPr>
              <w:t>Derivatives designated as fair value hedges:</w:t>
            </w:r>
          </w:p>
        </w:tc>
        <w:tc>
          <w:tcPr>
            <w:tcW w:w="300" w:type="dxa"/>
            <w:vAlign w:val="bottom"/>
          </w:tcPr>
          <w:p>
            <w:pPr>
              <w:spacing w:after="0"/>
              <w:rPr>
                <w:sz w:val="13"/>
                <w:szCs w:val="13"/>
                <w:color w:val="auto"/>
              </w:rPr>
            </w:pPr>
          </w:p>
        </w:tc>
        <w:tc>
          <w:tcPr>
            <w:tcW w:w="3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2220" w:type="dxa"/>
            <w:vAlign w:val="bottom"/>
          </w:tcPr>
          <w:p>
            <w:pPr>
              <w:spacing w:after="0"/>
              <w:rPr>
                <w:sz w:val="5"/>
                <w:szCs w:val="5"/>
                <w:color w:val="auto"/>
              </w:rPr>
            </w:pPr>
          </w:p>
        </w:tc>
        <w:tc>
          <w:tcPr>
            <w:tcW w:w="300" w:type="dxa"/>
            <w:vAlign w:val="bottom"/>
          </w:tcPr>
          <w:p>
            <w:pPr>
              <w:spacing w:after="0"/>
              <w:rPr>
                <w:sz w:val="5"/>
                <w:szCs w:val="5"/>
                <w:color w:val="auto"/>
              </w:rPr>
            </w:pPr>
          </w:p>
        </w:tc>
        <w:tc>
          <w:tcPr>
            <w:tcW w:w="3900" w:type="dxa"/>
            <w:vAlign w:val="bottom"/>
          </w:tcPr>
          <w:p>
            <w:pPr>
              <w:spacing w:after="0"/>
              <w:rPr>
                <w:sz w:val="5"/>
                <w:szCs w:val="5"/>
                <w:color w:val="auto"/>
              </w:rPr>
            </w:pPr>
          </w:p>
        </w:tc>
        <w:tc>
          <w:tcPr>
            <w:tcW w:w="120" w:type="dxa"/>
            <w:vAlign w:val="bottom"/>
          </w:tcPr>
          <w:p>
            <w:pPr>
              <w:spacing w:after="0"/>
              <w:rPr>
                <w:sz w:val="5"/>
                <w:szCs w:val="5"/>
                <w:color w:val="auto"/>
              </w:rPr>
            </w:pPr>
          </w:p>
        </w:tc>
        <w:tc>
          <w:tcPr>
            <w:tcW w:w="8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9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8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220" w:type="dxa"/>
            <w:vAlign w:val="bottom"/>
            <w:shd w:val="clear" w:color="auto" w:fill="CCEEFF"/>
          </w:tcPr>
          <w:p>
            <w:pPr>
              <w:ind w:left="20"/>
              <w:spacing w:after="0"/>
              <w:rPr>
                <w:sz w:val="20"/>
                <w:szCs w:val="20"/>
                <w:color w:val="auto"/>
              </w:rPr>
            </w:pPr>
            <w:r>
              <w:rPr>
                <w:rFonts w:ascii="Arial" w:cs="Arial" w:eastAsia="Arial" w:hAnsi="Arial"/>
                <w:sz w:val="11"/>
                <w:szCs w:val="11"/>
                <w:color w:val="auto"/>
              </w:rPr>
              <w:t>Natural gas derivatives (1) (2) (3)</w:t>
            </w:r>
          </w:p>
        </w:tc>
        <w:tc>
          <w:tcPr>
            <w:tcW w:w="300" w:type="dxa"/>
            <w:vAlign w:val="bottom"/>
            <w:shd w:val="clear" w:color="auto" w:fill="CCEEFF"/>
          </w:tcPr>
          <w:p>
            <w:pPr>
              <w:spacing w:after="0"/>
              <w:rPr>
                <w:sz w:val="18"/>
                <w:szCs w:val="18"/>
                <w:color w:val="auto"/>
              </w:rPr>
            </w:pPr>
          </w:p>
        </w:tc>
        <w:tc>
          <w:tcPr>
            <w:tcW w:w="402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Current Liabilities: Non-trading derivative liabilities</w:t>
            </w:r>
          </w:p>
        </w:tc>
        <w:tc>
          <w:tcPr>
            <w:tcW w:w="86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7</w:t>
            </w:r>
          </w:p>
        </w:tc>
        <w:tc>
          <w:tcPr>
            <w:tcW w:w="0" w:type="dxa"/>
            <w:vAlign w:val="bottom"/>
          </w:tcPr>
          <w:p>
            <w:pPr>
              <w:spacing w:after="0"/>
              <w:rPr>
                <w:sz w:val="1"/>
                <w:szCs w:val="1"/>
                <w:color w:val="auto"/>
              </w:rPr>
            </w:pPr>
          </w:p>
        </w:tc>
      </w:tr>
      <w:tr>
        <w:trPr>
          <w:trHeight w:val="211"/>
        </w:trPr>
        <w:tc>
          <w:tcPr>
            <w:tcW w:w="6540" w:type="dxa"/>
            <w:vAlign w:val="bottom"/>
            <w:gridSpan w:val="4"/>
          </w:tcPr>
          <w:p>
            <w:pPr>
              <w:ind w:left="20"/>
              <w:spacing w:after="0"/>
              <w:rPr>
                <w:sz w:val="20"/>
                <w:szCs w:val="20"/>
                <w:color w:val="auto"/>
              </w:rPr>
            </w:pPr>
            <w:r>
              <w:rPr>
                <w:rFonts w:ascii="Arial" w:cs="Arial" w:eastAsia="Arial" w:hAnsi="Arial"/>
                <w:sz w:val="11"/>
                <w:szCs w:val="11"/>
                <w:b w:val="1"/>
                <w:bCs w:val="1"/>
                <w:color w:val="auto"/>
              </w:rPr>
              <w:t>Derivatives not designated as hedging instruments:</w:t>
            </w: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220" w:type="dxa"/>
            <w:vAlign w:val="bottom"/>
            <w:shd w:val="clear" w:color="auto" w:fill="CCEEFF"/>
          </w:tcPr>
          <w:p>
            <w:pPr>
              <w:ind w:left="20"/>
              <w:spacing w:after="0"/>
              <w:rPr>
                <w:sz w:val="20"/>
                <w:szCs w:val="20"/>
                <w:color w:val="auto"/>
              </w:rPr>
            </w:pPr>
            <w:r>
              <w:rPr>
                <w:rFonts w:ascii="Arial" w:cs="Arial" w:eastAsia="Arial" w:hAnsi="Arial"/>
                <w:sz w:val="11"/>
                <w:szCs w:val="11"/>
                <w:color w:val="auto"/>
              </w:rPr>
              <w:t>Natural gas derivatives (1) (2) (3)</w:t>
            </w:r>
          </w:p>
        </w:tc>
        <w:tc>
          <w:tcPr>
            <w:tcW w:w="300" w:type="dxa"/>
            <w:vAlign w:val="bottom"/>
            <w:shd w:val="clear" w:color="auto" w:fill="CCEEFF"/>
          </w:tcPr>
          <w:p>
            <w:pPr>
              <w:spacing w:after="0"/>
              <w:rPr>
                <w:sz w:val="19"/>
                <w:szCs w:val="19"/>
                <w:color w:val="auto"/>
              </w:rPr>
            </w:pPr>
          </w:p>
        </w:tc>
        <w:tc>
          <w:tcPr>
            <w:tcW w:w="402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Current Assets: Non-trading derivative assets</w:t>
            </w:r>
          </w:p>
        </w:tc>
        <w:tc>
          <w:tcPr>
            <w:tcW w:w="86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w w:val="97"/>
              </w:rPr>
              <w:t>123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103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3</w:t>
            </w:r>
          </w:p>
        </w:tc>
        <w:tc>
          <w:tcPr>
            <w:tcW w:w="0" w:type="dxa"/>
            <w:vAlign w:val="bottom"/>
          </w:tcPr>
          <w:p>
            <w:pPr>
              <w:spacing w:after="0"/>
              <w:rPr>
                <w:sz w:val="1"/>
                <w:szCs w:val="1"/>
                <w:color w:val="auto"/>
              </w:rPr>
            </w:pPr>
          </w:p>
        </w:tc>
      </w:tr>
      <w:tr>
        <w:trPr>
          <w:trHeight w:val="211"/>
        </w:trPr>
        <w:tc>
          <w:tcPr>
            <w:tcW w:w="2220" w:type="dxa"/>
            <w:vAlign w:val="bottom"/>
          </w:tcPr>
          <w:p>
            <w:pPr>
              <w:ind w:left="20"/>
              <w:spacing w:after="0"/>
              <w:rPr>
                <w:sz w:val="20"/>
                <w:szCs w:val="20"/>
                <w:color w:val="auto"/>
              </w:rPr>
            </w:pPr>
            <w:r>
              <w:rPr>
                <w:rFonts w:ascii="Arial" w:cs="Arial" w:eastAsia="Arial" w:hAnsi="Arial"/>
                <w:sz w:val="11"/>
                <w:szCs w:val="11"/>
                <w:color w:val="auto"/>
              </w:rPr>
              <w:t>Natural gas derivatives (1) (2) (3)</w:t>
            </w:r>
          </w:p>
        </w:tc>
        <w:tc>
          <w:tcPr>
            <w:tcW w:w="300" w:type="dxa"/>
            <w:vAlign w:val="bottom"/>
          </w:tcPr>
          <w:p>
            <w:pPr>
              <w:spacing w:after="0"/>
              <w:rPr>
                <w:sz w:val="18"/>
                <w:szCs w:val="18"/>
                <w:color w:val="auto"/>
              </w:rPr>
            </w:pPr>
          </w:p>
        </w:tc>
        <w:tc>
          <w:tcPr>
            <w:tcW w:w="4020" w:type="dxa"/>
            <w:vAlign w:val="bottom"/>
            <w:gridSpan w:val="2"/>
          </w:tcPr>
          <w:p>
            <w:pPr>
              <w:ind w:left="20"/>
              <w:spacing w:after="0"/>
              <w:rPr>
                <w:sz w:val="20"/>
                <w:szCs w:val="20"/>
                <w:color w:val="auto"/>
              </w:rPr>
            </w:pPr>
            <w:r>
              <w:rPr>
                <w:rFonts w:ascii="Arial" w:cs="Arial" w:eastAsia="Arial" w:hAnsi="Arial"/>
                <w:sz w:val="11"/>
                <w:szCs w:val="11"/>
                <w:color w:val="auto"/>
              </w:rPr>
              <w:t>Other Assets: Non-trading derivative assets</w:t>
            </w:r>
          </w:p>
        </w:tc>
        <w:tc>
          <w:tcPr>
            <w:tcW w:w="860" w:type="dxa"/>
            <w:vAlign w:val="bottom"/>
          </w:tcPr>
          <w:p>
            <w:pPr>
              <w:spacing w:after="0"/>
              <w:rPr>
                <w:sz w:val="18"/>
                <w:szCs w:val="18"/>
                <w:color w:val="auto"/>
              </w:rPr>
            </w:pPr>
          </w:p>
        </w:tc>
        <w:tc>
          <w:tcPr>
            <w:tcW w:w="320" w:type="dxa"/>
            <w:vAlign w:val="bottom"/>
          </w:tcPr>
          <w:p>
            <w:pPr>
              <w:jc w:val="right"/>
              <w:ind w:right="63"/>
              <w:spacing w:after="0"/>
              <w:rPr>
                <w:sz w:val="20"/>
                <w:szCs w:val="20"/>
                <w:color w:val="auto"/>
              </w:rPr>
            </w:pPr>
            <w:r>
              <w:rPr>
                <w:rFonts w:ascii="Arial" w:cs="Arial" w:eastAsia="Arial" w:hAnsi="Arial"/>
                <w:sz w:val="11"/>
                <w:szCs w:val="11"/>
                <w:color w:val="auto"/>
              </w:rPr>
              <w:t>65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8"/>
                <w:szCs w:val="18"/>
                <w:color w:val="auto"/>
              </w:rPr>
            </w:pPr>
          </w:p>
        </w:tc>
        <w:tc>
          <w:tcPr>
            <w:tcW w:w="860" w:type="dxa"/>
            <w:vAlign w:val="bottom"/>
          </w:tcPr>
          <w:p>
            <w:pPr>
              <w:jc w:val="right"/>
              <w:ind w:right="43"/>
              <w:spacing w:after="0"/>
              <w:rPr>
                <w:sz w:val="20"/>
                <w:szCs w:val="20"/>
                <w:color w:val="auto"/>
              </w:rPr>
            </w:pPr>
            <w:r>
              <w:rPr>
                <w:rFonts w:ascii="Arial" w:cs="Arial" w:eastAsia="Arial" w:hAnsi="Arial"/>
                <w:sz w:val="11"/>
                <w:szCs w:val="11"/>
                <w:color w:val="auto"/>
              </w:rPr>
              <w:t>38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ind w:right="43"/>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20"/>
        </w:trPr>
        <w:tc>
          <w:tcPr>
            <w:tcW w:w="2220" w:type="dxa"/>
            <w:vAlign w:val="bottom"/>
            <w:shd w:val="clear" w:color="auto" w:fill="CCEEFF"/>
          </w:tcPr>
          <w:p>
            <w:pPr>
              <w:ind w:left="20"/>
              <w:spacing w:after="0"/>
              <w:rPr>
                <w:sz w:val="20"/>
                <w:szCs w:val="20"/>
                <w:color w:val="auto"/>
              </w:rPr>
            </w:pPr>
            <w:r>
              <w:rPr>
                <w:rFonts w:ascii="Arial" w:cs="Arial" w:eastAsia="Arial" w:hAnsi="Arial"/>
                <w:sz w:val="11"/>
                <w:szCs w:val="11"/>
                <w:color w:val="auto"/>
              </w:rPr>
              <w:t>Natural gas derivatives (1) (2) (3)</w:t>
            </w:r>
          </w:p>
        </w:tc>
        <w:tc>
          <w:tcPr>
            <w:tcW w:w="300" w:type="dxa"/>
            <w:vAlign w:val="bottom"/>
            <w:shd w:val="clear" w:color="auto" w:fill="CCEEFF"/>
          </w:tcPr>
          <w:p>
            <w:pPr>
              <w:spacing w:after="0"/>
              <w:rPr>
                <w:sz w:val="19"/>
                <w:szCs w:val="19"/>
                <w:color w:val="auto"/>
              </w:rPr>
            </w:pPr>
          </w:p>
        </w:tc>
        <w:tc>
          <w:tcPr>
            <w:tcW w:w="402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Current Liabilities: Non-trading derivative liabilities</w:t>
            </w:r>
          </w:p>
        </w:tc>
        <w:tc>
          <w:tcPr>
            <w:tcW w:w="86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69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154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62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173</w:t>
            </w:r>
          </w:p>
        </w:tc>
        <w:tc>
          <w:tcPr>
            <w:tcW w:w="0" w:type="dxa"/>
            <w:vAlign w:val="bottom"/>
          </w:tcPr>
          <w:p>
            <w:pPr>
              <w:spacing w:after="0"/>
              <w:rPr>
                <w:sz w:val="1"/>
                <w:szCs w:val="1"/>
                <w:color w:val="auto"/>
              </w:rPr>
            </w:pPr>
          </w:p>
        </w:tc>
      </w:tr>
      <w:tr>
        <w:trPr>
          <w:trHeight w:val="211"/>
        </w:trPr>
        <w:tc>
          <w:tcPr>
            <w:tcW w:w="2220" w:type="dxa"/>
            <w:vAlign w:val="bottom"/>
          </w:tcPr>
          <w:p>
            <w:pPr>
              <w:ind w:left="20"/>
              <w:spacing w:after="0"/>
              <w:rPr>
                <w:sz w:val="20"/>
                <w:szCs w:val="20"/>
                <w:color w:val="auto"/>
              </w:rPr>
            </w:pPr>
            <w:r>
              <w:rPr>
                <w:rFonts w:ascii="Arial" w:cs="Arial" w:eastAsia="Arial" w:hAnsi="Arial"/>
                <w:sz w:val="11"/>
                <w:szCs w:val="11"/>
                <w:color w:val="auto"/>
              </w:rPr>
              <w:t>Natural gas derivatives (1) (2) (3)</w:t>
            </w:r>
          </w:p>
        </w:tc>
        <w:tc>
          <w:tcPr>
            <w:tcW w:w="300" w:type="dxa"/>
            <w:vAlign w:val="bottom"/>
          </w:tcPr>
          <w:p>
            <w:pPr>
              <w:spacing w:after="0"/>
              <w:rPr>
                <w:sz w:val="18"/>
                <w:szCs w:val="18"/>
                <w:color w:val="auto"/>
              </w:rPr>
            </w:pPr>
          </w:p>
        </w:tc>
        <w:tc>
          <w:tcPr>
            <w:tcW w:w="4020" w:type="dxa"/>
            <w:vAlign w:val="bottom"/>
            <w:gridSpan w:val="2"/>
          </w:tcPr>
          <w:p>
            <w:pPr>
              <w:ind w:left="20"/>
              <w:spacing w:after="0"/>
              <w:rPr>
                <w:sz w:val="20"/>
                <w:szCs w:val="20"/>
                <w:color w:val="auto"/>
              </w:rPr>
            </w:pPr>
            <w:r>
              <w:rPr>
                <w:rFonts w:ascii="Arial" w:cs="Arial" w:eastAsia="Arial" w:hAnsi="Arial"/>
                <w:sz w:val="11"/>
                <w:szCs w:val="11"/>
                <w:color w:val="auto"/>
              </w:rPr>
              <w:t>Other Liabilities: Non-trading derivative liabilities</w:t>
            </w:r>
          </w:p>
        </w:tc>
        <w:tc>
          <w:tcPr>
            <w:tcW w:w="860" w:type="dxa"/>
            <w:vAlign w:val="bottom"/>
          </w:tcPr>
          <w:p>
            <w:pPr>
              <w:spacing w:after="0"/>
              <w:rPr>
                <w:sz w:val="18"/>
                <w:szCs w:val="18"/>
                <w:color w:val="auto"/>
              </w:rPr>
            </w:pPr>
          </w:p>
        </w:tc>
        <w:tc>
          <w:tcPr>
            <w:tcW w:w="320" w:type="dxa"/>
            <w:vAlign w:val="bottom"/>
          </w:tcPr>
          <w:p>
            <w:pPr>
              <w:jc w:val="right"/>
              <w:ind w:right="63"/>
              <w:spacing w:after="0"/>
              <w:rPr>
                <w:sz w:val="20"/>
                <w:szCs w:val="20"/>
                <w:color w:val="auto"/>
              </w:rPr>
            </w:pPr>
            <w:r>
              <w:rPr>
                <w:rFonts w:ascii="Arial" w:cs="Arial" w:eastAsia="Arial" w:hAnsi="Arial"/>
                <w:sz w:val="11"/>
                <w:szCs w:val="11"/>
                <w:color w:val="auto"/>
              </w:rPr>
              <w:t>13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ind w:right="43"/>
              <w:spacing w:after="0"/>
              <w:rPr>
                <w:sz w:val="20"/>
                <w:szCs w:val="20"/>
                <w:color w:val="auto"/>
              </w:rPr>
            </w:pPr>
            <w:r>
              <w:rPr>
                <w:rFonts w:ascii="Arial" w:cs="Arial" w:eastAsia="Arial" w:hAnsi="Arial"/>
                <w:sz w:val="11"/>
                <w:szCs w:val="11"/>
                <w:color w:val="auto"/>
              </w:rPr>
              <w:t>68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ind w:right="43"/>
              <w:spacing w:after="0"/>
              <w:rPr>
                <w:sz w:val="20"/>
                <w:szCs w:val="20"/>
                <w:color w:val="auto"/>
              </w:rPr>
            </w:pPr>
            <w:r>
              <w:rPr>
                <w:rFonts w:ascii="Arial" w:cs="Arial" w:eastAsia="Arial" w:hAnsi="Arial"/>
                <w:sz w:val="11"/>
                <w:szCs w:val="11"/>
                <w:color w:val="auto"/>
              </w:rPr>
              <w:t>16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ind w:right="43"/>
              <w:spacing w:after="0"/>
              <w:rPr>
                <w:sz w:val="20"/>
                <w:szCs w:val="20"/>
                <w:color w:val="auto"/>
              </w:rPr>
            </w:pPr>
            <w:r>
              <w:rPr>
                <w:rFonts w:ascii="Arial" w:cs="Arial" w:eastAsia="Arial" w:hAnsi="Arial"/>
                <w:sz w:val="11"/>
                <w:szCs w:val="11"/>
                <w:color w:val="auto"/>
              </w:rPr>
              <w:t>25</w:t>
            </w:r>
          </w:p>
        </w:tc>
        <w:tc>
          <w:tcPr>
            <w:tcW w:w="0" w:type="dxa"/>
            <w:vAlign w:val="bottom"/>
          </w:tcPr>
          <w:p>
            <w:pPr>
              <w:spacing w:after="0"/>
              <w:rPr>
                <w:sz w:val="1"/>
                <w:szCs w:val="1"/>
                <w:color w:val="auto"/>
              </w:rPr>
            </w:pPr>
          </w:p>
        </w:tc>
      </w:tr>
      <w:tr>
        <w:trPr>
          <w:trHeight w:val="220"/>
        </w:trPr>
        <w:tc>
          <w:tcPr>
            <w:tcW w:w="2220" w:type="dxa"/>
            <w:vAlign w:val="bottom"/>
            <w:shd w:val="clear" w:color="auto" w:fill="CCEEFF"/>
          </w:tcPr>
          <w:p>
            <w:pPr>
              <w:ind w:left="20"/>
              <w:spacing w:after="0"/>
              <w:rPr>
                <w:sz w:val="20"/>
                <w:szCs w:val="20"/>
                <w:color w:val="auto"/>
              </w:rPr>
            </w:pPr>
            <w:r>
              <w:rPr>
                <w:rFonts w:ascii="Arial" w:cs="Arial" w:eastAsia="Arial" w:hAnsi="Arial"/>
                <w:sz w:val="11"/>
                <w:szCs w:val="11"/>
                <w:color w:val="auto"/>
              </w:rPr>
              <w:t>Interest rate derivatives</w:t>
            </w:r>
          </w:p>
        </w:tc>
        <w:tc>
          <w:tcPr>
            <w:tcW w:w="300" w:type="dxa"/>
            <w:vAlign w:val="bottom"/>
            <w:shd w:val="clear" w:color="auto" w:fill="CCEEFF"/>
          </w:tcPr>
          <w:p>
            <w:pPr>
              <w:spacing w:after="0"/>
              <w:rPr>
                <w:sz w:val="19"/>
                <w:szCs w:val="19"/>
                <w:color w:val="auto"/>
              </w:rPr>
            </w:pPr>
          </w:p>
        </w:tc>
        <w:tc>
          <w:tcPr>
            <w:tcW w:w="402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Other Liabilities</w:t>
            </w:r>
          </w:p>
        </w:tc>
        <w:tc>
          <w:tcPr>
            <w:tcW w:w="86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15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11"/>
        </w:trPr>
        <w:tc>
          <w:tcPr>
            <w:tcW w:w="2220" w:type="dxa"/>
            <w:vAlign w:val="bottom"/>
          </w:tcPr>
          <w:p>
            <w:pPr>
              <w:ind w:left="20"/>
              <w:spacing w:after="0"/>
              <w:rPr>
                <w:sz w:val="20"/>
                <w:szCs w:val="20"/>
                <w:color w:val="auto"/>
              </w:rPr>
            </w:pPr>
            <w:r>
              <w:rPr>
                <w:rFonts w:ascii="Arial" w:cs="Arial" w:eastAsia="Arial" w:hAnsi="Arial"/>
                <w:sz w:val="11"/>
                <w:szCs w:val="11"/>
                <w:color w:val="auto"/>
              </w:rPr>
              <w:t>Indexed debt securities derivative</w:t>
            </w:r>
          </w:p>
        </w:tc>
        <w:tc>
          <w:tcPr>
            <w:tcW w:w="300" w:type="dxa"/>
            <w:vAlign w:val="bottom"/>
          </w:tcPr>
          <w:p>
            <w:pPr>
              <w:spacing w:after="0"/>
              <w:rPr>
                <w:sz w:val="18"/>
                <w:szCs w:val="18"/>
                <w:color w:val="auto"/>
              </w:rPr>
            </w:pPr>
          </w:p>
        </w:tc>
        <w:tc>
          <w:tcPr>
            <w:tcW w:w="4020" w:type="dxa"/>
            <w:vAlign w:val="bottom"/>
            <w:gridSpan w:val="2"/>
          </w:tcPr>
          <w:p>
            <w:pPr>
              <w:ind w:left="20"/>
              <w:spacing w:after="0"/>
              <w:rPr>
                <w:sz w:val="20"/>
                <w:szCs w:val="20"/>
                <w:color w:val="auto"/>
              </w:rPr>
            </w:pPr>
            <w:r>
              <w:rPr>
                <w:rFonts w:ascii="Arial" w:cs="Arial" w:eastAsia="Arial" w:hAnsi="Arial"/>
                <w:sz w:val="11"/>
                <w:szCs w:val="11"/>
                <w:color w:val="auto"/>
              </w:rPr>
              <w:t>Current Liabilities</w:t>
            </w:r>
          </w:p>
        </w:tc>
        <w:tc>
          <w:tcPr>
            <w:tcW w:w="860" w:type="dxa"/>
            <w:vAlign w:val="bottom"/>
          </w:tcPr>
          <w:p>
            <w:pPr>
              <w:spacing w:after="0"/>
              <w:rPr>
                <w:sz w:val="18"/>
                <w:szCs w:val="18"/>
                <w:color w:val="auto"/>
              </w:rPr>
            </w:pPr>
          </w:p>
        </w:tc>
        <w:tc>
          <w:tcPr>
            <w:tcW w:w="4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8"/>
                <w:szCs w:val="18"/>
                <w:color w:val="auto"/>
              </w:rPr>
            </w:pPr>
          </w:p>
        </w:tc>
        <w:tc>
          <w:tcPr>
            <w:tcW w:w="960" w:type="dxa"/>
            <w:vAlign w:val="bottom"/>
          </w:tcPr>
          <w:p>
            <w:pPr>
              <w:jc w:val="right"/>
              <w:ind w:right="43"/>
              <w:spacing w:after="0"/>
              <w:rPr>
                <w:sz w:val="20"/>
                <w:szCs w:val="20"/>
                <w:color w:val="auto"/>
              </w:rPr>
            </w:pPr>
            <w:r>
              <w:rPr>
                <w:rFonts w:ascii="Arial" w:cs="Arial" w:eastAsia="Arial" w:hAnsi="Arial"/>
                <w:sz w:val="11"/>
                <w:szCs w:val="11"/>
                <w:color w:val="auto"/>
              </w:rPr>
              <w:t>817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8"/>
                <w:szCs w:val="18"/>
                <w:color w:val="auto"/>
              </w:rPr>
            </w:pPr>
          </w:p>
        </w:tc>
        <w:tc>
          <w:tcPr>
            <w:tcW w:w="940" w:type="dxa"/>
            <w:vAlign w:val="bottom"/>
          </w:tcPr>
          <w:p>
            <w:pPr>
              <w:jc w:val="right"/>
              <w:ind w:right="43"/>
              <w:spacing w:after="0"/>
              <w:rPr>
                <w:sz w:val="20"/>
                <w:szCs w:val="20"/>
                <w:color w:val="auto"/>
              </w:rPr>
            </w:pPr>
            <w:r>
              <w:rPr>
                <w:rFonts w:ascii="Arial" w:cs="Arial" w:eastAsia="Arial" w:hAnsi="Arial"/>
                <w:sz w:val="11"/>
                <w:szCs w:val="11"/>
                <w:color w:val="auto"/>
              </w:rPr>
              <w:t>601</w:t>
            </w:r>
          </w:p>
        </w:tc>
        <w:tc>
          <w:tcPr>
            <w:tcW w:w="0" w:type="dxa"/>
            <w:vAlign w:val="bottom"/>
          </w:tcPr>
          <w:p>
            <w:pPr>
              <w:spacing w:after="0"/>
              <w:rPr>
                <w:sz w:val="1"/>
                <w:szCs w:val="1"/>
                <w:color w:val="auto"/>
              </w:rPr>
            </w:pPr>
          </w:p>
        </w:tc>
      </w:tr>
      <w:tr>
        <w:trPr>
          <w:trHeight w:val="189"/>
        </w:trPr>
        <w:tc>
          <w:tcPr>
            <w:tcW w:w="2220" w:type="dxa"/>
            <w:vAlign w:val="bottom"/>
            <w:tcBorders>
              <w:top w:val="single" w:sz="8" w:color="CCEEFF"/>
              <w:bottom w:val="single" w:sz="8" w:color="CCEEFF"/>
            </w:tcBorders>
            <w:shd w:val="clear" w:color="auto" w:fill="CCEEFF"/>
          </w:tcPr>
          <w:p>
            <w:pPr>
              <w:spacing w:after="0"/>
              <w:rPr>
                <w:sz w:val="16"/>
                <w:szCs w:val="16"/>
                <w:color w:val="auto"/>
              </w:rPr>
            </w:pPr>
          </w:p>
        </w:tc>
        <w:tc>
          <w:tcPr>
            <w:tcW w:w="4320" w:type="dxa"/>
            <w:vAlign w:val="bottom"/>
            <w:tcBorders>
              <w:top w:val="single" w:sz="8" w:color="CCEEFF"/>
              <w:bottom w:val="single" w:sz="8" w:color="CCEEFF"/>
            </w:tcBorders>
            <w:gridSpan w:val="3"/>
            <w:shd w:val="clear" w:color="auto" w:fill="CCEEFF"/>
          </w:tcPr>
          <w:p>
            <w:pPr>
              <w:ind w:left="80"/>
              <w:spacing w:after="0"/>
              <w:rPr>
                <w:sz w:val="20"/>
                <w:szCs w:val="20"/>
                <w:color w:val="auto"/>
              </w:rPr>
            </w:pPr>
            <w:r>
              <w:rPr>
                <w:rFonts w:ascii="Arial" w:cs="Arial" w:eastAsia="Arial" w:hAnsi="Arial"/>
                <w:sz w:val="11"/>
                <w:szCs w:val="11"/>
                <w:b w:val="1"/>
                <w:bCs w:val="1"/>
                <w:color w:val="auto"/>
              </w:rPr>
              <w:t>Total CenterPoint Energy</w:t>
            </w:r>
          </w:p>
        </w:tc>
        <w:tc>
          <w:tcPr>
            <w:tcW w:w="860" w:type="dxa"/>
            <w:vAlign w:val="bottom"/>
            <w:tcBorders>
              <w:top w:val="single" w:sz="8" w:color="auto"/>
              <w:bottom w:val="single" w:sz="8" w:color="auto"/>
            </w:tcBorders>
            <w:shd w:val="clear" w:color="auto" w:fill="CCEEFF"/>
          </w:tcPr>
          <w:p>
            <w:pPr>
              <w:jc w:val="right"/>
              <w:ind w:right="723"/>
              <w:spacing w:after="0"/>
              <w:rPr>
                <w:sz w:val="20"/>
                <w:szCs w:val="20"/>
                <w:color w:val="auto"/>
              </w:rPr>
            </w:pPr>
            <w:r>
              <w:rPr>
                <w:rFonts w:ascii="Arial" w:cs="Arial" w:eastAsia="Arial" w:hAnsi="Arial"/>
                <w:sz w:val="11"/>
                <w:szCs w:val="11"/>
                <w:color w:val="auto"/>
                <w:w w:val="97"/>
              </w:rPr>
              <w:t>$</w:t>
            </w:r>
          </w:p>
        </w:tc>
        <w:tc>
          <w:tcPr>
            <w:tcW w:w="320" w:type="dxa"/>
            <w:vAlign w:val="bottom"/>
            <w:tcBorders>
              <w:top w:val="single" w:sz="8" w:color="auto"/>
              <w:bottom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color w:val="auto"/>
                <w:w w:val="97"/>
              </w:rPr>
              <w:t>277</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Arial" w:cs="Arial" w:eastAsia="Arial" w:hAnsi="Arial"/>
                <w:sz w:val="11"/>
                <w:szCs w:val="11"/>
                <w:color w:val="auto"/>
              </w:rPr>
              <w:t>1,057</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auto"/>
            </w:tcBorders>
            <w:shd w:val="clear" w:color="auto" w:fill="CCEEFF"/>
          </w:tcPr>
          <w:p>
            <w:pPr>
              <w:jc w:val="right"/>
              <w:ind w:right="123"/>
              <w:spacing w:after="0"/>
              <w:rPr>
                <w:sz w:val="20"/>
                <w:szCs w:val="20"/>
                <w:color w:val="auto"/>
              </w:rPr>
            </w:pPr>
            <w:r>
              <w:rPr>
                <w:rFonts w:ascii="Arial" w:cs="Arial" w:eastAsia="Arial" w:hAnsi="Arial"/>
                <w:sz w:val="11"/>
                <w:szCs w:val="11"/>
                <w:color w:val="auto"/>
                <w:w w:val="97"/>
              </w:rPr>
              <w:t>$</w:t>
            </w:r>
          </w:p>
        </w:tc>
        <w:tc>
          <w:tcPr>
            <w:tcW w:w="86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Arial" w:cs="Arial" w:eastAsia="Arial" w:hAnsi="Arial"/>
                <w:sz w:val="11"/>
                <w:szCs w:val="11"/>
                <w:color w:val="auto"/>
              </w:rPr>
              <w:t>220</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Arial" w:cs="Arial" w:eastAsia="Arial" w:hAnsi="Arial"/>
                <w:sz w:val="11"/>
                <w:szCs w:val="11"/>
                <w:color w:val="auto"/>
              </w:rPr>
              <w:t>833</w:t>
            </w:r>
          </w:p>
        </w:tc>
        <w:tc>
          <w:tcPr>
            <w:tcW w:w="0" w:type="dxa"/>
            <w:vAlign w:val="bottom"/>
          </w:tcPr>
          <w:p>
            <w:pPr>
              <w:spacing w:after="0"/>
              <w:rPr>
                <w:sz w:val="1"/>
                <w:szCs w:val="1"/>
                <w:color w:val="auto"/>
              </w:rPr>
            </w:pPr>
          </w:p>
        </w:tc>
      </w:tr>
      <w:tr>
        <w:trPr>
          <w:trHeight w:val="20"/>
        </w:trPr>
        <w:tc>
          <w:tcPr>
            <w:tcW w:w="2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2" w:lineRule="exact"/>
        <w:rPr>
          <w:sz w:val="20"/>
          <w:szCs w:val="20"/>
          <w:color w:val="auto"/>
        </w:rPr>
      </w:pPr>
    </w:p>
    <w:p>
      <w:pPr>
        <w:ind w:left="520" w:hanging="255"/>
        <w:spacing w:after="0" w:line="288" w:lineRule="auto"/>
        <w:tabs>
          <w:tab w:leader="none" w:pos="5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The fair value shown for natural gas contracts is comprised of derivative gross volumes totaling 2,252 Bcf or a net 374 Bcf long position and 1,674 Bcf or a net 140 Bcf long position as of September 30, 2019 and December 31, 2018, respectively. Certain natural gas contracts hedge basis risk only and lack a fixed price exposure.</w:t>
      </w:r>
    </w:p>
    <w:p>
      <w:pPr>
        <w:spacing w:after="0" w:line="130" w:lineRule="exact"/>
        <w:rPr>
          <w:rFonts w:ascii="Arial" w:cs="Arial" w:eastAsia="Arial" w:hAnsi="Arial"/>
          <w:sz w:val="14"/>
          <w:szCs w:val="14"/>
          <w:color w:val="auto"/>
        </w:rPr>
      </w:pPr>
    </w:p>
    <w:p>
      <w:pPr>
        <w:jc w:val="both"/>
        <w:ind w:left="520" w:hanging="255"/>
        <w:spacing w:after="0" w:line="302" w:lineRule="auto"/>
        <w:tabs>
          <w:tab w:leader="none" w:pos="520" w:val="left"/>
        </w:tabs>
        <w:numPr>
          <w:ilvl w:val="0"/>
          <w:numId w:val="17"/>
        </w:numPr>
        <w:rPr>
          <w:rFonts w:ascii="Arial" w:cs="Arial" w:eastAsia="Arial" w:hAnsi="Arial"/>
          <w:sz w:val="13"/>
          <w:szCs w:val="13"/>
          <w:color w:val="auto"/>
        </w:rPr>
      </w:pPr>
      <w:r>
        <w:rPr>
          <w:rFonts w:ascii="Arial" w:cs="Arial" w:eastAsia="Arial" w:hAnsi="Arial"/>
          <w:sz w:val="13"/>
          <w:szCs w:val="13"/>
          <w:color w:val="auto"/>
        </w:rPr>
        <w:t>Natural gas contracts are presented on a net basis in CenterPoint Energy’s Condensed Consolidated Balance Sheets as they are subject to master netting arrangements. This netting applies to all undisputed amounts due or past due and causes derivative assets (liabilities) to be ultimately presented net in a liability (asset) account within CenterPoint Energy’s Condensed Consolidated Balance Sheets. The net of total non-trading natural gas derivative assets and liabilities is detailed in the Offsetting of Natural Gas Derivative Assets and Liabilities table below.</w:t>
      </w:r>
    </w:p>
    <w:p>
      <w:pPr>
        <w:spacing w:after="0" w:line="125" w:lineRule="exact"/>
        <w:rPr>
          <w:rFonts w:ascii="Arial" w:cs="Arial" w:eastAsia="Arial" w:hAnsi="Arial"/>
          <w:sz w:val="13"/>
          <w:szCs w:val="13"/>
          <w:color w:val="auto"/>
        </w:rPr>
      </w:pPr>
    </w:p>
    <w:p>
      <w:pPr>
        <w:ind w:left="520" w:hanging="255"/>
        <w:spacing w:after="0"/>
        <w:tabs>
          <w:tab w:leader="none" w:pos="5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Derivative Assets and Derivative Liabilities include no material amounts related to physical forward transactions with Enable.</w:t>
      </w:r>
    </w:p>
    <w:p>
      <w:pPr>
        <w:spacing w:after="0" w:line="18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Houston Electric</w:t>
      </w:r>
    </w:p>
    <w:p>
      <w:pPr>
        <w:spacing w:after="0" w:line="192" w:lineRule="exact"/>
        <w:rPr>
          <w:sz w:val="20"/>
          <w:szCs w:val="20"/>
          <w:color w:val="auto"/>
        </w:rPr>
      </w:pPr>
    </w:p>
    <w:tbl>
      <w:tblPr>
        <w:tblLayout w:type="fixed"/>
        <w:tblInd w:w="40" w:type="dxa"/>
        <w:tblCellMar>
          <w:top w:w="0" w:type="dxa"/>
          <w:left w:w="0" w:type="dxa"/>
          <w:bottom w:w="0" w:type="dxa"/>
          <w:right w:w="0" w:type="dxa"/>
        </w:tblCellMar>
      </w:tblPr>
      <w:tr>
        <w:trPr>
          <w:trHeight w:val="153"/>
        </w:trPr>
        <w:tc>
          <w:tcPr>
            <w:tcW w:w="2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20" w:type="dxa"/>
            <w:vAlign w:val="bottom"/>
            <w:tcBorders>
              <w:bottom w:val="single" w:sz="8" w:color="auto"/>
            </w:tcBorders>
            <w:gridSpan w:val="4"/>
          </w:tcPr>
          <w:p>
            <w:pPr>
              <w:jc w:val="right"/>
              <w:ind w:right="385"/>
              <w:spacing w:after="0"/>
              <w:rPr>
                <w:sz w:val="20"/>
                <w:szCs w:val="20"/>
                <w:color w:val="auto"/>
              </w:rPr>
            </w:pPr>
            <w:r>
              <w:rPr>
                <w:rFonts w:ascii="Arial" w:cs="Arial" w:eastAsia="Arial" w:hAnsi="Arial"/>
                <w:sz w:val="11"/>
                <w:szCs w:val="11"/>
                <w:b w:val="1"/>
                <w:bCs w:val="1"/>
                <w:color w:val="auto"/>
              </w:rPr>
              <w:t>September 30, 2019</w:t>
            </w:r>
          </w:p>
        </w:tc>
        <w:tc>
          <w:tcPr>
            <w:tcW w:w="3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080" w:type="dxa"/>
            <w:vAlign w:val="bottom"/>
            <w:tcBorders>
              <w:bottom w:val="single" w:sz="8" w:color="auto"/>
            </w:tcBorders>
            <w:gridSpan w:val="4"/>
          </w:tcPr>
          <w:p>
            <w:pPr>
              <w:ind w:left="460"/>
              <w:spacing w:after="0"/>
              <w:rPr>
                <w:sz w:val="20"/>
                <w:szCs w:val="20"/>
                <w:color w:val="auto"/>
              </w:rPr>
            </w:pPr>
            <w:r>
              <w:rPr>
                <w:rFonts w:ascii="Arial" w:cs="Arial" w:eastAsia="Arial" w:hAnsi="Arial"/>
                <w:sz w:val="11"/>
                <w:szCs w:val="11"/>
                <w:b w:val="1"/>
                <w:bCs w:val="1"/>
                <w:color w:val="auto"/>
              </w:rPr>
              <w:t>December 31, 2018</w:t>
            </w:r>
          </w:p>
        </w:tc>
        <w:tc>
          <w:tcPr>
            <w:tcW w:w="0" w:type="dxa"/>
            <w:vAlign w:val="bottom"/>
          </w:tcPr>
          <w:p>
            <w:pPr>
              <w:spacing w:after="0"/>
              <w:rPr>
                <w:sz w:val="1"/>
                <w:szCs w:val="1"/>
                <w:color w:val="auto"/>
              </w:rPr>
            </w:pPr>
          </w:p>
        </w:tc>
      </w:tr>
      <w:tr>
        <w:trPr>
          <w:trHeight w:val="118"/>
        </w:trPr>
        <w:tc>
          <w:tcPr>
            <w:tcW w:w="2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jc w:val="center"/>
              <w:ind w:left="203"/>
              <w:spacing w:after="0" w:line="119" w:lineRule="exact"/>
              <w:rPr>
                <w:sz w:val="20"/>
                <w:szCs w:val="20"/>
                <w:color w:val="auto"/>
              </w:rPr>
            </w:pPr>
            <w:r>
              <w:rPr>
                <w:rFonts w:ascii="Arial" w:cs="Arial" w:eastAsia="Arial" w:hAnsi="Arial"/>
                <w:sz w:val="11"/>
                <w:szCs w:val="11"/>
                <w:b w:val="1"/>
                <w:bCs w:val="1"/>
                <w:color w:val="auto"/>
                <w:w w:val="94"/>
              </w:rPr>
              <w:t>Derivative</w:t>
            </w: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ind w:left="300"/>
              <w:spacing w:after="0" w:line="119" w:lineRule="exact"/>
              <w:rPr>
                <w:sz w:val="20"/>
                <w:szCs w:val="20"/>
                <w:color w:val="auto"/>
              </w:rPr>
            </w:pPr>
            <w:r>
              <w:rPr>
                <w:rFonts w:ascii="Arial" w:cs="Arial" w:eastAsia="Arial" w:hAnsi="Arial"/>
                <w:sz w:val="11"/>
                <w:szCs w:val="11"/>
                <w:b w:val="1"/>
                <w:bCs w:val="1"/>
                <w:color w:val="auto"/>
                <w:w w:val="98"/>
              </w:rPr>
              <w:t>Derivative</w:t>
            </w: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60" w:type="dxa"/>
            <w:vAlign w:val="bottom"/>
            <w:gridSpan w:val="2"/>
          </w:tcPr>
          <w:p>
            <w:pPr>
              <w:jc w:val="center"/>
              <w:ind w:right="360"/>
              <w:spacing w:after="0" w:line="119" w:lineRule="exact"/>
              <w:rPr>
                <w:sz w:val="20"/>
                <w:szCs w:val="20"/>
                <w:color w:val="auto"/>
              </w:rPr>
            </w:pPr>
            <w:r>
              <w:rPr>
                <w:rFonts w:ascii="Arial" w:cs="Arial" w:eastAsia="Arial" w:hAnsi="Arial"/>
                <w:sz w:val="11"/>
                <w:szCs w:val="11"/>
                <w:b w:val="1"/>
                <w:bCs w:val="1"/>
                <w:color w:val="auto"/>
                <w:w w:val="98"/>
              </w:rPr>
              <w:t>Derivative</w:t>
            </w:r>
          </w:p>
        </w:tc>
        <w:tc>
          <w:tcPr>
            <w:tcW w:w="200" w:type="dxa"/>
            <w:vAlign w:val="bottom"/>
          </w:tcPr>
          <w:p>
            <w:pPr>
              <w:spacing w:after="0"/>
              <w:rPr>
                <w:sz w:val="10"/>
                <w:szCs w:val="10"/>
                <w:color w:val="auto"/>
              </w:rPr>
            </w:pPr>
          </w:p>
        </w:tc>
        <w:tc>
          <w:tcPr>
            <w:tcW w:w="920" w:type="dxa"/>
            <w:vAlign w:val="bottom"/>
          </w:tcPr>
          <w:p>
            <w:pPr>
              <w:ind w:left="100"/>
              <w:spacing w:after="0" w:line="119" w:lineRule="exact"/>
              <w:rPr>
                <w:sz w:val="20"/>
                <w:szCs w:val="20"/>
                <w:color w:val="auto"/>
              </w:rPr>
            </w:pPr>
            <w:r>
              <w:rPr>
                <w:rFonts w:ascii="Arial" w:cs="Arial" w:eastAsia="Arial" w:hAnsi="Arial"/>
                <w:sz w:val="11"/>
                <w:szCs w:val="11"/>
                <w:b w:val="1"/>
                <w:bCs w:val="1"/>
                <w:color w:val="auto"/>
              </w:rPr>
              <w:t>Derivative</w:t>
            </w:r>
          </w:p>
        </w:tc>
        <w:tc>
          <w:tcPr>
            <w:tcW w:w="0" w:type="dxa"/>
            <w:vAlign w:val="bottom"/>
          </w:tcPr>
          <w:p>
            <w:pPr>
              <w:spacing w:after="0"/>
              <w:rPr>
                <w:sz w:val="1"/>
                <w:szCs w:val="1"/>
                <w:color w:val="auto"/>
              </w:rPr>
            </w:pPr>
          </w:p>
        </w:tc>
      </w:tr>
      <w:tr>
        <w:trPr>
          <w:trHeight w:val="119"/>
        </w:trPr>
        <w:tc>
          <w:tcPr>
            <w:tcW w:w="2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00" w:type="dxa"/>
            <w:vAlign w:val="bottom"/>
            <w:gridSpan w:val="2"/>
            <w:vMerge w:val="restart"/>
          </w:tcPr>
          <w:p>
            <w:pPr>
              <w:ind w:left="1360"/>
              <w:spacing w:after="0"/>
              <w:rPr>
                <w:sz w:val="20"/>
                <w:szCs w:val="20"/>
                <w:color w:val="auto"/>
              </w:rPr>
            </w:pPr>
            <w:r>
              <w:rPr>
                <w:rFonts w:ascii="Arial" w:cs="Arial" w:eastAsia="Arial" w:hAnsi="Arial"/>
                <w:sz w:val="11"/>
                <w:szCs w:val="11"/>
                <w:b w:val="1"/>
                <w:bCs w:val="1"/>
                <w:color w:val="auto"/>
              </w:rPr>
              <w:t>Balance Sheet Location</w:t>
            </w:r>
          </w:p>
        </w:tc>
        <w:tc>
          <w:tcPr>
            <w:tcW w:w="880" w:type="dxa"/>
            <w:vAlign w:val="bottom"/>
          </w:tcPr>
          <w:p>
            <w:pPr>
              <w:jc w:val="center"/>
              <w:ind w:left="203"/>
              <w:spacing w:after="0" w:line="119" w:lineRule="exact"/>
              <w:rPr>
                <w:sz w:val="20"/>
                <w:szCs w:val="20"/>
                <w:color w:val="auto"/>
              </w:rPr>
            </w:pPr>
            <w:r>
              <w:rPr>
                <w:rFonts w:ascii="Arial" w:cs="Arial" w:eastAsia="Arial" w:hAnsi="Arial"/>
                <w:sz w:val="11"/>
                <w:szCs w:val="11"/>
                <w:b w:val="1"/>
                <w:bCs w:val="1"/>
                <w:color w:val="auto"/>
                <w:w w:val="83"/>
              </w:rPr>
              <w:t>Assets</w:t>
            </w: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ind w:left="320"/>
              <w:spacing w:after="0" w:line="119" w:lineRule="exact"/>
              <w:rPr>
                <w:sz w:val="20"/>
                <w:szCs w:val="20"/>
                <w:color w:val="auto"/>
              </w:rPr>
            </w:pPr>
            <w:r>
              <w:rPr>
                <w:rFonts w:ascii="Arial" w:cs="Arial" w:eastAsia="Arial" w:hAnsi="Arial"/>
                <w:sz w:val="11"/>
                <w:szCs w:val="11"/>
                <w:b w:val="1"/>
                <w:bCs w:val="1"/>
                <w:color w:val="auto"/>
                <w:w w:val="98"/>
              </w:rPr>
              <w:t>Liabilities</w:t>
            </w: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60" w:type="dxa"/>
            <w:vAlign w:val="bottom"/>
            <w:gridSpan w:val="2"/>
          </w:tcPr>
          <w:p>
            <w:pPr>
              <w:jc w:val="center"/>
              <w:ind w:right="380"/>
              <w:spacing w:after="0" w:line="119" w:lineRule="exact"/>
              <w:rPr>
                <w:sz w:val="20"/>
                <w:szCs w:val="20"/>
                <w:color w:val="auto"/>
              </w:rPr>
            </w:pPr>
            <w:r>
              <w:rPr>
                <w:rFonts w:ascii="Arial" w:cs="Arial" w:eastAsia="Arial" w:hAnsi="Arial"/>
                <w:sz w:val="11"/>
                <w:szCs w:val="11"/>
                <w:b w:val="1"/>
                <w:bCs w:val="1"/>
                <w:color w:val="auto"/>
                <w:w w:val="83"/>
              </w:rPr>
              <w:t>Assets</w:t>
            </w:r>
          </w:p>
        </w:tc>
        <w:tc>
          <w:tcPr>
            <w:tcW w:w="200" w:type="dxa"/>
            <w:vAlign w:val="bottom"/>
          </w:tcPr>
          <w:p>
            <w:pPr>
              <w:spacing w:after="0"/>
              <w:rPr>
                <w:sz w:val="10"/>
                <w:szCs w:val="10"/>
                <w:color w:val="auto"/>
              </w:rPr>
            </w:pPr>
          </w:p>
        </w:tc>
        <w:tc>
          <w:tcPr>
            <w:tcW w:w="920" w:type="dxa"/>
            <w:vAlign w:val="bottom"/>
          </w:tcPr>
          <w:p>
            <w:pPr>
              <w:ind w:left="120"/>
              <w:spacing w:after="0" w:line="119" w:lineRule="exact"/>
              <w:rPr>
                <w:sz w:val="20"/>
                <w:szCs w:val="20"/>
                <w:color w:val="auto"/>
              </w:rPr>
            </w:pPr>
            <w:r>
              <w:rPr>
                <w:rFonts w:ascii="Arial" w:cs="Arial" w:eastAsia="Arial" w:hAnsi="Arial"/>
                <w:sz w:val="11"/>
                <w:szCs w:val="11"/>
                <w:b w:val="1"/>
                <w:bCs w:val="1"/>
                <w:color w:val="auto"/>
              </w:rPr>
              <w:t>Liabilities</w:t>
            </w:r>
          </w:p>
        </w:tc>
        <w:tc>
          <w:tcPr>
            <w:tcW w:w="0" w:type="dxa"/>
            <w:vAlign w:val="bottom"/>
          </w:tcPr>
          <w:p>
            <w:pPr>
              <w:spacing w:after="0"/>
              <w:rPr>
                <w:sz w:val="1"/>
                <w:szCs w:val="1"/>
                <w:color w:val="auto"/>
              </w:rPr>
            </w:pPr>
          </w:p>
        </w:tc>
      </w:tr>
      <w:tr>
        <w:trPr>
          <w:trHeight w:val="153"/>
        </w:trPr>
        <w:tc>
          <w:tcPr>
            <w:tcW w:w="2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0" w:type="dxa"/>
            <w:vAlign w:val="bottom"/>
            <w:gridSpan w:val="2"/>
            <w:vMerge w:val="continue"/>
          </w:tcPr>
          <w:p>
            <w:pPr>
              <w:spacing w:after="0"/>
              <w:rPr>
                <w:sz w:val="13"/>
                <w:szCs w:val="13"/>
                <w:color w:val="auto"/>
              </w:rPr>
            </w:pPr>
          </w:p>
        </w:tc>
        <w:tc>
          <w:tcPr>
            <w:tcW w:w="880" w:type="dxa"/>
            <w:vAlign w:val="bottom"/>
          </w:tcPr>
          <w:p>
            <w:pPr>
              <w:jc w:val="center"/>
              <w:ind w:left="203"/>
              <w:spacing w:after="0"/>
              <w:rPr>
                <w:sz w:val="20"/>
                <w:szCs w:val="20"/>
                <w:color w:val="auto"/>
              </w:rPr>
            </w:pPr>
            <w:r>
              <w:rPr>
                <w:rFonts w:ascii="Arial" w:cs="Arial" w:eastAsia="Arial" w:hAnsi="Arial"/>
                <w:sz w:val="11"/>
                <w:szCs w:val="11"/>
                <w:b w:val="1"/>
                <w:bCs w:val="1"/>
                <w:color w:val="auto"/>
                <w:w w:val="94"/>
              </w:rPr>
              <w:t>Fair Value</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ind w:left="300"/>
              <w:spacing w:after="0"/>
              <w:rPr>
                <w:sz w:val="20"/>
                <w:szCs w:val="20"/>
                <w:color w:val="auto"/>
              </w:rPr>
            </w:pPr>
            <w:r>
              <w:rPr>
                <w:rFonts w:ascii="Arial" w:cs="Arial" w:eastAsia="Arial" w:hAnsi="Arial"/>
                <w:sz w:val="11"/>
                <w:szCs w:val="11"/>
                <w:b w:val="1"/>
                <w:bCs w:val="1"/>
                <w:color w:val="auto"/>
                <w:w w:val="98"/>
              </w:rPr>
              <w:t>Fair Value</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gridSpan w:val="2"/>
          </w:tcPr>
          <w:p>
            <w:pPr>
              <w:jc w:val="center"/>
              <w:ind w:right="360"/>
              <w:spacing w:after="0"/>
              <w:rPr>
                <w:sz w:val="20"/>
                <w:szCs w:val="20"/>
                <w:color w:val="auto"/>
              </w:rPr>
            </w:pPr>
            <w:r>
              <w:rPr>
                <w:rFonts w:ascii="Arial" w:cs="Arial" w:eastAsia="Arial" w:hAnsi="Arial"/>
                <w:sz w:val="11"/>
                <w:szCs w:val="11"/>
                <w:b w:val="1"/>
                <w:bCs w:val="1"/>
                <w:color w:val="auto"/>
                <w:w w:val="98"/>
              </w:rPr>
              <w:t>Fair Value</w:t>
            </w:r>
          </w:p>
        </w:tc>
        <w:tc>
          <w:tcPr>
            <w:tcW w:w="200" w:type="dxa"/>
            <w:vAlign w:val="bottom"/>
          </w:tcPr>
          <w:p>
            <w:pPr>
              <w:spacing w:after="0"/>
              <w:rPr>
                <w:sz w:val="13"/>
                <w:szCs w:val="13"/>
                <w:color w:val="auto"/>
              </w:rPr>
            </w:pPr>
          </w:p>
        </w:tc>
        <w:tc>
          <w:tcPr>
            <w:tcW w:w="920" w:type="dxa"/>
            <w:vAlign w:val="bottom"/>
          </w:tcPr>
          <w:p>
            <w:pPr>
              <w:ind w:left="100"/>
              <w:spacing w:after="0"/>
              <w:rPr>
                <w:sz w:val="20"/>
                <w:szCs w:val="20"/>
                <w:color w:val="auto"/>
              </w:rPr>
            </w:pPr>
            <w:r>
              <w:rPr>
                <w:rFonts w:ascii="Arial" w:cs="Arial" w:eastAsia="Arial" w:hAnsi="Arial"/>
                <w:sz w:val="11"/>
                <w:szCs w:val="11"/>
                <w:b w:val="1"/>
                <w:bCs w:val="1"/>
                <w:color w:val="auto"/>
              </w:rPr>
              <w:t>Fair Value</w:t>
            </w:r>
          </w:p>
        </w:tc>
        <w:tc>
          <w:tcPr>
            <w:tcW w:w="0" w:type="dxa"/>
            <w:vAlign w:val="bottom"/>
          </w:tcPr>
          <w:p>
            <w:pPr>
              <w:spacing w:after="0"/>
              <w:rPr>
                <w:sz w:val="1"/>
                <w:szCs w:val="1"/>
                <w:color w:val="auto"/>
              </w:rPr>
            </w:pPr>
          </w:p>
        </w:tc>
      </w:tr>
      <w:tr>
        <w:trPr>
          <w:trHeight w:val="148"/>
        </w:trPr>
        <w:tc>
          <w:tcPr>
            <w:tcW w:w="2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8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gridSpan w:val="3"/>
          </w:tcPr>
          <w:p>
            <w:pPr>
              <w:ind w:left="20"/>
              <w:spacing w:after="0"/>
              <w:rPr>
                <w:sz w:val="20"/>
                <w:szCs w:val="20"/>
                <w:color w:val="auto"/>
              </w:rPr>
            </w:pPr>
            <w:r>
              <w:rPr>
                <w:rFonts w:ascii="Arial" w:cs="Arial" w:eastAsia="Arial" w:hAnsi="Arial"/>
                <w:sz w:val="11"/>
                <w:szCs w:val="11"/>
                <w:b w:val="1"/>
                <w:bCs w:val="1"/>
                <w:color w:val="auto"/>
              </w:rPr>
              <w:t>(in millions)</w:t>
            </w:r>
          </w:p>
        </w:tc>
        <w:tc>
          <w:tcPr>
            <w:tcW w:w="8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220" w:type="dxa"/>
            <w:vAlign w:val="bottom"/>
          </w:tcPr>
          <w:p>
            <w:pPr>
              <w:ind w:left="20"/>
              <w:spacing w:after="0"/>
              <w:rPr>
                <w:sz w:val="20"/>
                <w:szCs w:val="20"/>
                <w:color w:val="auto"/>
              </w:rPr>
            </w:pPr>
            <w:r>
              <w:rPr>
                <w:rFonts w:ascii="Arial" w:cs="Arial" w:eastAsia="Arial" w:hAnsi="Arial"/>
                <w:sz w:val="11"/>
                <w:szCs w:val="11"/>
                <w:b w:val="1"/>
                <w:bCs w:val="1"/>
                <w:color w:val="auto"/>
                <w:w w:val="93"/>
              </w:rPr>
              <w:t>Derivatives designated as cash flow hedges:</w:t>
            </w:r>
          </w:p>
        </w:tc>
        <w:tc>
          <w:tcPr>
            <w:tcW w:w="30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3"/>
        </w:trPr>
        <w:tc>
          <w:tcPr>
            <w:tcW w:w="2220" w:type="dxa"/>
            <w:vAlign w:val="bottom"/>
          </w:tcPr>
          <w:p>
            <w:pPr>
              <w:spacing w:after="0"/>
              <w:rPr>
                <w:sz w:val="5"/>
                <w:szCs w:val="5"/>
                <w:color w:val="auto"/>
              </w:rPr>
            </w:pPr>
          </w:p>
        </w:tc>
        <w:tc>
          <w:tcPr>
            <w:tcW w:w="300" w:type="dxa"/>
            <w:vAlign w:val="bottom"/>
          </w:tcPr>
          <w:p>
            <w:pPr>
              <w:spacing w:after="0"/>
              <w:rPr>
                <w:sz w:val="5"/>
                <w:szCs w:val="5"/>
                <w:color w:val="auto"/>
              </w:rPr>
            </w:pPr>
          </w:p>
        </w:tc>
        <w:tc>
          <w:tcPr>
            <w:tcW w:w="3880" w:type="dxa"/>
            <w:vAlign w:val="bottom"/>
          </w:tcPr>
          <w:p>
            <w:pPr>
              <w:spacing w:after="0"/>
              <w:rPr>
                <w:sz w:val="5"/>
                <w:szCs w:val="5"/>
                <w:color w:val="auto"/>
              </w:rPr>
            </w:pPr>
          </w:p>
        </w:tc>
        <w:tc>
          <w:tcPr>
            <w:tcW w:w="120" w:type="dxa"/>
            <w:vAlign w:val="bottom"/>
          </w:tcPr>
          <w:p>
            <w:pPr>
              <w:spacing w:after="0"/>
              <w:rPr>
                <w:sz w:val="5"/>
                <w:szCs w:val="5"/>
                <w:color w:val="auto"/>
              </w:rPr>
            </w:pPr>
          </w:p>
        </w:tc>
        <w:tc>
          <w:tcPr>
            <w:tcW w:w="8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8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9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1"/>
        </w:trPr>
        <w:tc>
          <w:tcPr>
            <w:tcW w:w="2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Interest rate derivatives</w:t>
            </w:r>
          </w:p>
        </w:tc>
        <w:tc>
          <w:tcPr>
            <w:tcW w:w="300" w:type="dxa"/>
            <w:vAlign w:val="bottom"/>
            <w:tcBorders>
              <w:bottom w:val="single" w:sz="8" w:color="CCEEFF"/>
            </w:tcBorders>
            <w:shd w:val="clear" w:color="auto" w:fill="CCEEFF"/>
          </w:tcPr>
          <w:p>
            <w:pPr>
              <w:spacing w:after="0"/>
              <w:rPr>
                <w:sz w:val="18"/>
                <w:szCs w:val="18"/>
                <w:color w:val="auto"/>
              </w:rPr>
            </w:pPr>
          </w:p>
        </w:tc>
        <w:tc>
          <w:tcPr>
            <w:tcW w:w="40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1"/>
                <w:szCs w:val="11"/>
                <w:color w:val="auto"/>
              </w:rPr>
              <w:t>Current Liabilities: Non-trading derivative liabilities</w:t>
            </w:r>
          </w:p>
        </w:tc>
        <w:tc>
          <w:tcPr>
            <w:tcW w:w="880" w:type="dxa"/>
            <w:vAlign w:val="bottom"/>
            <w:tcBorders>
              <w:bottom w:val="single" w:sz="8" w:color="CCEEFF"/>
            </w:tcBorders>
            <w:shd w:val="clear" w:color="auto" w:fill="CCEEFF"/>
          </w:tcPr>
          <w:p>
            <w:pPr>
              <w:jc w:val="right"/>
              <w:ind w:right="743"/>
              <w:spacing w:after="0"/>
              <w:rPr>
                <w:sz w:val="20"/>
                <w:szCs w:val="20"/>
                <w:color w:val="auto"/>
              </w:rPr>
            </w:pPr>
            <w:r>
              <w:rPr>
                <w:rFonts w:ascii="Arial" w:cs="Arial" w:eastAsia="Arial" w:hAnsi="Arial"/>
                <w:sz w:val="11"/>
                <w:szCs w:val="11"/>
                <w:color w:val="auto"/>
                <w:w w:val="97"/>
              </w:rPr>
              <w:t>$</w:t>
            </w:r>
          </w:p>
        </w:tc>
        <w:tc>
          <w:tcPr>
            <w:tcW w:w="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1"/>
                <w:szCs w:val="11"/>
                <w:color w:val="auto"/>
              </w:rPr>
              <w:t>—</w:t>
            </w:r>
          </w:p>
        </w:tc>
        <w:tc>
          <w:tcPr>
            <w:tcW w:w="840" w:type="dxa"/>
            <w:vAlign w:val="bottom"/>
            <w:tcBorders>
              <w:bottom w:val="single" w:sz="8" w:color="CCEEFF"/>
            </w:tcBorders>
            <w:shd w:val="clear" w:color="auto" w:fill="CCEEFF"/>
          </w:tcPr>
          <w:p>
            <w:pPr>
              <w:jc w:val="right"/>
              <w:ind w:right="725"/>
              <w:spacing w:after="0"/>
              <w:rPr>
                <w:sz w:val="20"/>
                <w:szCs w:val="20"/>
                <w:color w:val="auto"/>
              </w:rPr>
            </w:pPr>
            <w:r>
              <w:rPr>
                <w:rFonts w:ascii="Arial" w:cs="Arial" w:eastAsia="Arial" w:hAnsi="Arial"/>
                <w:sz w:val="10"/>
                <w:szCs w:val="10"/>
                <w:color w:val="auto"/>
                <w:w w:val="71"/>
              </w:rPr>
              <w:t>$</w:t>
            </w:r>
          </w:p>
        </w:tc>
        <w:tc>
          <w:tcPr>
            <w:tcW w:w="40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1"/>
                <w:szCs w:val="11"/>
                <w:color w:val="auto"/>
              </w:rPr>
              <w:t>—</w:t>
            </w:r>
          </w:p>
        </w:tc>
        <w:tc>
          <w:tcPr>
            <w:tcW w:w="260" w:type="dxa"/>
            <w:vAlign w:val="bottom"/>
            <w:tcBorders>
              <w:bottom w:val="single" w:sz="8" w:color="CCEEFF"/>
            </w:tcBorders>
            <w:shd w:val="clear" w:color="auto" w:fill="CCEEFF"/>
          </w:tcPr>
          <w:p>
            <w:pPr>
              <w:jc w:val="right"/>
              <w:ind w:right="123"/>
              <w:spacing w:after="0"/>
              <w:rPr>
                <w:sz w:val="20"/>
                <w:szCs w:val="20"/>
                <w:color w:val="auto"/>
              </w:rPr>
            </w:pPr>
            <w:r>
              <w:rPr>
                <w:rFonts w:ascii="Arial" w:cs="Arial" w:eastAsia="Arial" w:hAnsi="Arial"/>
                <w:sz w:val="11"/>
                <w:szCs w:val="11"/>
                <w:color w:val="auto"/>
                <w:w w:val="97"/>
              </w:rPr>
              <w:t>$</w:t>
            </w:r>
          </w:p>
        </w:tc>
        <w:tc>
          <w:tcPr>
            <w:tcW w:w="960" w:type="dxa"/>
            <w:vAlign w:val="bottom"/>
            <w:tcBorders>
              <w:bottom w:val="single" w:sz="8" w:color="CCEEFF"/>
            </w:tcBorders>
            <w:gridSpan w:val="2"/>
            <w:shd w:val="clear" w:color="auto" w:fill="CCEEFF"/>
          </w:tcPr>
          <w:p>
            <w:pPr>
              <w:ind w:left="640"/>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1"/>
                <w:szCs w:val="11"/>
                <w:color w:val="auto"/>
                <w:w w:val="97"/>
              </w:rPr>
              <w:t>$</w:t>
            </w:r>
          </w:p>
        </w:tc>
        <w:tc>
          <w:tcPr>
            <w:tcW w:w="92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1"/>
                <w:szCs w:val="11"/>
                <w:color w:val="auto"/>
              </w:rPr>
              <w:t>24</w:t>
            </w:r>
          </w:p>
        </w:tc>
        <w:tc>
          <w:tcPr>
            <w:tcW w:w="0" w:type="dxa"/>
            <w:vAlign w:val="bottom"/>
          </w:tcPr>
          <w:p>
            <w:pPr>
              <w:spacing w:after="0"/>
              <w:rPr>
                <w:sz w:val="1"/>
                <w:szCs w:val="1"/>
                <w:color w:val="auto"/>
              </w:rPr>
            </w:pPr>
          </w:p>
        </w:tc>
      </w:tr>
      <w:tr>
        <w:trPr>
          <w:trHeight w:val="189"/>
        </w:trPr>
        <w:tc>
          <w:tcPr>
            <w:tcW w:w="2220" w:type="dxa"/>
            <w:vAlign w:val="bottom"/>
          </w:tcPr>
          <w:p>
            <w:pPr>
              <w:spacing w:after="0"/>
              <w:rPr>
                <w:sz w:val="16"/>
                <w:szCs w:val="16"/>
                <w:color w:val="auto"/>
              </w:rPr>
            </w:pPr>
          </w:p>
        </w:tc>
        <w:tc>
          <w:tcPr>
            <w:tcW w:w="4300" w:type="dxa"/>
            <w:vAlign w:val="bottom"/>
            <w:gridSpan w:val="3"/>
          </w:tcPr>
          <w:p>
            <w:pPr>
              <w:ind w:left="60"/>
              <w:spacing w:after="0"/>
              <w:rPr>
                <w:sz w:val="20"/>
                <w:szCs w:val="20"/>
                <w:color w:val="auto"/>
              </w:rPr>
            </w:pPr>
            <w:r>
              <w:rPr>
                <w:rFonts w:ascii="Arial" w:cs="Arial" w:eastAsia="Arial" w:hAnsi="Arial"/>
                <w:sz w:val="11"/>
                <w:szCs w:val="11"/>
                <w:b w:val="1"/>
                <w:bCs w:val="1"/>
                <w:color w:val="auto"/>
              </w:rPr>
              <w:t>Total Houston Electric</w:t>
            </w:r>
          </w:p>
        </w:tc>
        <w:tc>
          <w:tcPr>
            <w:tcW w:w="880" w:type="dxa"/>
            <w:vAlign w:val="bottom"/>
            <w:tcBorders>
              <w:top w:val="single" w:sz="8" w:color="auto"/>
              <w:bottom w:val="single" w:sz="8" w:color="auto"/>
            </w:tcBorders>
          </w:tcPr>
          <w:p>
            <w:pPr>
              <w:jc w:val="right"/>
              <w:ind w:right="743"/>
              <w:spacing w:after="0"/>
              <w:rPr>
                <w:sz w:val="20"/>
                <w:szCs w:val="20"/>
                <w:color w:val="auto"/>
              </w:rPr>
            </w:pPr>
            <w:r>
              <w:rPr>
                <w:rFonts w:ascii="Arial" w:cs="Arial" w:eastAsia="Arial" w:hAnsi="Arial"/>
                <w:sz w:val="11"/>
                <w:szCs w:val="11"/>
                <w:color w:val="auto"/>
                <w:w w:val="97"/>
              </w:rPr>
              <w:t>$</w:t>
            </w:r>
          </w:p>
        </w:tc>
        <w:tc>
          <w:tcPr>
            <w:tcW w:w="28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6"/>
                <w:szCs w:val="16"/>
                <w:color w:val="auto"/>
              </w:rPr>
            </w:pPr>
          </w:p>
        </w:tc>
        <w:tc>
          <w:tcPr>
            <w:tcW w:w="840" w:type="dxa"/>
            <w:vAlign w:val="bottom"/>
            <w:tcBorders>
              <w:top w:val="single" w:sz="8" w:color="auto"/>
              <w:bottom w:val="single" w:sz="8" w:color="auto"/>
            </w:tcBorders>
          </w:tcPr>
          <w:p>
            <w:pPr>
              <w:jc w:val="right"/>
              <w:ind w:right="725"/>
              <w:spacing w:after="0"/>
              <w:rPr>
                <w:sz w:val="20"/>
                <w:szCs w:val="20"/>
                <w:color w:val="auto"/>
              </w:rPr>
            </w:pPr>
            <w:r>
              <w:rPr>
                <w:rFonts w:ascii="Arial" w:cs="Arial" w:eastAsia="Arial" w:hAnsi="Arial"/>
                <w:sz w:val="10"/>
                <w:szCs w:val="10"/>
                <w:color w:val="auto"/>
                <w:w w:val="71"/>
              </w:rPr>
              <w:t>$</w:t>
            </w:r>
          </w:p>
        </w:tc>
        <w:tc>
          <w:tcPr>
            <w:tcW w:w="30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123"/>
              <w:spacing w:after="0"/>
              <w:rPr>
                <w:sz w:val="20"/>
                <w:szCs w:val="20"/>
                <w:color w:val="auto"/>
              </w:rPr>
            </w:pPr>
            <w:r>
              <w:rPr>
                <w:rFonts w:ascii="Arial" w:cs="Arial" w:eastAsia="Arial" w:hAnsi="Arial"/>
                <w:sz w:val="11"/>
                <w:szCs w:val="11"/>
                <w:color w:val="auto"/>
                <w:w w:val="97"/>
              </w:rPr>
              <w:t>$</w:t>
            </w:r>
          </w:p>
        </w:tc>
        <w:tc>
          <w:tcPr>
            <w:tcW w:w="860" w:type="dxa"/>
            <w:vAlign w:val="bottom"/>
            <w:tcBorders>
              <w:top w:val="single" w:sz="8" w:color="auto"/>
              <w:bottom w:val="single" w:sz="8" w:color="auto"/>
            </w:tcBorders>
          </w:tcPr>
          <w:p>
            <w:pPr>
              <w:ind w:left="6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63"/>
              <w:spacing w:after="0"/>
              <w:rPr>
                <w:sz w:val="20"/>
                <w:szCs w:val="20"/>
                <w:color w:val="auto"/>
              </w:rPr>
            </w:pPr>
            <w:r>
              <w:rPr>
                <w:rFonts w:ascii="Arial" w:cs="Arial" w:eastAsia="Arial" w:hAnsi="Arial"/>
                <w:sz w:val="11"/>
                <w:szCs w:val="11"/>
                <w:color w:val="auto"/>
                <w:w w:val="97"/>
              </w:rPr>
              <w:t>$</w:t>
            </w:r>
          </w:p>
        </w:tc>
        <w:tc>
          <w:tcPr>
            <w:tcW w:w="92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1"/>
                <w:szCs w:val="11"/>
                <w:color w:val="auto"/>
              </w:rPr>
              <w:t>24</w:t>
            </w:r>
          </w:p>
        </w:tc>
        <w:tc>
          <w:tcPr>
            <w:tcW w:w="0" w:type="dxa"/>
            <w:vAlign w:val="bottom"/>
          </w:tcPr>
          <w:p>
            <w:pPr>
              <w:spacing w:after="0"/>
              <w:rPr>
                <w:sz w:val="1"/>
                <w:szCs w:val="1"/>
                <w:color w:val="auto"/>
              </w:rPr>
            </w:pPr>
          </w:p>
        </w:tc>
      </w:tr>
      <w:tr>
        <w:trPr>
          <w:trHeight w:val="20"/>
        </w:trPr>
        <w:tc>
          <w:tcPr>
            <w:tcW w:w="2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34</w:t>
      </w:r>
    </w:p>
    <w:p>
      <w:pPr>
        <w:sectPr>
          <w:pgSz w:w="11900" w:h="16838" w:orient="portrait"/>
          <w:cols w:equalWidth="0" w:num="1">
            <w:col w:w="11460"/>
          </w:cols>
          <w:pgMar w:left="220" w:top="129" w:right="219" w:bottom="1440" w:gutter="0" w:footer="0" w:header="0"/>
        </w:sectPr>
      </w:pPr>
    </w:p>
    <w:bookmarkStart w:id="44" w:name="page45"/>
    <w:bookmarkEnd w:id="44"/>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CERC</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20" w:type="dxa"/>
            <w:vAlign w:val="bottom"/>
            <w:tcBorders>
              <w:bottom w:val="single" w:sz="8" w:color="auto"/>
            </w:tcBorders>
            <w:gridSpan w:val="4"/>
          </w:tcPr>
          <w:p>
            <w:pPr>
              <w:jc w:val="right"/>
              <w:ind w:right="363"/>
              <w:spacing w:after="0"/>
              <w:rPr>
                <w:sz w:val="20"/>
                <w:szCs w:val="20"/>
                <w:color w:val="auto"/>
              </w:rPr>
            </w:pPr>
            <w:r>
              <w:rPr>
                <w:rFonts w:ascii="Arial" w:cs="Arial" w:eastAsia="Arial" w:hAnsi="Arial"/>
                <w:sz w:val="11"/>
                <w:szCs w:val="11"/>
                <w:b w:val="1"/>
                <w:bCs w:val="1"/>
                <w:color w:val="auto"/>
              </w:rPr>
              <w:t>September 30, 2019</w:t>
            </w:r>
          </w:p>
        </w:tc>
        <w:tc>
          <w:tcPr>
            <w:tcW w:w="3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100" w:type="dxa"/>
            <w:vAlign w:val="bottom"/>
            <w:tcBorders>
              <w:bottom w:val="single" w:sz="8" w:color="auto"/>
            </w:tcBorders>
            <w:gridSpan w:val="4"/>
          </w:tcPr>
          <w:p>
            <w:pPr>
              <w:jc w:val="right"/>
              <w:ind w:right="643"/>
              <w:spacing w:after="0"/>
              <w:rPr>
                <w:sz w:val="20"/>
                <w:szCs w:val="20"/>
                <w:color w:val="auto"/>
              </w:rPr>
            </w:pPr>
            <w:r>
              <w:rPr>
                <w:rFonts w:ascii="Arial" w:cs="Arial" w:eastAsia="Arial" w:hAnsi="Arial"/>
                <w:sz w:val="11"/>
                <w:szCs w:val="11"/>
                <w:b w:val="1"/>
                <w:bCs w:val="1"/>
                <w:color w:val="auto"/>
              </w:rPr>
              <w:t>December 31, 2018</w:t>
            </w:r>
          </w:p>
        </w:tc>
        <w:tc>
          <w:tcPr>
            <w:tcW w:w="0" w:type="dxa"/>
            <w:vAlign w:val="bottom"/>
          </w:tcPr>
          <w:p>
            <w:pPr>
              <w:spacing w:after="0"/>
              <w:rPr>
                <w:sz w:val="1"/>
                <w:szCs w:val="1"/>
                <w:color w:val="auto"/>
              </w:rPr>
            </w:pPr>
          </w:p>
        </w:tc>
      </w:tr>
      <w:tr>
        <w:trPr>
          <w:trHeight w:val="118"/>
        </w:trPr>
        <w:tc>
          <w:tcPr>
            <w:tcW w:w="2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jc w:val="center"/>
              <w:ind w:left="243"/>
              <w:spacing w:after="0" w:line="119" w:lineRule="exact"/>
              <w:rPr>
                <w:sz w:val="20"/>
                <w:szCs w:val="20"/>
                <w:color w:val="auto"/>
              </w:rPr>
            </w:pPr>
            <w:r>
              <w:rPr>
                <w:rFonts w:ascii="Arial" w:cs="Arial" w:eastAsia="Arial" w:hAnsi="Arial"/>
                <w:sz w:val="11"/>
                <w:szCs w:val="11"/>
                <w:b w:val="1"/>
                <w:bCs w:val="1"/>
                <w:color w:val="auto"/>
                <w:w w:val="98"/>
              </w:rPr>
              <w:t>Derivative</w:t>
            </w: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ind w:left="320"/>
              <w:spacing w:after="0" w:line="119" w:lineRule="exact"/>
              <w:rPr>
                <w:sz w:val="20"/>
                <w:szCs w:val="20"/>
                <w:color w:val="auto"/>
              </w:rPr>
            </w:pPr>
            <w:r>
              <w:rPr>
                <w:rFonts w:ascii="Arial" w:cs="Arial" w:eastAsia="Arial" w:hAnsi="Arial"/>
                <w:sz w:val="11"/>
                <w:szCs w:val="11"/>
                <w:b w:val="1"/>
                <w:bCs w:val="1"/>
                <w:color w:val="auto"/>
                <w:w w:val="94"/>
              </w:rPr>
              <w:t>Derivative</w:t>
            </w: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80" w:type="dxa"/>
            <w:vAlign w:val="bottom"/>
            <w:gridSpan w:val="2"/>
          </w:tcPr>
          <w:p>
            <w:pPr>
              <w:jc w:val="center"/>
              <w:ind w:right="380"/>
              <w:spacing w:after="0" w:line="119" w:lineRule="exact"/>
              <w:rPr>
                <w:sz w:val="20"/>
                <w:szCs w:val="20"/>
                <w:color w:val="auto"/>
              </w:rPr>
            </w:pPr>
            <w:r>
              <w:rPr>
                <w:rFonts w:ascii="Arial" w:cs="Arial" w:eastAsia="Arial" w:hAnsi="Arial"/>
                <w:sz w:val="11"/>
                <w:szCs w:val="11"/>
                <w:b w:val="1"/>
                <w:bCs w:val="1"/>
                <w:color w:val="auto"/>
                <w:w w:val="98"/>
              </w:rPr>
              <w:t>Derivative</w:t>
            </w:r>
          </w:p>
        </w:tc>
        <w:tc>
          <w:tcPr>
            <w:tcW w:w="180" w:type="dxa"/>
            <w:vAlign w:val="bottom"/>
          </w:tcPr>
          <w:p>
            <w:pPr>
              <w:spacing w:after="0"/>
              <w:rPr>
                <w:sz w:val="10"/>
                <w:szCs w:val="10"/>
                <w:color w:val="auto"/>
              </w:rPr>
            </w:pPr>
          </w:p>
        </w:tc>
        <w:tc>
          <w:tcPr>
            <w:tcW w:w="940" w:type="dxa"/>
            <w:vAlign w:val="bottom"/>
          </w:tcPr>
          <w:p>
            <w:pPr>
              <w:ind w:left="120"/>
              <w:spacing w:after="0" w:line="119" w:lineRule="exact"/>
              <w:rPr>
                <w:sz w:val="20"/>
                <w:szCs w:val="20"/>
                <w:color w:val="auto"/>
              </w:rPr>
            </w:pPr>
            <w:r>
              <w:rPr>
                <w:rFonts w:ascii="Arial" w:cs="Arial" w:eastAsia="Arial" w:hAnsi="Arial"/>
                <w:sz w:val="11"/>
                <w:szCs w:val="11"/>
                <w:b w:val="1"/>
                <w:bCs w:val="1"/>
                <w:color w:val="auto"/>
              </w:rPr>
              <w:t>Derivative</w:t>
            </w:r>
          </w:p>
        </w:tc>
        <w:tc>
          <w:tcPr>
            <w:tcW w:w="0" w:type="dxa"/>
            <w:vAlign w:val="bottom"/>
          </w:tcPr>
          <w:p>
            <w:pPr>
              <w:spacing w:after="0"/>
              <w:rPr>
                <w:sz w:val="1"/>
                <w:szCs w:val="1"/>
                <w:color w:val="auto"/>
              </w:rPr>
            </w:pPr>
          </w:p>
        </w:tc>
      </w:tr>
      <w:tr>
        <w:trPr>
          <w:trHeight w:val="119"/>
        </w:trPr>
        <w:tc>
          <w:tcPr>
            <w:tcW w:w="2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20" w:type="dxa"/>
            <w:vAlign w:val="bottom"/>
            <w:gridSpan w:val="2"/>
            <w:vMerge w:val="restart"/>
          </w:tcPr>
          <w:p>
            <w:pPr>
              <w:ind w:left="1380"/>
              <w:spacing w:after="0"/>
              <w:rPr>
                <w:sz w:val="20"/>
                <w:szCs w:val="20"/>
                <w:color w:val="auto"/>
              </w:rPr>
            </w:pPr>
            <w:r>
              <w:rPr>
                <w:rFonts w:ascii="Arial" w:cs="Arial" w:eastAsia="Arial" w:hAnsi="Arial"/>
                <w:sz w:val="11"/>
                <w:szCs w:val="11"/>
                <w:b w:val="1"/>
                <w:bCs w:val="1"/>
                <w:color w:val="auto"/>
              </w:rPr>
              <w:t>Balance Sheet Location</w:t>
            </w:r>
          </w:p>
        </w:tc>
        <w:tc>
          <w:tcPr>
            <w:tcW w:w="860" w:type="dxa"/>
            <w:vAlign w:val="bottom"/>
          </w:tcPr>
          <w:p>
            <w:pPr>
              <w:jc w:val="center"/>
              <w:ind w:left="243"/>
              <w:spacing w:after="0" w:line="119" w:lineRule="exact"/>
              <w:rPr>
                <w:sz w:val="20"/>
                <w:szCs w:val="20"/>
                <w:color w:val="auto"/>
              </w:rPr>
            </w:pPr>
            <w:r>
              <w:rPr>
                <w:rFonts w:ascii="Arial" w:cs="Arial" w:eastAsia="Arial" w:hAnsi="Arial"/>
                <w:sz w:val="11"/>
                <w:szCs w:val="11"/>
                <w:b w:val="1"/>
                <w:bCs w:val="1"/>
                <w:color w:val="auto"/>
                <w:w w:val="88"/>
              </w:rPr>
              <w:t>Assets</w:t>
            </w: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ind w:left="320"/>
              <w:spacing w:after="0" w:line="119" w:lineRule="exact"/>
              <w:rPr>
                <w:sz w:val="20"/>
                <w:szCs w:val="20"/>
                <w:color w:val="auto"/>
              </w:rPr>
            </w:pPr>
            <w:r>
              <w:rPr>
                <w:rFonts w:ascii="Arial" w:cs="Arial" w:eastAsia="Arial" w:hAnsi="Arial"/>
                <w:sz w:val="11"/>
                <w:szCs w:val="11"/>
                <w:b w:val="1"/>
                <w:bCs w:val="1"/>
                <w:color w:val="auto"/>
                <w:w w:val="98"/>
              </w:rPr>
              <w:t>Liabilities</w:t>
            </w: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80" w:type="dxa"/>
            <w:vAlign w:val="bottom"/>
            <w:gridSpan w:val="2"/>
          </w:tcPr>
          <w:p>
            <w:pPr>
              <w:jc w:val="center"/>
              <w:ind w:right="400"/>
              <w:spacing w:after="0" w:line="119" w:lineRule="exact"/>
              <w:rPr>
                <w:sz w:val="20"/>
                <w:szCs w:val="20"/>
                <w:color w:val="auto"/>
              </w:rPr>
            </w:pPr>
            <w:r>
              <w:rPr>
                <w:rFonts w:ascii="Arial" w:cs="Arial" w:eastAsia="Arial" w:hAnsi="Arial"/>
                <w:sz w:val="11"/>
                <w:szCs w:val="11"/>
                <w:b w:val="1"/>
                <w:bCs w:val="1"/>
                <w:color w:val="auto"/>
                <w:w w:val="83"/>
              </w:rPr>
              <w:t>Assets</w:t>
            </w:r>
          </w:p>
        </w:tc>
        <w:tc>
          <w:tcPr>
            <w:tcW w:w="180" w:type="dxa"/>
            <w:vAlign w:val="bottom"/>
          </w:tcPr>
          <w:p>
            <w:pPr>
              <w:spacing w:after="0"/>
              <w:rPr>
                <w:sz w:val="10"/>
                <w:szCs w:val="10"/>
                <w:color w:val="auto"/>
              </w:rPr>
            </w:pPr>
          </w:p>
        </w:tc>
        <w:tc>
          <w:tcPr>
            <w:tcW w:w="940" w:type="dxa"/>
            <w:vAlign w:val="bottom"/>
          </w:tcPr>
          <w:p>
            <w:pPr>
              <w:ind w:left="140"/>
              <w:spacing w:after="0" w:line="119" w:lineRule="exact"/>
              <w:rPr>
                <w:sz w:val="20"/>
                <w:szCs w:val="20"/>
                <w:color w:val="auto"/>
              </w:rPr>
            </w:pPr>
            <w:r>
              <w:rPr>
                <w:rFonts w:ascii="Arial" w:cs="Arial" w:eastAsia="Arial" w:hAnsi="Arial"/>
                <w:sz w:val="11"/>
                <w:szCs w:val="11"/>
                <w:b w:val="1"/>
                <w:bCs w:val="1"/>
                <w:color w:val="auto"/>
              </w:rPr>
              <w:t>Liabilities</w:t>
            </w:r>
          </w:p>
        </w:tc>
        <w:tc>
          <w:tcPr>
            <w:tcW w:w="0" w:type="dxa"/>
            <w:vAlign w:val="bottom"/>
          </w:tcPr>
          <w:p>
            <w:pPr>
              <w:spacing w:after="0"/>
              <w:rPr>
                <w:sz w:val="1"/>
                <w:szCs w:val="1"/>
                <w:color w:val="auto"/>
              </w:rPr>
            </w:pPr>
          </w:p>
        </w:tc>
      </w:tr>
      <w:tr>
        <w:trPr>
          <w:trHeight w:val="153"/>
        </w:trPr>
        <w:tc>
          <w:tcPr>
            <w:tcW w:w="2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20" w:type="dxa"/>
            <w:vAlign w:val="bottom"/>
            <w:gridSpan w:val="2"/>
            <w:vMerge w:val="continue"/>
          </w:tcPr>
          <w:p>
            <w:pPr>
              <w:spacing w:after="0"/>
              <w:rPr>
                <w:sz w:val="13"/>
                <w:szCs w:val="13"/>
                <w:color w:val="auto"/>
              </w:rPr>
            </w:pPr>
          </w:p>
        </w:tc>
        <w:tc>
          <w:tcPr>
            <w:tcW w:w="860" w:type="dxa"/>
            <w:vAlign w:val="bottom"/>
          </w:tcPr>
          <w:p>
            <w:pPr>
              <w:jc w:val="center"/>
              <w:ind w:left="243"/>
              <w:spacing w:after="0"/>
              <w:rPr>
                <w:sz w:val="20"/>
                <w:szCs w:val="20"/>
                <w:color w:val="auto"/>
              </w:rPr>
            </w:pPr>
            <w:r>
              <w:rPr>
                <w:rFonts w:ascii="Arial" w:cs="Arial" w:eastAsia="Arial" w:hAnsi="Arial"/>
                <w:sz w:val="11"/>
                <w:szCs w:val="11"/>
                <w:b w:val="1"/>
                <w:bCs w:val="1"/>
                <w:color w:val="auto"/>
                <w:w w:val="98"/>
              </w:rPr>
              <w:t>Fair Value</w:t>
            </w: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ind w:left="320"/>
              <w:spacing w:after="0"/>
              <w:rPr>
                <w:sz w:val="20"/>
                <w:szCs w:val="20"/>
                <w:color w:val="auto"/>
              </w:rPr>
            </w:pPr>
            <w:r>
              <w:rPr>
                <w:rFonts w:ascii="Arial" w:cs="Arial" w:eastAsia="Arial" w:hAnsi="Arial"/>
                <w:sz w:val="11"/>
                <w:szCs w:val="11"/>
                <w:b w:val="1"/>
                <w:bCs w:val="1"/>
                <w:color w:val="auto"/>
                <w:w w:val="94"/>
              </w:rPr>
              <w:t>Fair Value</w:t>
            </w: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gridSpan w:val="2"/>
          </w:tcPr>
          <w:p>
            <w:pPr>
              <w:jc w:val="center"/>
              <w:ind w:right="380"/>
              <w:spacing w:after="0"/>
              <w:rPr>
                <w:sz w:val="20"/>
                <w:szCs w:val="20"/>
                <w:color w:val="auto"/>
              </w:rPr>
            </w:pPr>
            <w:r>
              <w:rPr>
                <w:rFonts w:ascii="Arial" w:cs="Arial" w:eastAsia="Arial" w:hAnsi="Arial"/>
                <w:sz w:val="11"/>
                <w:szCs w:val="11"/>
                <w:b w:val="1"/>
                <w:bCs w:val="1"/>
                <w:color w:val="auto"/>
                <w:w w:val="98"/>
              </w:rPr>
              <w:t>Fair Value</w:t>
            </w:r>
          </w:p>
        </w:tc>
        <w:tc>
          <w:tcPr>
            <w:tcW w:w="180" w:type="dxa"/>
            <w:vAlign w:val="bottom"/>
          </w:tcPr>
          <w:p>
            <w:pPr>
              <w:spacing w:after="0"/>
              <w:rPr>
                <w:sz w:val="13"/>
                <w:szCs w:val="13"/>
                <w:color w:val="auto"/>
              </w:rPr>
            </w:pPr>
          </w:p>
        </w:tc>
        <w:tc>
          <w:tcPr>
            <w:tcW w:w="940" w:type="dxa"/>
            <w:vAlign w:val="bottom"/>
          </w:tcPr>
          <w:p>
            <w:pPr>
              <w:ind w:left="120"/>
              <w:spacing w:after="0"/>
              <w:rPr>
                <w:sz w:val="20"/>
                <w:szCs w:val="20"/>
                <w:color w:val="auto"/>
              </w:rPr>
            </w:pPr>
            <w:r>
              <w:rPr>
                <w:rFonts w:ascii="Arial" w:cs="Arial" w:eastAsia="Arial" w:hAnsi="Arial"/>
                <w:sz w:val="11"/>
                <w:szCs w:val="11"/>
                <w:b w:val="1"/>
                <w:bCs w:val="1"/>
                <w:color w:val="auto"/>
              </w:rPr>
              <w:t>Fair Value</w:t>
            </w:r>
          </w:p>
        </w:tc>
        <w:tc>
          <w:tcPr>
            <w:tcW w:w="0" w:type="dxa"/>
            <w:vAlign w:val="bottom"/>
          </w:tcPr>
          <w:p>
            <w:pPr>
              <w:spacing w:after="0"/>
              <w:rPr>
                <w:sz w:val="1"/>
                <w:szCs w:val="1"/>
                <w:color w:val="auto"/>
              </w:rPr>
            </w:pPr>
          </w:p>
        </w:tc>
      </w:tr>
      <w:tr>
        <w:trPr>
          <w:trHeight w:val="148"/>
        </w:trPr>
        <w:tc>
          <w:tcPr>
            <w:tcW w:w="2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9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(in millions)</w:t>
            </w:r>
          </w:p>
        </w:tc>
        <w:tc>
          <w:tcPr>
            <w:tcW w:w="8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220" w:type="dxa"/>
            <w:vAlign w:val="bottom"/>
          </w:tcPr>
          <w:p>
            <w:pPr>
              <w:ind w:left="20"/>
              <w:spacing w:after="0"/>
              <w:rPr>
                <w:sz w:val="20"/>
                <w:szCs w:val="20"/>
                <w:color w:val="auto"/>
              </w:rPr>
            </w:pPr>
            <w:r>
              <w:rPr>
                <w:rFonts w:ascii="Arial" w:cs="Arial" w:eastAsia="Arial" w:hAnsi="Arial"/>
                <w:sz w:val="11"/>
                <w:szCs w:val="11"/>
                <w:b w:val="1"/>
                <w:bCs w:val="1"/>
                <w:color w:val="auto"/>
                <w:w w:val="94"/>
              </w:rPr>
              <w:t>Derivatives designated as fair value hedges:</w:t>
            </w:r>
          </w:p>
        </w:tc>
        <w:tc>
          <w:tcPr>
            <w:tcW w:w="32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3"/>
        </w:trPr>
        <w:tc>
          <w:tcPr>
            <w:tcW w:w="2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3900" w:type="dxa"/>
            <w:vAlign w:val="bottom"/>
          </w:tcPr>
          <w:p>
            <w:pPr>
              <w:spacing w:after="0"/>
              <w:rPr>
                <w:sz w:val="5"/>
                <w:szCs w:val="5"/>
                <w:color w:val="auto"/>
              </w:rPr>
            </w:pPr>
          </w:p>
        </w:tc>
        <w:tc>
          <w:tcPr>
            <w:tcW w:w="120" w:type="dxa"/>
            <w:vAlign w:val="bottom"/>
          </w:tcPr>
          <w:p>
            <w:pPr>
              <w:spacing w:after="0"/>
              <w:rPr>
                <w:sz w:val="5"/>
                <w:szCs w:val="5"/>
                <w:color w:val="auto"/>
              </w:rPr>
            </w:pPr>
          </w:p>
        </w:tc>
        <w:tc>
          <w:tcPr>
            <w:tcW w:w="8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0" w:type="dxa"/>
            <w:vAlign w:val="bottom"/>
          </w:tcPr>
          <w:p>
            <w:pPr>
              <w:spacing w:after="0"/>
              <w:rPr>
                <w:sz w:val="5"/>
                <w:szCs w:val="5"/>
                <w:color w:val="auto"/>
              </w:rPr>
            </w:pPr>
          </w:p>
        </w:tc>
        <w:tc>
          <w:tcPr>
            <w:tcW w:w="8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8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220" w:type="dxa"/>
            <w:vAlign w:val="bottom"/>
            <w:shd w:val="clear" w:color="auto" w:fill="CCEEFF"/>
          </w:tcPr>
          <w:p>
            <w:pPr>
              <w:ind w:left="20"/>
              <w:spacing w:after="0"/>
              <w:rPr>
                <w:sz w:val="20"/>
                <w:szCs w:val="20"/>
                <w:color w:val="auto"/>
              </w:rPr>
            </w:pPr>
            <w:r>
              <w:rPr>
                <w:rFonts w:ascii="Arial" w:cs="Arial" w:eastAsia="Arial" w:hAnsi="Arial"/>
                <w:sz w:val="11"/>
                <w:szCs w:val="11"/>
                <w:color w:val="auto"/>
              </w:rPr>
              <w:t>Natural gas derivatives (1) (2) (3)</w:t>
            </w:r>
          </w:p>
        </w:tc>
        <w:tc>
          <w:tcPr>
            <w:tcW w:w="320" w:type="dxa"/>
            <w:vAlign w:val="bottom"/>
            <w:shd w:val="clear" w:color="auto" w:fill="CCEEFF"/>
          </w:tcPr>
          <w:p>
            <w:pPr>
              <w:spacing w:after="0"/>
              <w:rPr>
                <w:sz w:val="18"/>
                <w:szCs w:val="18"/>
                <w:color w:val="auto"/>
              </w:rPr>
            </w:pPr>
          </w:p>
        </w:tc>
        <w:tc>
          <w:tcPr>
            <w:tcW w:w="402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Current Liabilities: Non-trading derivative liabilities</w:t>
            </w:r>
          </w:p>
        </w:tc>
        <w:tc>
          <w:tcPr>
            <w:tcW w:w="860" w:type="dxa"/>
            <w:vAlign w:val="bottom"/>
            <w:shd w:val="clear" w:color="auto" w:fill="CCEEFF"/>
          </w:tcPr>
          <w:p>
            <w:pPr>
              <w:jc w:val="right"/>
              <w:ind w:right="723"/>
              <w:spacing w:after="0"/>
              <w:rPr>
                <w:sz w:val="20"/>
                <w:szCs w:val="20"/>
                <w:color w:val="auto"/>
              </w:rPr>
            </w:pPr>
            <w:r>
              <w:rPr>
                <w:rFonts w:ascii="Arial" w:cs="Arial" w:eastAsia="Arial" w:hAnsi="Arial"/>
                <w:sz w:val="11"/>
                <w:szCs w:val="11"/>
                <w:color w:val="auto"/>
                <w:w w:val="97"/>
              </w:rPr>
              <w:t>$</w:t>
            </w:r>
          </w:p>
        </w:tc>
        <w:tc>
          <w:tcPr>
            <w:tcW w:w="30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7</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703"/>
              <w:spacing w:after="0"/>
              <w:rPr>
                <w:sz w:val="20"/>
                <w:szCs w:val="20"/>
                <w:color w:val="auto"/>
              </w:rPr>
            </w:pPr>
            <w:r>
              <w:rPr>
                <w:rFonts w:ascii="Arial" w:cs="Arial" w:eastAsia="Arial" w:hAnsi="Arial"/>
                <w:sz w:val="11"/>
                <w:szCs w:val="11"/>
                <w:color w:val="auto"/>
                <w:w w:val="97"/>
              </w:rPr>
              <w:t>$</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260" w:type="dxa"/>
            <w:vAlign w:val="bottom"/>
            <w:shd w:val="clear" w:color="auto" w:fill="CCEEFF"/>
          </w:tcPr>
          <w:p>
            <w:pPr>
              <w:jc w:val="right"/>
              <w:ind w:right="123"/>
              <w:spacing w:after="0"/>
              <w:rPr>
                <w:sz w:val="20"/>
                <w:szCs w:val="20"/>
                <w:color w:val="auto"/>
              </w:rPr>
            </w:pPr>
            <w:r>
              <w:rPr>
                <w:rFonts w:ascii="Arial" w:cs="Arial" w:eastAsia="Arial" w:hAnsi="Arial"/>
                <w:sz w:val="11"/>
                <w:szCs w:val="11"/>
                <w:color w:val="auto"/>
                <w:w w:val="97"/>
              </w:rPr>
              <w:t>$</w:t>
            </w:r>
          </w:p>
        </w:tc>
        <w:tc>
          <w:tcPr>
            <w:tcW w:w="86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68"/>
              <w:spacing w:after="0"/>
              <w:rPr>
                <w:sz w:val="20"/>
                <w:szCs w:val="20"/>
                <w:color w:val="auto"/>
              </w:rPr>
            </w:pPr>
            <w:r>
              <w:rPr>
                <w:rFonts w:ascii="Arial" w:cs="Arial" w:eastAsia="Arial" w:hAnsi="Arial"/>
                <w:sz w:val="10"/>
                <w:szCs w:val="10"/>
                <w:color w:val="auto"/>
                <w:w w:val="71"/>
              </w:rPr>
              <w:t>$</w:t>
            </w:r>
          </w:p>
        </w:tc>
        <w:tc>
          <w:tcPr>
            <w:tcW w:w="94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7</w:t>
            </w:r>
          </w:p>
        </w:tc>
        <w:tc>
          <w:tcPr>
            <w:tcW w:w="0" w:type="dxa"/>
            <w:vAlign w:val="bottom"/>
          </w:tcPr>
          <w:p>
            <w:pPr>
              <w:spacing w:after="0"/>
              <w:rPr>
                <w:sz w:val="1"/>
                <w:szCs w:val="1"/>
                <w:color w:val="auto"/>
              </w:rPr>
            </w:pPr>
          </w:p>
        </w:tc>
      </w:tr>
      <w:tr>
        <w:trPr>
          <w:trHeight w:val="211"/>
        </w:trPr>
        <w:tc>
          <w:tcPr>
            <w:tcW w:w="6560" w:type="dxa"/>
            <w:vAlign w:val="bottom"/>
            <w:gridSpan w:val="4"/>
          </w:tcPr>
          <w:p>
            <w:pPr>
              <w:ind w:left="20"/>
              <w:spacing w:after="0"/>
              <w:rPr>
                <w:sz w:val="20"/>
                <w:szCs w:val="20"/>
                <w:color w:val="auto"/>
              </w:rPr>
            </w:pPr>
            <w:r>
              <w:rPr>
                <w:rFonts w:ascii="Arial" w:cs="Arial" w:eastAsia="Arial" w:hAnsi="Arial"/>
                <w:sz w:val="11"/>
                <w:szCs w:val="11"/>
                <w:b w:val="1"/>
                <w:bCs w:val="1"/>
                <w:color w:val="auto"/>
              </w:rPr>
              <w:t>Derivatives not designated as hedging instruments:</w:t>
            </w: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220" w:type="dxa"/>
            <w:vAlign w:val="bottom"/>
            <w:shd w:val="clear" w:color="auto" w:fill="CCEEFF"/>
          </w:tcPr>
          <w:p>
            <w:pPr>
              <w:ind w:left="20"/>
              <w:spacing w:after="0"/>
              <w:rPr>
                <w:sz w:val="20"/>
                <w:szCs w:val="20"/>
                <w:color w:val="auto"/>
              </w:rPr>
            </w:pPr>
            <w:r>
              <w:rPr>
                <w:rFonts w:ascii="Arial" w:cs="Arial" w:eastAsia="Arial" w:hAnsi="Arial"/>
                <w:sz w:val="11"/>
                <w:szCs w:val="11"/>
                <w:color w:val="auto"/>
              </w:rPr>
              <w:t>Natural gas derivatives (1) (2) (3)</w:t>
            </w:r>
          </w:p>
        </w:tc>
        <w:tc>
          <w:tcPr>
            <w:tcW w:w="320" w:type="dxa"/>
            <w:vAlign w:val="bottom"/>
            <w:shd w:val="clear" w:color="auto" w:fill="CCEEFF"/>
          </w:tcPr>
          <w:p>
            <w:pPr>
              <w:spacing w:after="0"/>
              <w:rPr>
                <w:sz w:val="19"/>
                <w:szCs w:val="19"/>
                <w:color w:val="auto"/>
              </w:rPr>
            </w:pPr>
          </w:p>
        </w:tc>
        <w:tc>
          <w:tcPr>
            <w:tcW w:w="402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Current Assets: Non-trading derivative assets</w:t>
            </w:r>
          </w:p>
        </w:tc>
        <w:tc>
          <w:tcPr>
            <w:tcW w:w="86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w w:val="86"/>
              </w:rPr>
              <w:t>123</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103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3</w:t>
            </w:r>
          </w:p>
        </w:tc>
        <w:tc>
          <w:tcPr>
            <w:tcW w:w="0" w:type="dxa"/>
            <w:vAlign w:val="bottom"/>
          </w:tcPr>
          <w:p>
            <w:pPr>
              <w:spacing w:after="0"/>
              <w:rPr>
                <w:sz w:val="1"/>
                <w:szCs w:val="1"/>
                <w:color w:val="auto"/>
              </w:rPr>
            </w:pPr>
          </w:p>
        </w:tc>
      </w:tr>
      <w:tr>
        <w:trPr>
          <w:trHeight w:val="211"/>
        </w:trPr>
        <w:tc>
          <w:tcPr>
            <w:tcW w:w="2220" w:type="dxa"/>
            <w:vAlign w:val="bottom"/>
          </w:tcPr>
          <w:p>
            <w:pPr>
              <w:ind w:left="20"/>
              <w:spacing w:after="0"/>
              <w:rPr>
                <w:sz w:val="20"/>
                <w:szCs w:val="20"/>
                <w:color w:val="auto"/>
              </w:rPr>
            </w:pPr>
            <w:r>
              <w:rPr>
                <w:rFonts w:ascii="Arial" w:cs="Arial" w:eastAsia="Arial" w:hAnsi="Arial"/>
                <w:sz w:val="11"/>
                <w:szCs w:val="11"/>
                <w:color w:val="auto"/>
              </w:rPr>
              <w:t>Natural gas derivatives (1) (2) (3)</w:t>
            </w:r>
          </w:p>
        </w:tc>
        <w:tc>
          <w:tcPr>
            <w:tcW w:w="320" w:type="dxa"/>
            <w:vAlign w:val="bottom"/>
          </w:tcPr>
          <w:p>
            <w:pPr>
              <w:spacing w:after="0"/>
              <w:rPr>
                <w:sz w:val="18"/>
                <w:szCs w:val="18"/>
                <w:color w:val="auto"/>
              </w:rPr>
            </w:pPr>
          </w:p>
        </w:tc>
        <w:tc>
          <w:tcPr>
            <w:tcW w:w="4020" w:type="dxa"/>
            <w:vAlign w:val="bottom"/>
            <w:gridSpan w:val="2"/>
          </w:tcPr>
          <w:p>
            <w:pPr>
              <w:ind w:left="20"/>
              <w:spacing w:after="0"/>
              <w:rPr>
                <w:sz w:val="20"/>
                <w:szCs w:val="20"/>
                <w:color w:val="auto"/>
              </w:rPr>
            </w:pPr>
            <w:r>
              <w:rPr>
                <w:rFonts w:ascii="Arial" w:cs="Arial" w:eastAsia="Arial" w:hAnsi="Arial"/>
                <w:sz w:val="11"/>
                <w:szCs w:val="11"/>
                <w:color w:val="auto"/>
              </w:rPr>
              <w:t>Other Assets: Non-trading derivative assets</w:t>
            </w:r>
          </w:p>
        </w:tc>
        <w:tc>
          <w:tcPr>
            <w:tcW w:w="860" w:type="dxa"/>
            <w:vAlign w:val="bottom"/>
          </w:tcPr>
          <w:p>
            <w:pPr>
              <w:spacing w:after="0"/>
              <w:rPr>
                <w:sz w:val="18"/>
                <w:szCs w:val="18"/>
                <w:color w:val="auto"/>
              </w:rPr>
            </w:pPr>
          </w:p>
        </w:tc>
        <w:tc>
          <w:tcPr>
            <w:tcW w:w="300" w:type="dxa"/>
            <w:vAlign w:val="bottom"/>
          </w:tcPr>
          <w:p>
            <w:pPr>
              <w:jc w:val="right"/>
              <w:ind w:right="63"/>
              <w:spacing w:after="0"/>
              <w:rPr>
                <w:sz w:val="20"/>
                <w:szCs w:val="20"/>
                <w:color w:val="auto"/>
              </w:rPr>
            </w:pPr>
            <w:r>
              <w:rPr>
                <w:rFonts w:ascii="Arial" w:cs="Arial" w:eastAsia="Arial" w:hAnsi="Arial"/>
                <w:sz w:val="11"/>
                <w:szCs w:val="11"/>
                <w:color w:val="auto"/>
              </w:rPr>
              <w:t>65</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8"/>
                <w:szCs w:val="18"/>
                <w:color w:val="auto"/>
              </w:rPr>
            </w:pPr>
          </w:p>
        </w:tc>
        <w:tc>
          <w:tcPr>
            <w:tcW w:w="860" w:type="dxa"/>
            <w:vAlign w:val="bottom"/>
          </w:tcPr>
          <w:p>
            <w:pPr>
              <w:jc w:val="right"/>
              <w:ind w:right="43"/>
              <w:spacing w:after="0"/>
              <w:rPr>
                <w:sz w:val="20"/>
                <w:szCs w:val="20"/>
                <w:color w:val="auto"/>
              </w:rPr>
            </w:pPr>
            <w:r>
              <w:rPr>
                <w:rFonts w:ascii="Arial" w:cs="Arial" w:eastAsia="Arial" w:hAnsi="Arial"/>
                <w:sz w:val="11"/>
                <w:szCs w:val="11"/>
                <w:color w:val="auto"/>
              </w:rPr>
              <w:t>38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ind w:right="43"/>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20"/>
        </w:trPr>
        <w:tc>
          <w:tcPr>
            <w:tcW w:w="2220" w:type="dxa"/>
            <w:vAlign w:val="bottom"/>
            <w:shd w:val="clear" w:color="auto" w:fill="CCEEFF"/>
          </w:tcPr>
          <w:p>
            <w:pPr>
              <w:ind w:left="20"/>
              <w:spacing w:after="0"/>
              <w:rPr>
                <w:sz w:val="20"/>
                <w:szCs w:val="20"/>
                <w:color w:val="auto"/>
              </w:rPr>
            </w:pPr>
            <w:r>
              <w:rPr>
                <w:rFonts w:ascii="Arial" w:cs="Arial" w:eastAsia="Arial" w:hAnsi="Arial"/>
                <w:sz w:val="11"/>
                <w:szCs w:val="11"/>
                <w:color w:val="auto"/>
              </w:rPr>
              <w:t>Natural gas derivatives (1) (2) (3)</w:t>
            </w:r>
          </w:p>
        </w:tc>
        <w:tc>
          <w:tcPr>
            <w:tcW w:w="320" w:type="dxa"/>
            <w:vAlign w:val="bottom"/>
            <w:shd w:val="clear" w:color="auto" w:fill="CCEEFF"/>
          </w:tcPr>
          <w:p>
            <w:pPr>
              <w:spacing w:after="0"/>
              <w:rPr>
                <w:sz w:val="19"/>
                <w:szCs w:val="19"/>
                <w:color w:val="auto"/>
              </w:rPr>
            </w:pPr>
          </w:p>
        </w:tc>
        <w:tc>
          <w:tcPr>
            <w:tcW w:w="402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Current Liabilities: Non-trading derivative liabilities</w:t>
            </w:r>
          </w:p>
        </w:tc>
        <w:tc>
          <w:tcPr>
            <w:tcW w:w="86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69</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w w:val="97"/>
              </w:rPr>
              <w:t>148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62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173</w:t>
            </w:r>
          </w:p>
        </w:tc>
        <w:tc>
          <w:tcPr>
            <w:tcW w:w="0" w:type="dxa"/>
            <w:vAlign w:val="bottom"/>
          </w:tcPr>
          <w:p>
            <w:pPr>
              <w:spacing w:after="0"/>
              <w:rPr>
                <w:sz w:val="1"/>
                <w:szCs w:val="1"/>
                <w:color w:val="auto"/>
              </w:rPr>
            </w:pPr>
          </w:p>
        </w:tc>
      </w:tr>
      <w:tr>
        <w:trPr>
          <w:trHeight w:val="211"/>
        </w:trPr>
        <w:tc>
          <w:tcPr>
            <w:tcW w:w="222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Natural gas derivatives (1) (2) (3)</w:t>
            </w:r>
          </w:p>
        </w:tc>
        <w:tc>
          <w:tcPr>
            <w:tcW w:w="320" w:type="dxa"/>
            <w:vAlign w:val="bottom"/>
            <w:tcBorders>
              <w:bottom w:val="single" w:sz="8" w:color="CCEEFF"/>
            </w:tcBorders>
          </w:tcPr>
          <w:p>
            <w:pPr>
              <w:spacing w:after="0"/>
              <w:rPr>
                <w:sz w:val="18"/>
                <w:szCs w:val="18"/>
                <w:color w:val="auto"/>
              </w:rPr>
            </w:pPr>
          </w:p>
        </w:tc>
        <w:tc>
          <w:tcPr>
            <w:tcW w:w="4020" w:type="dxa"/>
            <w:vAlign w:val="bottom"/>
            <w:tcBorders>
              <w:bottom w:val="single" w:sz="8" w:color="CCEEFF"/>
            </w:tcBorders>
            <w:gridSpan w:val="2"/>
          </w:tcPr>
          <w:p>
            <w:pPr>
              <w:ind w:left="20"/>
              <w:spacing w:after="0"/>
              <w:rPr>
                <w:sz w:val="20"/>
                <w:szCs w:val="20"/>
                <w:color w:val="auto"/>
              </w:rPr>
            </w:pPr>
            <w:r>
              <w:rPr>
                <w:rFonts w:ascii="Arial" w:cs="Arial" w:eastAsia="Arial" w:hAnsi="Arial"/>
                <w:sz w:val="11"/>
                <w:szCs w:val="11"/>
                <w:color w:val="auto"/>
              </w:rPr>
              <w:t>Other Liabilities: Non-trading derivative liabilities</w:t>
            </w:r>
          </w:p>
        </w:tc>
        <w:tc>
          <w:tcPr>
            <w:tcW w:w="8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color w:val="auto"/>
              </w:rPr>
              <w:t>13</w:t>
            </w:r>
          </w:p>
        </w:tc>
        <w:tc>
          <w:tcPr>
            <w:tcW w:w="12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auto"/>
              </w:rPr>
              <w:t>54</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auto"/>
              </w:rPr>
              <w:t>16</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auto"/>
              </w:rPr>
              <w:t>25</w:t>
            </w:r>
          </w:p>
        </w:tc>
        <w:tc>
          <w:tcPr>
            <w:tcW w:w="0" w:type="dxa"/>
            <w:vAlign w:val="bottom"/>
          </w:tcPr>
          <w:p>
            <w:pPr>
              <w:spacing w:after="0"/>
              <w:rPr>
                <w:sz w:val="1"/>
                <w:szCs w:val="1"/>
                <w:color w:val="auto"/>
              </w:rPr>
            </w:pPr>
          </w:p>
        </w:tc>
      </w:tr>
      <w:tr>
        <w:trPr>
          <w:trHeight w:val="189"/>
        </w:trPr>
        <w:tc>
          <w:tcPr>
            <w:tcW w:w="2220" w:type="dxa"/>
            <w:vAlign w:val="bottom"/>
            <w:tcBorders>
              <w:bottom w:val="single" w:sz="8" w:color="CCEEFF"/>
            </w:tcBorders>
            <w:shd w:val="clear" w:color="auto" w:fill="CCEEFF"/>
          </w:tcPr>
          <w:p>
            <w:pPr>
              <w:spacing w:after="0"/>
              <w:rPr>
                <w:sz w:val="16"/>
                <w:szCs w:val="16"/>
                <w:color w:val="auto"/>
              </w:rPr>
            </w:pPr>
          </w:p>
        </w:tc>
        <w:tc>
          <w:tcPr>
            <w:tcW w:w="4340" w:type="dxa"/>
            <w:vAlign w:val="bottom"/>
            <w:tcBorders>
              <w:bottom w:val="single" w:sz="8" w:color="CCEEFF"/>
            </w:tcBorders>
            <w:gridSpan w:val="3"/>
            <w:shd w:val="clear" w:color="auto" w:fill="CCEEFF"/>
          </w:tcPr>
          <w:p>
            <w:pPr>
              <w:ind w:left="80"/>
              <w:spacing w:after="0"/>
              <w:rPr>
                <w:sz w:val="20"/>
                <w:szCs w:val="20"/>
                <w:color w:val="auto"/>
              </w:rPr>
            </w:pPr>
            <w:r>
              <w:rPr>
                <w:rFonts w:ascii="Arial" w:cs="Arial" w:eastAsia="Arial" w:hAnsi="Arial"/>
                <w:sz w:val="11"/>
                <w:szCs w:val="11"/>
                <w:b w:val="1"/>
                <w:bCs w:val="1"/>
                <w:color w:val="auto"/>
              </w:rPr>
              <w:t>Total CERC</w:t>
            </w:r>
          </w:p>
        </w:tc>
        <w:tc>
          <w:tcPr>
            <w:tcW w:w="860" w:type="dxa"/>
            <w:vAlign w:val="bottom"/>
            <w:tcBorders>
              <w:bottom w:val="single" w:sz="8" w:color="auto"/>
            </w:tcBorders>
            <w:shd w:val="clear" w:color="auto" w:fill="CCEEFF"/>
          </w:tcPr>
          <w:p>
            <w:pPr>
              <w:jc w:val="right"/>
              <w:ind w:right="723"/>
              <w:spacing w:after="0"/>
              <w:rPr>
                <w:sz w:val="20"/>
                <w:szCs w:val="20"/>
                <w:color w:val="auto"/>
              </w:rPr>
            </w:pPr>
            <w:r>
              <w:rPr>
                <w:rFonts w:ascii="Arial" w:cs="Arial" w:eastAsia="Arial" w:hAnsi="Arial"/>
                <w:sz w:val="11"/>
                <w:szCs w:val="11"/>
                <w:color w:val="auto"/>
                <w:w w:val="97"/>
              </w:rPr>
              <w:t>$</w:t>
            </w:r>
          </w:p>
        </w:tc>
        <w:tc>
          <w:tcPr>
            <w:tcW w:w="30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color w:val="auto"/>
                <w:w w:val="86"/>
              </w:rPr>
              <w:t>277</w:t>
            </w:r>
          </w:p>
        </w:tc>
        <w:tc>
          <w:tcPr>
            <w:tcW w:w="12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ind w:right="703"/>
              <w:spacing w:after="0"/>
              <w:rPr>
                <w:sz w:val="20"/>
                <w:szCs w:val="20"/>
                <w:color w:val="auto"/>
              </w:rPr>
            </w:pPr>
            <w:r>
              <w:rPr>
                <w:rFonts w:ascii="Arial" w:cs="Arial" w:eastAsia="Arial" w:hAnsi="Arial"/>
                <w:sz w:val="11"/>
                <w:szCs w:val="11"/>
                <w:color w:val="auto"/>
                <w:w w:val="97"/>
              </w:rPr>
              <w:t>$</w:t>
            </w:r>
          </w:p>
        </w:tc>
        <w:tc>
          <w:tcPr>
            <w:tcW w:w="3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1"/>
                <w:szCs w:val="11"/>
                <w:color w:val="auto"/>
                <w:w w:val="97"/>
              </w:rPr>
              <w:t>205</w:t>
            </w:r>
          </w:p>
        </w:tc>
        <w:tc>
          <w:tcPr>
            <w:tcW w:w="1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1"/>
                <w:szCs w:val="11"/>
                <w:color w:val="auto"/>
                <w:w w:val="97"/>
              </w:rPr>
              <w:t>$</w:t>
            </w:r>
          </w:p>
        </w:tc>
        <w:tc>
          <w:tcPr>
            <w:tcW w:w="86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1"/>
                <w:szCs w:val="11"/>
                <w:color w:val="auto"/>
              </w:rPr>
              <w:t>220</w:t>
            </w:r>
          </w:p>
        </w:tc>
        <w:tc>
          <w:tcPr>
            <w:tcW w:w="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0"/>
                <w:szCs w:val="10"/>
                <w:color w:val="auto"/>
                <w:w w:val="71"/>
              </w:rPr>
              <w:t>$</w:t>
            </w:r>
          </w:p>
        </w:tc>
        <w:tc>
          <w:tcPr>
            <w:tcW w:w="94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1"/>
                <w:szCs w:val="11"/>
                <w:color w:val="auto"/>
              </w:rPr>
              <w:t>208</w:t>
            </w:r>
          </w:p>
        </w:tc>
        <w:tc>
          <w:tcPr>
            <w:tcW w:w="0" w:type="dxa"/>
            <w:vAlign w:val="bottom"/>
          </w:tcPr>
          <w:p>
            <w:pPr>
              <w:spacing w:after="0"/>
              <w:rPr>
                <w:sz w:val="1"/>
                <w:szCs w:val="1"/>
                <w:color w:val="auto"/>
              </w:rPr>
            </w:pPr>
          </w:p>
        </w:tc>
      </w:tr>
      <w:tr>
        <w:trPr>
          <w:trHeight w:val="20"/>
        </w:trPr>
        <w:tc>
          <w:tcPr>
            <w:tcW w:w="2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4" w:lineRule="exact"/>
        <w:rPr>
          <w:sz w:val="20"/>
          <w:szCs w:val="20"/>
          <w:color w:val="auto"/>
        </w:rPr>
      </w:pPr>
    </w:p>
    <w:p>
      <w:pPr>
        <w:ind w:left="520" w:hanging="255"/>
        <w:spacing w:after="0" w:line="288" w:lineRule="auto"/>
        <w:tabs>
          <w:tab w:leader="none" w:pos="5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 fair value shown for natural gas contracts is comprised of derivative gross volumes totaling 2,252 Bcf or a net 374 Bcf long position and 1,674 Bcf or a net 140 Bcf long position as of September 30, 2019 and December 31, 2018, respectively. Certain natural gas contracts hedge basis risk only and lack a fixed price exposure.</w:t>
      </w:r>
    </w:p>
    <w:p>
      <w:pPr>
        <w:spacing w:after="0" w:line="130" w:lineRule="exact"/>
        <w:rPr>
          <w:rFonts w:ascii="Arial" w:cs="Arial" w:eastAsia="Arial" w:hAnsi="Arial"/>
          <w:sz w:val="14"/>
          <w:szCs w:val="14"/>
          <w:color w:val="auto"/>
        </w:rPr>
      </w:pPr>
    </w:p>
    <w:p>
      <w:pPr>
        <w:jc w:val="both"/>
        <w:ind w:left="520" w:hanging="255"/>
        <w:spacing w:after="0" w:line="302" w:lineRule="auto"/>
        <w:tabs>
          <w:tab w:leader="none" w:pos="520" w:val="left"/>
        </w:tabs>
        <w:numPr>
          <w:ilvl w:val="0"/>
          <w:numId w:val="18"/>
        </w:numPr>
        <w:rPr>
          <w:rFonts w:ascii="Arial" w:cs="Arial" w:eastAsia="Arial" w:hAnsi="Arial"/>
          <w:sz w:val="13"/>
          <w:szCs w:val="13"/>
          <w:color w:val="auto"/>
        </w:rPr>
      </w:pPr>
      <w:r>
        <w:rPr>
          <w:rFonts w:ascii="Arial" w:cs="Arial" w:eastAsia="Arial" w:hAnsi="Arial"/>
          <w:sz w:val="13"/>
          <w:szCs w:val="13"/>
          <w:color w:val="auto"/>
        </w:rPr>
        <w:t>Natural gas contracts are presented on a net basis in CERC’s Condensed Consolidated Balance Sheets as they are subject to master netting arrangements. This netting applies to all undisputed amounts due or past due and causes derivative assets (liabilities) to be ultimately presented net in a liability (asset) account within CERC’s Condensed Consolidated Balance Sheets. The net of total non-trading natural gas derivative assets and liabilities is detailed in the Offsetting of Natural Gas Derivative Assets and Liabilities table below.</w:t>
      </w:r>
    </w:p>
    <w:p>
      <w:pPr>
        <w:spacing w:after="0" w:line="125" w:lineRule="exact"/>
        <w:rPr>
          <w:rFonts w:ascii="Arial" w:cs="Arial" w:eastAsia="Arial" w:hAnsi="Arial"/>
          <w:sz w:val="13"/>
          <w:szCs w:val="13"/>
          <w:color w:val="auto"/>
        </w:rPr>
      </w:pPr>
    </w:p>
    <w:p>
      <w:pPr>
        <w:ind w:left="520" w:hanging="255"/>
        <w:spacing w:after="0"/>
        <w:tabs>
          <w:tab w:leader="none" w:pos="5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Derivative Assets and Derivative Liabilities include no material amounts related to physical forward transactions with Enable.</w:t>
      </w:r>
    </w:p>
    <w:p>
      <w:pPr>
        <w:spacing w:after="0" w:line="18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Cumulative Basis Adjustment for Fair Value Hedges (CenterPoint Energy and CERC)</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080" w:type="dxa"/>
            <w:vAlign w:val="bottom"/>
          </w:tcPr>
          <w:p>
            <w:pPr>
              <w:spacing w:after="0"/>
              <w:rPr>
                <w:sz w:val="13"/>
                <w:szCs w:val="13"/>
                <w:color w:val="auto"/>
              </w:rPr>
            </w:pPr>
          </w:p>
        </w:tc>
        <w:tc>
          <w:tcPr>
            <w:tcW w:w="4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gridSpan w:val="3"/>
          </w:tcPr>
          <w:p>
            <w:pPr>
              <w:jc w:val="center"/>
              <w:ind w:left="203"/>
              <w:spacing w:after="0"/>
              <w:rPr>
                <w:sz w:val="20"/>
                <w:szCs w:val="20"/>
                <w:color w:val="auto"/>
              </w:rPr>
            </w:pPr>
            <w:r>
              <w:rPr>
                <w:rFonts w:ascii="Arial" w:cs="Arial" w:eastAsia="Arial" w:hAnsi="Arial"/>
                <w:sz w:val="11"/>
                <w:szCs w:val="11"/>
                <w:b w:val="1"/>
                <w:bCs w:val="1"/>
                <w:color w:val="auto"/>
                <w:w w:val="93"/>
              </w:rPr>
              <w:t>September 30, 2019</w:t>
            </w:r>
          </w:p>
        </w:tc>
        <w:tc>
          <w:tcPr>
            <w:tcW w:w="5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8"/>
        </w:trPr>
        <w:tc>
          <w:tcPr>
            <w:tcW w:w="2080" w:type="dxa"/>
            <w:vAlign w:val="bottom"/>
          </w:tcPr>
          <w:p>
            <w:pPr>
              <w:spacing w:after="0"/>
              <w:rPr>
                <w:sz w:val="10"/>
                <w:szCs w:val="10"/>
                <w:color w:val="auto"/>
              </w:rPr>
            </w:pPr>
          </w:p>
        </w:tc>
        <w:tc>
          <w:tcPr>
            <w:tcW w:w="4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360" w:type="dxa"/>
            <w:vAlign w:val="bottom"/>
            <w:gridSpan w:val="5"/>
          </w:tcPr>
          <w:p>
            <w:pPr>
              <w:jc w:val="center"/>
              <w:spacing w:after="0" w:line="119" w:lineRule="exact"/>
              <w:rPr>
                <w:sz w:val="20"/>
                <w:szCs w:val="20"/>
                <w:color w:val="auto"/>
              </w:rPr>
            </w:pPr>
            <w:r>
              <w:rPr>
                <w:rFonts w:ascii="Arial" w:cs="Arial" w:eastAsia="Arial" w:hAnsi="Arial"/>
                <w:sz w:val="11"/>
                <w:szCs w:val="11"/>
                <w:b w:val="1"/>
                <w:bCs w:val="1"/>
                <w:color w:val="auto"/>
                <w:w w:val="96"/>
              </w:rPr>
              <w:t>Cumulative Amount of Fair Value Hedging</w:t>
            </w:r>
          </w:p>
        </w:tc>
        <w:tc>
          <w:tcPr>
            <w:tcW w:w="0" w:type="dxa"/>
            <w:vAlign w:val="bottom"/>
          </w:tcPr>
          <w:p>
            <w:pPr>
              <w:spacing w:after="0"/>
              <w:rPr>
                <w:sz w:val="1"/>
                <w:szCs w:val="1"/>
                <w:color w:val="auto"/>
              </w:rPr>
            </w:pPr>
          </w:p>
        </w:tc>
      </w:tr>
      <w:tr>
        <w:trPr>
          <w:trHeight w:val="119"/>
        </w:trPr>
        <w:tc>
          <w:tcPr>
            <w:tcW w:w="2080" w:type="dxa"/>
            <w:vAlign w:val="bottom"/>
          </w:tcPr>
          <w:p>
            <w:pPr>
              <w:spacing w:after="0"/>
              <w:rPr>
                <w:sz w:val="10"/>
                <w:szCs w:val="10"/>
                <w:color w:val="auto"/>
              </w:rPr>
            </w:pPr>
          </w:p>
        </w:tc>
        <w:tc>
          <w:tcPr>
            <w:tcW w:w="4340" w:type="dxa"/>
            <w:vAlign w:val="bottom"/>
            <w:vMerge w:val="restart"/>
          </w:tcPr>
          <w:p>
            <w:pPr>
              <w:ind w:left="1600"/>
              <w:spacing w:after="0"/>
              <w:rPr>
                <w:sz w:val="20"/>
                <w:szCs w:val="20"/>
                <w:color w:val="auto"/>
              </w:rPr>
            </w:pPr>
            <w:r>
              <w:rPr>
                <w:rFonts w:ascii="Arial" w:cs="Arial" w:eastAsia="Arial" w:hAnsi="Arial"/>
                <w:sz w:val="11"/>
                <w:szCs w:val="11"/>
                <w:b w:val="1"/>
                <w:bCs w:val="1"/>
                <w:color w:val="auto"/>
              </w:rPr>
              <w:t>Balance Sheet Location</w:t>
            </w:r>
          </w:p>
        </w:tc>
        <w:tc>
          <w:tcPr>
            <w:tcW w:w="120" w:type="dxa"/>
            <w:vAlign w:val="bottom"/>
            <w:vMerge w:val="restart"/>
          </w:tcPr>
          <w:p>
            <w:pPr>
              <w:spacing w:after="0"/>
              <w:rPr>
                <w:sz w:val="10"/>
                <w:szCs w:val="10"/>
                <w:color w:val="auto"/>
              </w:rPr>
            </w:pPr>
          </w:p>
        </w:tc>
        <w:tc>
          <w:tcPr>
            <w:tcW w:w="2440" w:type="dxa"/>
            <w:vAlign w:val="bottom"/>
            <w:gridSpan w:val="5"/>
            <w:vMerge w:val="restart"/>
          </w:tcPr>
          <w:p>
            <w:pPr>
              <w:jc w:val="right"/>
              <w:spacing w:after="0"/>
              <w:rPr>
                <w:sz w:val="20"/>
                <w:szCs w:val="20"/>
                <w:color w:val="auto"/>
              </w:rPr>
            </w:pPr>
            <w:r>
              <w:rPr>
                <w:rFonts w:ascii="Arial" w:cs="Arial" w:eastAsia="Arial" w:hAnsi="Arial"/>
                <w:sz w:val="11"/>
                <w:szCs w:val="11"/>
                <w:b w:val="1"/>
                <w:bCs w:val="1"/>
                <w:color w:val="auto"/>
                <w:w w:val="97"/>
              </w:rPr>
              <w:t>Carrying Amount of Hedged Assets/(Liabilities)</w:t>
            </w:r>
          </w:p>
        </w:tc>
        <w:tc>
          <w:tcPr>
            <w:tcW w:w="120" w:type="dxa"/>
            <w:vAlign w:val="bottom"/>
            <w:vMerge w:val="restart"/>
          </w:tcPr>
          <w:p>
            <w:pPr>
              <w:spacing w:after="0"/>
              <w:rPr>
                <w:sz w:val="10"/>
                <w:szCs w:val="10"/>
                <w:color w:val="auto"/>
              </w:rPr>
            </w:pPr>
          </w:p>
        </w:tc>
        <w:tc>
          <w:tcPr>
            <w:tcW w:w="2360" w:type="dxa"/>
            <w:vAlign w:val="bottom"/>
            <w:gridSpan w:val="5"/>
          </w:tcPr>
          <w:p>
            <w:pPr>
              <w:jc w:val="center"/>
              <w:spacing w:after="0" w:line="119" w:lineRule="exact"/>
              <w:rPr>
                <w:sz w:val="20"/>
                <w:szCs w:val="20"/>
                <w:color w:val="auto"/>
              </w:rPr>
            </w:pPr>
            <w:r>
              <w:rPr>
                <w:rFonts w:ascii="Arial" w:cs="Arial" w:eastAsia="Arial" w:hAnsi="Arial"/>
                <w:sz w:val="11"/>
                <w:szCs w:val="11"/>
                <w:b w:val="1"/>
                <w:bCs w:val="1"/>
                <w:color w:val="auto"/>
                <w:w w:val="96"/>
              </w:rPr>
              <w:t>Adjustment Included in the Carrying Amount</w:t>
            </w:r>
          </w:p>
        </w:tc>
        <w:tc>
          <w:tcPr>
            <w:tcW w:w="0" w:type="dxa"/>
            <w:vAlign w:val="bottom"/>
          </w:tcPr>
          <w:p>
            <w:pPr>
              <w:spacing w:after="0"/>
              <w:rPr>
                <w:sz w:val="1"/>
                <w:szCs w:val="1"/>
                <w:color w:val="auto"/>
              </w:rPr>
            </w:pPr>
          </w:p>
        </w:tc>
      </w:tr>
      <w:tr>
        <w:trPr>
          <w:trHeight w:val="153"/>
        </w:trPr>
        <w:tc>
          <w:tcPr>
            <w:tcW w:w="2080" w:type="dxa"/>
            <w:vAlign w:val="bottom"/>
          </w:tcPr>
          <w:p>
            <w:pPr>
              <w:spacing w:after="0"/>
              <w:rPr>
                <w:sz w:val="13"/>
                <w:szCs w:val="13"/>
                <w:color w:val="auto"/>
              </w:rPr>
            </w:pPr>
          </w:p>
        </w:tc>
        <w:tc>
          <w:tcPr>
            <w:tcW w:w="4340" w:type="dxa"/>
            <w:vAlign w:val="bottom"/>
            <w:tcBorders>
              <w:bottom w:val="single" w:sz="8" w:color="auto"/>
            </w:tcBorders>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2440" w:type="dxa"/>
            <w:vAlign w:val="bottom"/>
            <w:tcBorders>
              <w:bottom w:val="single" w:sz="8" w:color="auto"/>
            </w:tcBorders>
            <w:gridSpan w:val="5"/>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gridSpan w:val="3"/>
          </w:tcPr>
          <w:p>
            <w:pPr>
              <w:jc w:val="center"/>
              <w:ind w:left="103"/>
              <w:spacing w:after="0"/>
              <w:rPr>
                <w:sz w:val="20"/>
                <w:szCs w:val="20"/>
                <w:color w:val="auto"/>
              </w:rPr>
            </w:pPr>
            <w:r>
              <w:rPr>
                <w:rFonts w:ascii="Arial" w:cs="Arial" w:eastAsia="Arial" w:hAnsi="Arial"/>
                <w:sz w:val="11"/>
                <w:szCs w:val="11"/>
                <w:b w:val="1"/>
                <w:bCs w:val="1"/>
                <w:color w:val="auto"/>
                <w:w w:val="95"/>
              </w:rPr>
              <w:t>of Hedged Item</w:t>
            </w:r>
          </w:p>
        </w:tc>
        <w:tc>
          <w:tcPr>
            <w:tcW w:w="7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2080" w:type="dxa"/>
            <w:vAlign w:val="bottom"/>
          </w:tcPr>
          <w:p>
            <w:pPr>
              <w:spacing w:after="0"/>
              <w:rPr>
                <w:sz w:val="17"/>
                <w:szCs w:val="17"/>
                <w:color w:val="auto"/>
              </w:rPr>
            </w:pPr>
          </w:p>
        </w:tc>
        <w:tc>
          <w:tcPr>
            <w:tcW w:w="4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2"/>
          </w:tcPr>
          <w:p>
            <w:pPr>
              <w:spacing w:after="0"/>
              <w:rPr>
                <w:sz w:val="20"/>
                <w:szCs w:val="20"/>
                <w:color w:val="auto"/>
              </w:rPr>
            </w:pPr>
            <w:r>
              <w:rPr>
                <w:rFonts w:ascii="Arial" w:cs="Arial" w:eastAsia="Arial" w:hAnsi="Arial"/>
                <w:sz w:val="11"/>
                <w:szCs w:val="11"/>
                <w:b w:val="1"/>
                <w:bCs w:val="1"/>
                <w:color w:val="auto"/>
              </w:rPr>
              <w:t>CenterPoint Energy</w:t>
            </w:r>
          </w:p>
        </w:tc>
        <w:tc>
          <w:tcPr>
            <w:tcW w:w="2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2"/>
          </w:tcPr>
          <w:p>
            <w:pPr>
              <w:ind w:left="160"/>
              <w:spacing w:after="0"/>
              <w:rPr>
                <w:sz w:val="20"/>
                <w:szCs w:val="20"/>
                <w:color w:val="auto"/>
              </w:rPr>
            </w:pPr>
            <w:r>
              <w:rPr>
                <w:rFonts w:ascii="Arial" w:cs="Arial" w:eastAsia="Arial" w:hAnsi="Arial"/>
                <w:sz w:val="11"/>
                <w:szCs w:val="11"/>
                <w:b w:val="1"/>
                <w:bCs w:val="1"/>
                <w:color w:val="auto"/>
              </w:rPr>
              <w:t>CERC</w:t>
            </w:r>
          </w:p>
        </w:tc>
        <w:tc>
          <w:tcPr>
            <w:tcW w:w="1240" w:type="dxa"/>
            <w:vAlign w:val="bottom"/>
            <w:tcBorders>
              <w:bottom w:val="single" w:sz="8" w:color="auto"/>
            </w:tcBorders>
            <w:gridSpan w:val="3"/>
          </w:tcPr>
          <w:p>
            <w:pPr>
              <w:ind w:left="60"/>
              <w:spacing w:after="0"/>
              <w:rPr>
                <w:sz w:val="20"/>
                <w:szCs w:val="20"/>
                <w:color w:val="auto"/>
              </w:rPr>
            </w:pPr>
            <w:r>
              <w:rPr>
                <w:rFonts w:ascii="Arial" w:cs="Arial" w:eastAsia="Arial" w:hAnsi="Arial"/>
                <w:sz w:val="11"/>
                <w:szCs w:val="11"/>
                <w:b w:val="1"/>
                <w:bCs w:val="1"/>
                <w:color w:val="auto"/>
              </w:rPr>
              <w:t>CenterPoint Energy</w:t>
            </w:r>
          </w:p>
        </w:tc>
        <w:tc>
          <w:tcPr>
            <w:tcW w:w="3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43"/>
              <w:spacing w:after="0"/>
              <w:rPr>
                <w:sz w:val="20"/>
                <w:szCs w:val="20"/>
                <w:color w:val="auto"/>
              </w:rPr>
            </w:pPr>
            <w:r>
              <w:rPr>
                <w:rFonts w:ascii="Arial" w:cs="Arial" w:eastAsia="Arial" w:hAnsi="Arial"/>
                <w:sz w:val="11"/>
                <w:szCs w:val="11"/>
                <w:b w:val="1"/>
                <w:bCs w:val="1"/>
                <w:color w:val="auto"/>
              </w:rPr>
              <w:t>CERC</w:t>
            </w:r>
          </w:p>
        </w:tc>
        <w:tc>
          <w:tcPr>
            <w:tcW w:w="0" w:type="dxa"/>
            <w:vAlign w:val="bottom"/>
          </w:tcPr>
          <w:p>
            <w:pPr>
              <w:spacing w:after="0"/>
              <w:rPr>
                <w:sz w:val="1"/>
                <w:szCs w:val="1"/>
                <w:color w:val="auto"/>
              </w:rPr>
            </w:pPr>
          </w:p>
        </w:tc>
      </w:tr>
      <w:tr>
        <w:trPr>
          <w:trHeight w:val="148"/>
        </w:trPr>
        <w:tc>
          <w:tcPr>
            <w:tcW w:w="208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20" w:type="dxa"/>
            <w:vAlign w:val="bottom"/>
            <w:gridSpan w:val="3"/>
          </w:tcPr>
          <w:p>
            <w:pPr>
              <w:jc w:val="center"/>
              <w:ind w:left="203"/>
              <w:spacing w:after="0"/>
              <w:rPr>
                <w:sz w:val="20"/>
                <w:szCs w:val="20"/>
                <w:color w:val="auto"/>
              </w:rPr>
            </w:pPr>
            <w:r>
              <w:rPr>
                <w:rFonts w:ascii="Arial" w:cs="Arial" w:eastAsia="Arial" w:hAnsi="Arial"/>
                <w:sz w:val="11"/>
                <w:szCs w:val="11"/>
                <w:b w:val="1"/>
                <w:bCs w:val="1"/>
                <w:color w:val="auto"/>
                <w:w w:val="97"/>
              </w:rPr>
              <w:t>(in millions)</w:t>
            </w: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5"/>
        </w:trPr>
        <w:tc>
          <w:tcPr>
            <w:tcW w:w="6540" w:type="dxa"/>
            <w:vAlign w:val="bottom"/>
            <w:gridSpan w:val="3"/>
          </w:tcPr>
          <w:p>
            <w:pPr>
              <w:ind w:left="20"/>
              <w:spacing w:after="0"/>
              <w:rPr>
                <w:sz w:val="20"/>
                <w:szCs w:val="20"/>
                <w:color w:val="auto"/>
              </w:rPr>
            </w:pPr>
            <w:r>
              <w:rPr>
                <w:rFonts w:ascii="Arial" w:cs="Arial" w:eastAsia="Arial" w:hAnsi="Arial"/>
                <w:sz w:val="11"/>
                <w:szCs w:val="11"/>
                <w:b w:val="1"/>
                <w:bCs w:val="1"/>
                <w:color w:val="auto"/>
              </w:rPr>
              <w:t>Hedged items in fair value hedge relationship:</w:t>
            </w: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3"/>
        </w:trPr>
        <w:tc>
          <w:tcPr>
            <w:tcW w:w="2080" w:type="dxa"/>
            <w:vAlign w:val="bottom"/>
          </w:tcPr>
          <w:p>
            <w:pPr>
              <w:spacing w:after="0"/>
              <w:rPr>
                <w:sz w:val="5"/>
                <w:szCs w:val="5"/>
                <w:color w:val="auto"/>
              </w:rPr>
            </w:pPr>
          </w:p>
        </w:tc>
        <w:tc>
          <w:tcPr>
            <w:tcW w:w="4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1"/>
        </w:trPr>
        <w:tc>
          <w:tcPr>
            <w:tcW w:w="2080" w:type="dxa"/>
            <w:vAlign w:val="bottom"/>
            <w:shd w:val="clear" w:color="auto" w:fill="CCEEFF"/>
          </w:tcPr>
          <w:p>
            <w:pPr>
              <w:ind w:left="20"/>
              <w:spacing w:after="0"/>
              <w:rPr>
                <w:sz w:val="20"/>
                <w:szCs w:val="20"/>
                <w:color w:val="auto"/>
              </w:rPr>
            </w:pPr>
            <w:r>
              <w:rPr>
                <w:rFonts w:ascii="Arial" w:cs="Arial" w:eastAsia="Arial" w:hAnsi="Arial"/>
                <w:sz w:val="11"/>
                <w:szCs w:val="11"/>
                <w:color w:val="auto"/>
              </w:rPr>
              <w:t>Natural gas inventory</w:t>
            </w:r>
          </w:p>
        </w:tc>
        <w:tc>
          <w:tcPr>
            <w:tcW w:w="446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Current Assets: Natural gas inventory</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08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color w:val="auto"/>
              </w:rPr>
              <w:t>42</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1"/>
                <w:szCs w:val="11"/>
                <w:color w:val="auto"/>
              </w:rPr>
              <w:t>42</w:t>
            </w:r>
          </w:p>
        </w:tc>
        <w:tc>
          <w:tcPr>
            <w:tcW w:w="12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463"/>
              <w:spacing w:after="0"/>
              <w:rPr>
                <w:sz w:val="20"/>
                <w:szCs w:val="20"/>
                <w:color w:val="auto"/>
              </w:rPr>
            </w:pPr>
            <w:r>
              <w:rPr>
                <w:rFonts w:ascii="Arial" w:cs="Arial" w:eastAsia="Arial" w:hAnsi="Arial"/>
                <w:sz w:val="11"/>
                <w:szCs w:val="11"/>
                <w:color w:val="auto"/>
                <w:w w:val="97"/>
              </w:rPr>
              <w:t>$</w:t>
            </w:r>
          </w:p>
        </w:tc>
        <w:tc>
          <w:tcPr>
            <w:tcW w:w="5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(7)</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248"/>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(7)</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4460" w:type="dxa"/>
            <w:vAlign w:val="bottom"/>
            <w:gridSpan w:val="2"/>
          </w:tcPr>
          <w:p>
            <w:pPr>
              <w:ind w:left="220"/>
              <w:spacing w:after="0"/>
              <w:rPr>
                <w:sz w:val="20"/>
                <w:szCs w:val="20"/>
                <w:color w:val="auto"/>
              </w:rPr>
            </w:pPr>
            <w:r>
              <w:rPr>
                <w:rFonts w:ascii="Arial" w:cs="Arial" w:eastAsia="Arial" w:hAnsi="Arial"/>
                <w:sz w:val="11"/>
                <w:szCs w:val="11"/>
                <w:b w:val="1"/>
                <w:bCs w:val="1"/>
                <w:color w:val="auto"/>
              </w:rPr>
              <w:t>Total</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108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color w:val="auto"/>
              </w:rPr>
              <w:t>42</w:t>
            </w:r>
          </w:p>
        </w:tc>
        <w:tc>
          <w:tcPr>
            <w:tcW w:w="120" w:type="dxa"/>
            <w:vAlign w:val="bottom"/>
          </w:tcPr>
          <w:p>
            <w:pPr>
              <w:spacing w:after="0"/>
              <w:rPr>
                <w:sz w:val="16"/>
                <w:szCs w:val="16"/>
                <w:color w:val="auto"/>
              </w:rPr>
            </w:pPr>
          </w:p>
        </w:tc>
        <w:tc>
          <w:tcPr>
            <w:tcW w:w="240" w:type="dxa"/>
            <w:vAlign w:val="bottom"/>
            <w:tcBorders>
              <w:bottom w:val="single" w:sz="8" w:color="auto"/>
            </w:tcBorders>
          </w:tcPr>
          <w:p>
            <w:pPr>
              <w:jc w:val="right"/>
              <w:ind w:right="128"/>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auto"/>
              </w:rPr>
              <w:t>42</w:t>
            </w:r>
          </w:p>
        </w:tc>
        <w:tc>
          <w:tcPr>
            <w:tcW w:w="120" w:type="dxa"/>
            <w:vAlign w:val="bottom"/>
          </w:tcPr>
          <w:p>
            <w:pPr>
              <w:spacing w:after="0"/>
              <w:rPr>
                <w:sz w:val="16"/>
                <w:szCs w:val="16"/>
                <w:color w:val="auto"/>
              </w:rPr>
            </w:pPr>
          </w:p>
        </w:tc>
        <w:tc>
          <w:tcPr>
            <w:tcW w:w="600" w:type="dxa"/>
            <w:vAlign w:val="bottom"/>
            <w:tcBorders>
              <w:bottom w:val="single" w:sz="8" w:color="auto"/>
            </w:tcBorders>
          </w:tcPr>
          <w:p>
            <w:pPr>
              <w:jc w:val="right"/>
              <w:ind w:right="463"/>
              <w:spacing w:after="0"/>
              <w:rPr>
                <w:sz w:val="20"/>
                <w:szCs w:val="20"/>
                <w:color w:val="auto"/>
              </w:rPr>
            </w:pPr>
            <w:r>
              <w:rPr>
                <w:rFonts w:ascii="Arial" w:cs="Arial" w:eastAsia="Arial" w:hAnsi="Arial"/>
                <w:sz w:val="11"/>
                <w:szCs w:val="11"/>
                <w:color w:val="auto"/>
                <w:w w:val="97"/>
              </w:rPr>
              <w:t>$</w:t>
            </w:r>
          </w:p>
        </w:tc>
        <w:tc>
          <w:tcPr>
            <w:tcW w:w="52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(7)</w:t>
            </w:r>
          </w:p>
        </w:tc>
        <w:tc>
          <w:tcPr>
            <w:tcW w:w="120" w:type="dxa"/>
            <w:vAlign w:val="bottom"/>
          </w:tcPr>
          <w:p>
            <w:pPr>
              <w:spacing w:after="0"/>
              <w:rPr>
                <w:sz w:val="16"/>
                <w:szCs w:val="16"/>
                <w:color w:val="auto"/>
              </w:rPr>
            </w:pPr>
          </w:p>
        </w:tc>
        <w:tc>
          <w:tcPr>
            <w:tcW w:w="360" w:type="dxa"/>
            <w:vAlign w:val="bottom"/>
            <w:tcBorders>
              <w:bottom w:val="single" w:sz="8" w:color="auto"/>
            </w:tcBorders>
          </w:tcPr>
          <w:p>
            <w:pPr>
              <w:jc w:val="right"/>
              <w:ind w:right="248"/>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(7)</w:t>
            </w: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4"/>
        </w:trPr>
        <w:tc>
          <w:tcPr>
            <w:tcW w:w="208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3"/>
          </w:tcPr>
          <w:p>
            <w:pPr>
              <w:jc w:val="center"/>
              <w:ind w:left="203"/>
              <w:spacing w:after="0"/>
              <w:rPr>
                <w:sz w:val="20"/>
                <w:szCs w:val="20"/>
                <w:color w:val="auto"/>
              </w:rPr>
            </w:pPr>
            <w:r>
              <w:rPr>
                <w:rFonts w:ascii="Arial" w:cs="Arial" w:eastAsia="Arial" w:hAnsi="Arial"/>
                <w:sz w:val="11"/>
                <w:szCs w:val="11"/>
                <w:b w:val="1"/>
                <w:bCs w:val="1"/>
                <w:color w:val="auto"/>
                <w:w w:val="92"/>
              </w:rPr>
              <w:t>December 31, 2018</w:t>
            </w:r>
          </w:p>
        </w:tc>
        <w:tc>
          <w:tcPr>
            <w:tcW w:w="5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80" w:type="dxa"/>
            <w:vAlign w:val="bottom"/>
          </w:tcPr>
          <w:p>
            <w:pPr>
              <w:spacing w:after="0"/>
              <w:rPr>
                <w:sz w:val="10"/>
                <w:szCs w:val="10"/>
                <w:color w:val="auto"/>
              </w:rPr>
            </w:pPr>
          </w:p>
        </w:tc>
        <w:tc>
          <w:tcPr>
            <w:tcW w:w="4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360" w:type="dxa"/>
            <w:vAlign w:val="bottom"/>
            <w:gridSpan w:val="5"/>
          </w:tcPr>
          <w:p>
            <w:pPr>
              <w:jc w:val="center"/>
              <w:spacing w:after="0" w:line="119" w:lineRule="exact"/>
              <w:rPr>
                <w:sz w:val="20"/>
                <w:szCs w:val="20"/>
                <w:color w:val="auto"/>
              </w:rPr>
            </w:pPr>
            <w:r>
              <w:rPr>
                <w:rFonts w:ascii="Arial" w:cs="Arial" w:eastAsia="Arial" w:hAnsi="Arial"/>
                <w:sz w:val="11"/>
                <w:szCs w:val="11"/>
                <w:b w:val="1"/>
                <w:bCs w:val="1"/>
                <w:color w:val="auto"/>
                <w:w w:val="96"/>
              </w:rPr>
              <w:t>Cumulative Amount of Fair Value Hedging</w:t>
            </w:r>
          </w:p>
        </w:tc>
        <w:tc>
          <w:tcPr>
            <w:tcW w:w="0" w:type="dxa"/>
            <w:vAlign w:val="bottom"/>
          </w:tcPr>
          <w:p>
            <w:pPr>
              <w:spacing w:after="0"/>
              <w:rPr>
                <w:sz w:val="1"/>
                <w:szCs w:val="1"/>
                <w:color w:val="auto"/>
              </w:rPr>
            </w:pPr>
          </w:p>
        </w:tc>
      </w:tr>
      <w:tr>
        <w:trPr>
          <w:trHeight w:val="119"/>
        </w:trPr>
        <w:tc>
          <w:tcPr>
            <w:tcW w:w="2080" w:type="dxa"/>
            <w:vAlign w:val="bottom"/>
          </w:tcPr>
          <w:p>
            <w:pPr>
              <w:spacing w:after="0"/>
              <w:rPr>
                <w:sz w:val="10"/>
                <w:szCs w:val="10"/>
                <w:color w:val="auto"/>
              </w:rPr>
            </w:pPr>
          </w:p>
        </w:tc>
        <w:tc>
          <w:tcPr>
            <w:tcW w:w="4340" w:type="dxa"/>
            <w:vAlign w:val="bottom"/>
            <w:vMerge w:val="restart"/>
          </w:tcPr>
          <w:p>
            <w:pPr>
              <w:ind w:left="1600"/>
              <w:spacing w:after="0"/>
              <w:rPr>
                <w:sz w:val="20"/>
                <w:szCs w:val="20"/>
                <w:color w:val="auto"/>
              </w:rPr>
            </w:pPr>
            <w:r>
              <w:rPr>
                <w:rFonts w:ascii="Arial" w:cs="Arial" w:eastAsia="Arial" w:hAnsi="Arial"/>
                <w:sz w:val="11"/>
                <w:szCs w:val="11"/>
                <w:b w:val="1"/>
                <w:bCs w:val="1"/>
                <w:color w:val="auto"/>
              </w:rPr>
              <w:t>Balance Sheet Location</w:t>
            </w:r>
          </w:p>
        </w:tc>
        <w:tc>
          <w:tcPr>
            <w:tcW w:w="120" w:type="dxa"/>
            <w:vAlign w:val="bottom"/>
            <w:vMerge w:val="restart"/>
          </w:tcPr>
          <w:p>
            <w:pPr>
              <w:spacing w:after="0"/>
              <w:rPr>
                <w:sz w:val="10"/>
                <w:szCs w:val="10"/>
                <w:color w:val="auto"/>
              </w:rPr>
            </w:pPr>
          </w:p>
        </w:tc>
        <w:tc>
          <w:tcPr>
            <w:tcW w:w="2440" w:type="dxa"/>
            <w:vAlign w:val="bottom"/>
            <w:gridSpan w:val="5"/>
            <w:vMerge w:val="restart"/>
          </w:tcPr>
          <w:p>
            <w:pPr>
              <w:jc w:val="right"/>
              <w:spacing w:after="0"/>
              <w:rPr>
                <w:sz w:val="20"/>
                <w:szCs w:val="20"/>
                <w:color w:val="auto"/>
              </w:rPr>
            </w:pPr>
            <w:r>
              <w:rPr>
                <w:rFonts w:ascii="Arial" w:cs="Arial" w:eastAsia="Arial" w:hAnsi="Arial"/>
                <w:sz w:val="11"/>
                <w:szCs w:val="11"/>
                <w:b w:val="1"/>
                <w:bCs w:val="1"/>
                <w:color w:val="auto"/>
                <w:w w:val="97"/>
              </w:rPr>
              <w:t>Carrying Amount of Hedged Assets/(Liabilities)</w:t>
            </w:r>
          </w:p>
        </w:tc>
        <w:tc>
          <w:tcPr>
            <w:tcW w:w="120" w:type="dxa"/>
            <w:vAlign w:val="bottom"/>
            <w:vMerge w:val="restart"/>
          </w:tcPr>
          <w:p>
            <w:pPr>
              <w:spacing w:after="0"/>
              <w:rPr>
                <w:sz w:val="10"/>
                <w:szCs w:val="10"/>
                <w:color w:val="auto"/>
              </w:rPr>
            </w:pPr>
          </w:p>
        </w:tc>
        <w:tc>
          <w:tcPr>
            <w:tcW w:w="2360" w:type="dxa"/>
            <w:vAlign w:val="bottom"/>
            <w:gridSpan w:val="5"/>
          </w:tcPr>
          <w:p>
            <w:pPr>
              <w:jc w:val="center"/>
              <w:spacing w:after="0" w:line="119" w:lineRule="exact"/>
              <w:rPr>
                <w:sz w:val="20"/>
                <w:szCs w:val="20"/>
                <w:color w:val="auto"/>
              </w:rPr>
            </w:pPr>
            <w:r>
              <w:rPr>
                <w:rFonts w:ascii="Arial" w:cs="Arial" w:eastAsia="Arial" w:hAnsi="Arial"/>
                <w:sz w:val="11"/>
                <w:szCs w:val="11"/>
                <w:b w:val="1"/>
                <w:bCs w:val="1"/>
                <w:color w:val="auto"/>
                <w:w w:val="96"/>
              </w:rPr>
              <w:t>Adjustment Included in the Carrying Amount</w:t>
            </w:r>
          </w:p>
        </w:tc>
        <w:tc>
          <w:tcPr>
            <w:tcW w:w="0" w:type="dxa"/>
            <w:vAlign w:val="bottom"/>
          </w:tcPr>
          <w:p>
            <w:pPr>
              <w:spacing w:after="0"/>
              <w:rPr>
                <w:sz w:val="1"/>
                <w:szCs w:val="1"/>
                <w:color w:val="auto"/>
              </w:rPr>
            </w:pPr>
          </w:p>
        </w:tc>
      </w:tr>
      <w:tr>
        <w:trPr>
          <w:trHeight w:val="153"/>
        </w:trPr>
        <w:tc>
          <w:tcPr>
            <w:tcW w:w="2080" w:type="dxa"/>
            <w:vAlign w:val="bottom"/>
          </w:tcPr>
          <w:p>
            <w:pPr>
              <w:spacing w:after="0"/>
              <w:rPr>
                <w:sz w:val="13"/>
                <w:szCs w:val="13"/>
                <w:color w:val="auto"/>
              </w:rPr>
            </w:pPr>
          </w:p>
        </w:tc>
        <w:tc>
          <w:tcPr>
            <w:tcW w:w="4340" w:type="dxa"/>
            <w:vAlign w:val="bottom"/>
            <w:tcBorders>
              <w:bottom w:val="single" w:sz="8" w:color="auto"/>
            </w:tcBorders>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2440" w:type="dxa"/>
            <w:vAlign w:val="bottom"/>
            <w:tcBorders>
              <w:bottom w:val="single" w:sz="8" w:color="auto"/>
            </w:tcBorders>
            <w:gridSpan w:val="5"/>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gridSpan w:val="3"/>
          </w:tcPr>
          <w:p>
            <w:pPr>
              <w:jc w:val="center"/>
              <w:ind w:left="103"/>
              <w:spacing w:after="0"/>
              <w:rPr>
                <w:sz w:val="20"/>
                <w:szCs w:val="20"/>
                <w:color w:val="auto"/>
              </w:rPr>
            </w:pPr>
            <w:r>
              <w:rPr>
                <w:rFonts w:ascii="Arial" w:cs="Arial" w:eastAsia="Arial" w:hAnsi="Arial"/>
                <w:sz w:val="11"/>
                <w:szCs w:val="11"/>
                <w:b w:val="1"/>
                <w:bCs w:val="1"/>
                <w:color w:val="auto"/>
                <w:w w:val="95"/>
              </w:rPr>
              <w:t>of Hedged Item</w:t>
            </w:r>
          </w:p>
        </w:tc>
        <w:tc>
          <w:tcPr>
            <w:tcW w:w="7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2080" w:type="dxa"/>
            <w:vAlign w:val="bottom"/>
          </w:tcPr>
          <w:p>
            <w:pPr>
              <w:spacing w:after="0"/>
              <w:rPr>
                <w:sz w:val="17"/>
                <w:szCs w:val="17"/>
                <w:color w:val="auto"/>
              </w:rPr>
            </w:pPr>
          </w:p>
        </w:tc>
        <w:tc>
          <w:tcPr>
            <w:tcW w:w="4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2"/>
          </w:tcPr>
          <w:p>
            <w:pPr>
              <w:spacing w:after="0"/>
              <w:rPr>
                <w:sz w:val="20"/>
                <w:szCs w:val="20"/>
                <w:color w:val="auto"/>
              </w:rPr>
            </w:pPr>
            <w:r>
              <w:rPr>
                <w:rFonts w:ascii="Arial" w:cs="Arial" w:eastAsia="Arial" w:hAnsi="Arial"/>
                <w:sz w:val="11"/>
                <w:szCs w:val="11"/>
                <w:b w:val="1"/>
                <w:bCs w:val="1"/>
                <w:color w:val="auto"/>
              </w:rPr>
              <w:t>CenterPoint Energy</w:t>
            </w:r>
          </w:p>
        </w:tc>
        <w:tc>
          <w:tcPr>
            <w:tcW w:w="2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2"/>
          </w:tcPr>
          <w:p>
            <w:pPr>
              <w:ind w:left="160"/>
              <w:spacing w:after="0"/>
              <w:rPr>
                <w:sz w:val="20"/>
                <w:szCs w:val="20"/>
                <w:color w:val="auto"/>
              </w:rPr>
            </w:pPr>
            <w:r>
              <w:rPr>
                <w:rFonts w:ascii="Arial" w:cs="Arial" w:eastAsia="Arial" w:hAnsi="Arial"/>
                <w:sz w:val="11"/>
                <w:szCs w:val="11"/>
                <w:b w:val="1"/>
                <w:bCs w:val="1"/>
                <w:color w:val="auto"/>
              </w:rPr>
              <w:t>CERC</w:t>
            </w:r>
          </w:p>
        </w:tc>
        <w:tc>
          <w:tcPr>
            <w:tcW w:w="1240" w:type="dxa"/>
            <w:vAlign w:val="bottom"/>
            <w:tcBorders>
              <w:bottom w:val="single" w:sz="8" w:color="auto"/>
            </w:tcBorders>
            <w:gridSpan w:val="3"/>
          </w:tcPr>
          <w:p>
            <w:pPr>
              <w:ind w:left="60"/>
              <w:spacing w:after="0"/>
              <w:rPr>
                <w:sz w:val="20"/>
                <w:szCs w:val="20"/>
                <w:color w:val="auto"/>
              </w:rPr>
            </w:pPr>
            <w:r>
              <w:rPr>
                <w:rFonts w:ascii="Arial" w:cs="Arial" w:eastAsia="Arial" w:hAnsi="Arial"/>
                <w:sz w:val="11"/>
                <w:szCs w:val="11"/>
                <w:b w:val="1"/>
                <w:bCs w:val="1"/>
                <w:color w:val="auto"/>
              </w:rPr>
              <w:t>CenterPoint Energy</w:t>
            </w:r>
          </w:p>
        </w:tc>
        <w:tc>
          <w:tcPr>
            <w:tcW w:w="3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43"/>
              <w:spacing w:after="0"/>
              <w:rPr>
                <w:sz w:val="20"/>
                <w:szCs w:val="20"/>
                <w:color w:val="auto"/>
              </w:rPr>
            </w:pPr>
            <w:r>
              <w:rPr>
                <w:rFonts w:ascii="Arial" w:cs="Arial" w:eastAsia="Arial" w:hAnsi="Arial"/>
                <w:sz w:val="11"/>
                <w:szCs w:val="11"/>
                <w:b w:val="1"/>
                <w:bCs w:val="1"/>
                <w:color w:val="auto"/>
              </w:rPr>
              <w:t>CERC</w:t>
            </w:r>
          </w:p>
        </w:tc>
        <w:tc>
          <w:tcPr>
            <w:tcW w:w="0" w:type="dxa"/>
            <w:vAlign w:val="bottom"/>
          </w:tcPr>
          <w:p>
            <w:pPr>
              <w:spacing w:after="0"/>
              <w:rPr>
                <w:sz w:val="1"/>
                <w:szCs w:val="1"/>
                <w:color w:val="auto"/>
              </w:rPr>
            </w:pPr>
          </w:p>
        </w:tc>
      </w:tr>
      <w:tr>
        <w:trPr>
          <w:trHeight w:val="148"/>
        </w:trPr>
        <w:tc>
          <w:tcPr>
            <w:tcW w:w="208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20" w:type="dxa"/>
            <w:vAlign w:val="bottom"/>
            <w:gridSpan w:val="3"/>
          </w:tcPr>
          <w:p>
            <w:pPr>
              <w:jc w:val="center"/>
              <w:ind w:left="203"/>
              <w:spacing w:after="0"/>
              <w:rPr>
                <w:sz w:val="20"/>
                <w:szCs w:val="20"/>
                <w:color w:val="auto"/>
              </w:rPr>
            </w:pPr>
            <w:r>
              <w:rPr>
                <w:rFonts w:ascii="Arial" w:cs="Arial" w:eastAsia="Arial" w:hAnsi="Arial"/>
                <w:sz w:val="11"/>
                <w:szCs w:val="11"/>
                <w:b w:val="1"/>
                <w:bCs w:val="1"/>
                <w:color w:val="auto"/>
                <w:w w:val="97"/>
              </w:rPr>
              <w:t>(in millions)</w:t>
            </w: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5"/>
        </w:trPr>
        <w:tc>
          <w:tcPr>
            <w:tcW w:w="6540" w:type="dxa"/>
            <w:vAlign w:val="bottom"/>
            <w:gridSpan w:val="3"/>
          </w:tcPr>
          <w:p>
            <w:pPr>
              <w:ind w:left="20"/>
              <w:spacing w:after="0"/>
              <w:rPr>
                <w:sz w:val="20"/>
                <w:szCs w:val="20"/>
                <w:color w:val="auto"/>
              </w:rPr>
            </w:pPr>
            <w:r>
              <w:rPr>
                <w:rFonts w:ascii="Arial" w:cs="Arial" w:eastAsia="Arial" w:hAnsi="Arial"/>
                <w:sz w:val="11"/>
                <w:szCs w:val="11"/>
                <w:b w:val="1"/>
                <w:bCs w:val="1"/>
                <w:color w:val="auto"/>
              </w:rPr>
              <w:t>Hedged items in fair value hedge relationship:</w:t>
            </w: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3"/>
        </w:trPr>
        <w:tc>
          <w:tcPr>
            <w:tcW w:w="2080" w:type="dxa"/>
            <w:vAlign w:val="bottom"/>
          </w:tcPr>
          <w:p>
            <w:pPr>
              <w:spacing w:after="0"/>
              <w:rPr>
                <w:sz w:val="5"/>
                <w:szCs w:val="5"/>
                <w:color w:val="auto"/>
              </w:rPr>
            </w:pPr>
          </w:p>
        </w:tc>
        <w:tc>
          <w:tcPr>
            <w:tcW w:w="4460" w:type="dxa"/>
            <w:vAlign w:val="bottom"/>
            <w:gridSpan w:val="2"/>
          </w:tcPr>
          <w:p>
            <w:pPr>
              <w:spacing w:after="0"/>
              <w:rPr>
                <w:sz w:val="5"/>
                <w:szCs w:val="5"/>
                <w:color w:val="auto"/>
              </w:rPr>
            </w:pPr>
          </w:p>
        </w:tc>
        <w:tc>
          <w:tcPr>
            <w:tcW w:w="1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1"/>
        </w:trPr>
        <w:tc>
          <w:tcPr>
            <w:tcW w:w="2080" w:type="dxa"/>
            <w:vAlign w:val="bottom"/>
            <w:shd w:val="clear" w:color="auto" w:fill="CCEEFF"/>
          </w:tcPr>
          <w:p>
            <w:pPr>
              <w:ind w:left="20"/>
              <w:spacing w:after="0"/>
              <w:rPr>
                <w:sz w:val="20"/>
                <w:szCs w:val="20"/>
                <w:color w:val="auto"/>
              </w:rPr>
            </w:pPr>
            <w:r>
              <w:rPr>
                <w:rFonts w:ascii="Arial" w:cs="Arial" w:eastAsia="Arial" w:hAnsi="Arial"/>
                <w:sz w:val="11"/>
                <w:szCs w:val="11"/>
                <w:color w:val="auto"/>
              </w:rPr>
              <w:t>Natural gas inventory</w:t>
            </w:r>
          </w:p>
        </w:tc>
        <w:tc>
          <w:tcPr>
            <w:tcW w:w="446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Current Assets: Natural gas inventory</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08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color w:val="auto"/>
              </w:rPr>
              <w:t>57</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1"/>
                <w:szCs w:val="11"/>
                <w:color w:val="auto"/>
              </w:rPr>
              <w:t>57</w:t>
            </w:r>
          </w:p>
        </w:tc>
        <w:tc>
          <w:tcPr>
            <w:tcW w:w="12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463"/>
              <w:spacing w:after="0"/>
              <w:rPr>
                <w:sz w:val="20"/>
                <w:szCs w:val="20"/>
                <w:color w:val="auto"/>
              </w:rPr>
            </w:pPr>
            <w:r>
              <w:rPr>
                <w:rFonts w:ascii="Arial" w:cs="Arial" w:eastAsia="Arial" w:hAnsi="Arial"/>
                <w:sz w:val="11"/>
                <w:szCs w:val="11"/>
                <w:color w:val="auto"/>
                <w:w w:val="97"/>
              </w:rPr>
              <w:t>$</w:t>
            </w:r>
          </w:p>
        </w:tc>
        <w:tc>
          <w:tcPr>
            <w:tcW w:w="5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1"/>
                <w:szCs w:val="11"/>
                <w:color w:val="auto"/>
              </w:rPr>
              <w:t>1</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248"/>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4460" w:type="dxa"/>
            <w:vAlign w:val="bottom"/>
            <w:gridSpan w:val="2"/>
          </w:tcPr>
          <w:p>
            <w:pPr>
              <w:ind w:left="220"/>
              <w:spacing w:after="0"/>
              <w:rPr>
                <w:sz w:val="20"/>
                <w:szCs w:val="20"/>
                <w:color w:val="auto"/>
              </w:rPr>
            </w:pPr>
            <w:r>
              <w:rPr>
                <w:rFonts w:ascii="Arial" w:cs="Arial" w:eastAsia="Arial" w:hAnsi="Arial"/>
                <w:sz w:val="11"/>
                <w:szCs w:val="11"/>
                <w:b w:val="1"/>
                <w:bCs w:val="1"/>
                <w:color w:val="auto"/>
              </w:rPr>
              <w:t>Total</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108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color w:val="auto"/>
              </w:rPr>
              <w:t>57</w:t>
            </w:r>
          </w:p>
        </w:tc>
        <w:tc>
          <w:tcPr>
            <w:tcW w:w="120" w:type="dxa"/>
            <w:vAlign w:val="bottom"/>
          </w:tcPr>
          <w:p>
            <w:pPr>
              <w:spacing w:after="0"/>
              <w:rPr>
                <w:sz w:val="16"/>
                <w:szCs w:val="16"/>
                <w:color w:val="auto"/>
              </w:rPr>
            </w:pPr>
          </w:p>
        </w:tc>
        <w:tc>
          <w:tcPr>
            <w:tcW w:w="240" w:type="dxa"/>
            <w:vAlign w:val="bottom"/>
            <w:tcBorders>
              <w:bottom w:val="single" w:sz="8" w:color="auto"/>
            </w:tcBorders>
          </w:tcPr>
          <w:p>
            <w:pPr>
              <w:jc w:val="right"/>
              <w:ind w:right="128"/>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auto"/>
              </w:rPr>
              <w:t>57</w:t>
            </w:r>
          </w:p>
        </w:tc>
        <w:tc>
          <w:tcPr>
            <w:tcW w:w="120" w:type="dxa"/>
            <w:vAlign w:val="bottom"/>
          </w:tcPr>
          <w:p>
            <w:pPr>
              <w:spacing w:after="0"/>
              <w:rPr>
                <w:sz w:val="16"/>
                <w:szCs w:val="16"/>
                <w:color w:val="auto"/>
              </w:rPr>
            </w:pPr>
          </w:p>
        </w:tc>
        <w:tc>
          <w:tcPr>
            <w:tcW w:w="600" w:type="dxa"/>
            <w:vAlign w:val="bottom"/>
            <w:tcBorders>
              <w:bottom w:val="single" w:sz="8" w:color="auto"/>
            </w:tcBorders>
          </w:tcPr>
          <w:p>
            <w:pPr>
              <w:jc w:val="right"/>
              <w:ind w:right="463"/>
              <w:spacing w:after="0"/>
              <w:rPr>
                <w:sz w:val="20"/>
                <w:szCs w:val="20"/>
                <w:color w:val="auto"/>
              </w:rPr>
            </w:pPr>
            <w:r>
              <w:rPr>
                <w:rFonts w:ascii="Arial" w:cs="Arial" w:eastAsia="Arial" w:hAnsi="Arial"/>
                <w:sz w:val="11"/>
                <w:szCs w:val="11"/>
                <w:color w:val="auto"/>
                <w:w w:val="97"/>
              </w:rPr>
              <w:t>$</w:t>
            </w:r>
          </w:p>
        </w:tc>
        <w:tc>
          <w:tcPr>
            <w:tcW w:w="52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16"/>
                <w:szCs w:val="16"/>
                <w:color w:val="auto"/>
              </w:rPr>
            </w:pPr>
          </w:p>
        </w:tc>
        <w:tc>
          <w:tcPr>
            <w:tcW w:w="360" w:type="dxa"/>
            <w:vAlign w:val="bottom"/>
            <w:tcBorders>
              <w:bottom w:val="single" w:sz="8" w:color="auto"/>
            </w:tcBorders>
          </w:tcPr>
          <w:p>
            <w:pPr>
              <w:jc w:val="right"/>
              <w:ind w:right="248"/>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35</w:t>
      </w:r>
    </w:p>
    <w:p>
      <w:pPr>
        <w:sectPr>
          <w:pgSz w:w="11900" w:h="16838" w:orient="portrait"/>
          <w:cols w:equalWidth="0" w:num="1">
            <w:col w:w="11460"/>
          </w:cols>
          <w:pgMar w:left="220" w:top="129" w:right="219" w:bottom="1440" w:gutter="0" w:footer="0" w:header="0"/>
        </w:sectPr>
      </w:pPr>
    </w:p>
    <w:bookmarkStart w:id="45" w:name="page46"/>
    <w:bookmarkEnd w:id="45"/>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37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Offsetting of Natural Gas Derivative Assets and Liabilities (CenterPoint Energy and CERC)</w:t>
      </w:r>
    </w:p>
    <w:p>
      <w:pPr>
        <w:spacing w:after="0" w:line="184"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CenterPoint Energy</w:t>
      </w:r>
    </w:p>
    <w:p>
      <w:pPr>
        <w:spacing w:after="0" w:line="192" w:lineRule="exact"/>
        <w:rPr>
          <w:sz w:val="20"/>
          <w:szCs w:val="20"/>
          <w:color w:val="auto"/>
        </w:rPr>
      </w:pPr>
    </w:p>
    <w:tbl>
      <w:tblPr>
        <w:tblLayout w:type="fixed"/>
        <w:tblInd w:w="40" w:type="dxa"/>
        <w:tblCellMar>
          <w:top w:w="0" w:type="dxa"/>
          <w:left w:w="0" w:type="dxa"/>
          <w:bottom w:w="0" w:type="dxa"/>
          <w:right w:w="0" w:type="dxa"/>
        </w:tblCellMar>
      </w:tblPr>
      <w:tr>
        <w:trPr>
          <w:trHeight w:val="153"/>
        </w:trPr>
        <w:tc>
          <w:tcPr>
            <w:tcW w:w="400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1"/>
                <w:szCs w:val="11"/>
                <w:b w:val="1"/>
                <w:bCs w:val="1"/>
                <w:color w:val="auto"/>
                <w:w w:val="93"/>
              </w:rPr>
              <w:t>September 30, 2019</w:t>
            </w:r>
          </w:p>
        </w:tc>
        <w:tc>
          <w:tcPr>
            <w:tcW w:w="2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1"/>
                <w:szCs w:val="11"/>
                <w:b w:val="1"/>
                <w:bCs w:val="1"/>
                <w:color w:val="auto"/>
                <w:w w:val="92"/>
              </w:rPr>
              <w:t>December 31, 2018</w:t>
            </w:r>
          </w:p>
        </w:tc>
        <w:tc>
          <w:tcPr>
            <w:tcW w:w="1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r>
      <w:tr>
        <w:trPr>
          <w:trHeight w:val="111"/>
        </w:trPr>
        <w:tc>
          <w:tcPr>
            <w:tcW w:w="40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80" w:type="dxa"/>
            <w:vAlign w:val="bottom"/>
            <w:gridSpan w:val="3"/>
          </w:tcPr>
          <w:p>
            <w:pPr>
              <w:jc w:val="center"/>
              <w:ind w:right="140"/>
              <w:spacing w:after="0" w:line="112" w:lineRule="exact"/>
              <w:rPr>
                <w:sz w:val="20"/>
                <w:szCs w:val="20"/>
                <w:color w:val="auto"/>
              </w:rPr>
            </w:pPr>
            <w:r>
              <w:rPr>
                <w:rFonts w:ascii="Arial" w:cs="Arial" w:eastAsia="Arial" w:hAnsi="Arial"/>
                <w:sz w:val="10"/>
                <w:szCs w:val="10"/>
                <w:b w:val="1"/>
                <w:bCs w:val="1"/>
                <w:color w:val="auto"/>
                <w:w w:val="89"/>
              </w:rPr>
              <w:t>Gross Amounts Offset in</w:t>
            </w:r>
          </w:p>
        </w:tc>
        <w:tc>
          <w:tcPr>
            <w:tcW w:w="1260" w:type="dxa"/>
            <w:vAlign w:val="bottom"/>
            <w:gridSpan w:val="3"/>
          </w:tcPr>
          <w:p>
            <w:pPr>
              <w:ind w:left="20"/>
              <w:spacing w:after="0" w:line="112" w:lineRule="exact"/>
              <w:rPr>
                <w:sz w:val="20"/>
                <w:szCs w:val="20"/>
                <w:color w:val="auto"/>
              </w:rPr>
            </w:pPr>
            <w:r>
              <w:rPr>
                <w:rFonts w:ascii="Arial" w:cs="Arial" w:eastAsia="Arial" w:hAnsi="Arial"/>
                <w:sz w:val="10"/>
                <w:szCs w:val="10"/>
                <w:b w:val="1"/>
                <w:bCs w:val="1"/>
                <w:color w:val="auto"/>
              </w:rPr>
              <w:t>Net Amount Presented in</w:t>
            </w:r>
          </w:p>
        </w:tc>
        <w:tc>
          <w:tcPr>
            <w:tcW w:w="2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20" w:type="dxa"/>
            <w:vAlign w:val="bottom"/>
            <w:gridSpan w:val="3"/>
          </w:tcPr>
          <w:p>
            <w:pPr>
              <w:jc w:val="center"/>
              <w:ind w:right="120"/>
              <w:spacing w:after="0" w:line="112" w:lineRule="exact"/>
              <w:rPr>
                <w:sz w:val="20"/>
                <w:szCs w:val="20"/>
                <w:color w:val="auto"/>
              </w:rPr>
            </w:pPr>
            <w:r>
              <w:rPr>
                <w:rFonts w:ascii="Arial" w:cs="Arial" w:eastAsia="Arial" w:hAnsi="Arial"/>
                <w:sz w:val="10"/>
                <w:szCs w:val="10"/>
                <w:b w:val="1"/>
                <w:bCs w:val="1"/>
                <w:color w:val="auto"/>
                <w:w w:val="89"/>
              </w:rPr>
              <w:t>Gross Amounts Offset in</w:t>
            </w:r>
          </w:p>
        </w:tc>
        <w:tc>
          <w:tcPr>
            <w:tcW w:w="1120" w:type="dxa"/>
            <w:vAlign w:val="bottom"/>
            <w:gridSpan w:val="2"/>
          </w:tcPr>
          <w:p>
            <w:pPr>
              <w:jc w:val="center"/>
              <w:spacing w:after="0" w:line="112" w:lineRule="exact"/>
              <w:rPr>
                <w:sz w:val="20"/>
                <w:szCs w:val="20"/>
                <w:color w:val="auto"/>
              </w:rPr>
            </w:pPr>
            <w:r>
              <w:rPr>
                <w:rFonts w:ascii="Arial" w:cs="Arial" w:eastAsia="Arial" w:hAnsi="Arial"/>
                <w:sz w:val="10"/>
                <w:szCs w:val="10"/>
                <w:b w:val="1"/>
                <w:bCs w:val="1"/>
                <w:color w:val="auto"/>
                <w:w w:val="89"/>
              </w:rPr>
              <w:t>Net Amount Presented</w:t>
            </w:r>
          </w:p>
        </w:tc>
      </w:tr>
      <w:tr>
        <w:trPr>
          <w:trHeight w:val="108"/>
        </w:trPr>
        <w:tc>
          <w:tcPr>
            <w:tcW w:w="40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0" w:type="dxa"/>
            <w:vAlign w:val="bottom"/>
            <w:gridSpan w:val="2"/>
          </w:tcPr>
          <w:p>
            <w:pPr>
              <w:jc w:val="center"/>
              <w:ind w:right="400"/>
              <w:spacing w:after="0" w:line="108" w:lineRule="exact"/>
              <w:rPr>
                <w:sz w:val="20"/>
                <w:szCs w:val="20"/>
                <w:color w:val="auto"/>
              </w:rPr>
            </w:pPr>
            <w:r>
              <w:rPr>
                <w:rFonts w:ascii="Arial" w:cs="Arial" w:eastAsia="Arial" w:hAnsi="Arial"/>
                <w:sz w:val="10"/>
                <w:szCs w:val="10"/>
                <w:b w:val="1"/>
                <w:bCs w:val="1"/>
                <w:color w:val="auto"/>
                <w:w w:val="82"/>
              </w:rPr>
              <w:t>Gross</w:t>
            </w:r>
          </w:p>
        </w:tc>
        <w:tc>
          <w:tcPr>
            <w:tcW w:w="1280" w:type="dxa"/>
            <w:vAlign w:val="bottom"/>
            <w:gridSpan w:val="3"/>
          </w:tcPr>
          <w:p>
            <w:pPr>
              <w:jc w:val="center"/>
              <w:ind w:right="120"/>
              <w:spacing w:after="0" w:line="108" w:lineRule="exact"/>
              <w:rPr>
                <w:sz w:val="20"/>
                <w:szCs w:val="20"/>
                <w:color w:val="auto"/>
              </w:rPr>
            </w:pPr>
            <w:r>
              <w:rPr>
                <w:rFonts w:ascii="Arial" w:cs="Arial" w:eastAsia="Arial" w:hAnsi="Arial"/>
                <w:sz w:val="10"/>
                <w:szCs w:val="10"/>
                <w:b w:val="1"/>
                <w:bCs w:val="1"/>
                <w:color w:val="auto"/>
                <w:w w:val="88"/>
              </w:rPr>
              <w:t>the Consolidated Balance</w:t>
            </w:r>
          </w:p>
        </w:tc>
        <w:tc>
          <w:tcPr>
            <w:tcW w:w="1260" w:type="dxa"/>
            <w:vAlign w:val="bottom"/>
            <w:gridSpan w:val="3"/>
          </w:tcPr>
          <w:p>
            <w:pPr>
              <w:ind w:left="20"/>
              <w:spacing w:after="0" w:line="108" w:lineRule="exact"/>
              <w:rPr>
                <w:sz w:val="20"/>
                <w:szCs w:val="20"/>
                <w:color w:val="auto"/>
              </w:rPr>
            </w:pPr>
            <w:r>
              <w:rPr>
                <w:rFonts w:ascii="Arial" w:cs="Arial" w:eastAsia="Arial" w:hAnsi="Arial"/>
                <w:sz w:val="10"/>
                <w:szCs w:val="10"/>
                <w:b w:val="1"/>
                <w:bCs w:val="1"/>
                <w:color w:val="auto"/>
                <w:w w:val="99"/>
              </w:rPr>
              <w:t>the Consolidated Balance</w:t>
            </w:r>
          </w:p>
        </w:tc>
        <w:tc>
          <w:tcPr>
            <w:tcW w:w="220" w:type="dxa"/>
            <w:vAlign w:val="bottom"/>
          </w:tcPr>
          <w:p>
            <w:pPr>
              <w:spacing w:after="0"/>
              <w:rPr>
                <w:sz w:val="9"/>
                <w:szCs w:val="9"/>
                <w:color w:val="auto"/>
              </w:rPr>
            </w:pPr>
          </w:p>
        </w:tc>
        <w:tc>
          <w:tcPr>
            <w:tcW w:w="1040" w:type="dxa"/>
            <w:vAlign w:val="bottom"/>
            <w:gridSpan w:val="2"/>
          </w:tcPr>
          <w:p>
            <w:pPr>
              <w:jc w:val="center"/>
              <w:ind w:right="340"/>
              <w:spacing w:after="0" w:line="108" w:lineRule="exact"/>
              <w:rPr>
                <w:sz w:val="20"/>
                <w:szCs w:val="20"/>
                <w:color w:val="auto"/>
              </w:rPr>
            </w:pPr>
            <w:r>
              <w:rPr>
                <w:rFonts w:ascii="Arial" w:cs="Arial" w:eastAsia="Arial" w:hAnsi="Arial"/>
                <w:sz w:val="10"/>
                <w:szCs w:val="10"/>
                <w:b w:val="1"/>
                <w:bCs w:val="1"/>
                <w:color w:val="auto"/>
                <w:w w:val="87"/>
              </w:rPr>
              <w:t>Gross Amounts</w:t>
            </w:r>
          </w:p>
        </w:tc>
        <w:tc>
          <w:tcPr>
            <w:tcW w:w="80" w:type="dxa"/>
            <w:vAlign w:val="bottom"/>
          </w:tcPr>
          <w:p>
            <w:pPr>
              <w:spacing w:after="0"/>
              <w:rPr>
                <w:sz w:val="9"/>
                <w:szCs w:val="9"/>
                <w:color w:val="auto"/>
              </w:rPr>
            </w:pPr>
          </w:p>
        </w:tc>
        <w:tc>
          <w:tcPr>
            <w:tcW w:w="1140" w:type="dxa"/>
            <w:vAlign w:val="bottom"/>
            <w:gridSpan w:val="2"/>
          </w:tcPr>
          <w:p>
            <w:pPr>
              <w:jc w:val="center"/>
              <w:ind w:right="180"/>
              <w:spacing w:after="0" w:line="108" w:lineRule="exact"/>
              <w:rPr>
                <w:sz w:val="20"/>
                <w:szCs w:val="20"/>
                <w:color w:val="auto"/>
              </w:rPr>
            </w:pPr>
            <w:r>
              <w:rPr>
                <w:rFonts w:ascii="Arial" w:cs="Arial" w:eastAsia="Arial" w:hAnsi="Arial"/>
                <w:sz w:val="10"/>
                <w:szCs w:val="10"/>
                <w:b w:val="1"/>
                <w:bCs w:val="1"/>
                <w:color w:val="auto"/>
                <w:w w:val="88"/>
              </w:rPr>
              <w:t>the Consolidated</w:t>
            </w:r>
          </w:p>
        </w:tc>
        <w:tc>
          <w:tcPr>
            <w:tcW w:w="120" w:type="dxa"/>
            <w:vAlign w:val="bottom"/>
          </w:tcPr>
          <w:p>
            <w:pPr>
              <w:spacing w:after="0"/>
              <w:rPr>
                <w:sz w:val="9"/>
                <w:szCs w:val="9"/>
                <w:color w:val="auto"/>
              </w:rPr>
            </w:pPr>
          </w:p>
        </w:tc>
        <w:tc>
          <w:tcPr>
            <w:tcW w:w="1000" w:type="dxa"/>
            <w:vAlign w:val="bottom"/>
          </w:tcPr>
          <w:p>
            <w:pPr>
              <w:jc w:val="center"/>
              <w:ind w:right="65"/>
              <w:spacing w:after="0" w:line="108" w:lineRule="exact"/>
              <w:rPr>
                <w:sz w:val="20"/>
                <w:szCs w:val="20"/>
                <w:color w:val="auto"/>
              </w:rPr>
            </w:pPr>
            <w:r>
              <w:rPr>
                <w:rFonts w:ascii="Arial" w:cs="Arial" w:eastAsia="Arial" w:hAnsi="Arial"/>
                <w:sz w:val="10"/>
                <w:szCs w:val="10"/>
                <w:b w:val="1"/>
                <w:bCs w:val="1"/>
                <w:color w:val="auto"/>
                <w:w w:val="90"/>
              </w:rPr>
              <w:t>in the Consolidated</w:t>
            </w:r>
          </w:p>
        </w:tc>
      </w:tr>
      <w:tr>
        <w:trPr>
          <w:trHeight w:val="136"/>
        </w:trPr>
        <w:tc>
          <w:tcPr>
            <w:tcW w:w="4000" w:type="dxa"/>
            <w:vAlign w:val="bottom"/>
          </w:tcPr>
          <w:p>
            <w:pPr>
              <w:spacing w:after="0"/>
              <w:rPr>
                <w:sz w:val="11"/>
                <w:szCs w:val="11"/>
                <w:color w:val="auto"/>
              </w:rPr>
            </w:pPr>
          </w:p>
        </w:tc>
        <w:tc>
          <w:tcPr>
            <w:tcW w:w="128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0"/>
                <w:szCs w:val="10"/>
                <w:b w:val="1"/>
                <w:bCs w:val="1"/>
                <w:color w:val="auto"/>
                <w:w w:val="88"/>
              </w:rPr>
              <w:t>Amounts Recognized (1)</w:t>
            </w:r>
          </w:p>
        </w:tc>
        <w:tc>
          <w:tcPr>
            <w:tcW w:w="10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0"/>
                <w:szCs w:val="10"/>
                <w:b w:val="1"/>
                <w:bCs w:val="1"/>
                <w:color w:val="auto"/>
                <w:w w:val="85"/>
              </w:rPr>
              <w:t>Sheets</w:t>
            </w:r>
          </w:p>
        </w:tc>
        <w:tc>
          <w:tcPr>
            <w:tcW w:w="22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gridSpan w:val="2"/>
          </w:tcPr>
          <w:p>
            <w:pPr>
              <w:ind w:left="140"/>
              <w:spacing w:after="0"/>
              <w:rPr>
                <w:sz w:val="20"/>
                <w:szCs w:val="20"/>
                <w:color w:val="auto"/>
              </w:rPr>
            </w:pPr>
            <w:r>
              <w:rPr>
                <w:rFonts w:ascii="Arial" w:cs="Arial" w:eastAsia="Arial" w:hAnsi="Arial"/>
                <w:sz w:val="10"/>
                <w:szCs w:val="10"/>
                <w:b w:val="1"/>
                <w:bCs w:val="1"/>
                <w:color w:val="auto"/>
              </w:rPr>
              <w:t>Sheets (2)</w:t>
            </w:r>
          </w:p>
        </w:tc>
        <w:tc>
          <w:tcPr>
            <w:tcW w:w="22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0"/>
                <w:szCs w:val="10"/>
                <w:b w:val="1"/>
                <w:bCs w:val="1"/>
                <w:color w:val="auto"/>
                <w:w w:val="89"/>
              </w:rPr>
              <w:t>Recognized (1)</w:t>
            </w:r>
          </w:p>
        </w:tc>
        <w:tc>
          <w:tcPr>
            <w:tcW w:w="8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0"/>
                <w:szCs w:val="10"/>
                <w:b w:val="1"/>
                <w:bCs w:val="1"/>
                <w:color w:val="auto"/>
                <w:w w:val="86"/>
              </w:rPr>
              <w:t>Balance Sheets</w:t>
            </w:r>
          </w:p>
        </w:tc>
        <w:tc>
          <w:tcPr>
            <w:tcW w:w="12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center"/>
              <w:ind w:right="45"/>
              <w:spacing w:after="0"/>
              <w:rPr>
                <w:sz w:val="20"/>
                <w:szCs w:val="20"/>
                <w:color w:val="auto"/>
              </w:rPr>
            </w:pPr>
            <w:r>
              <w:rPr>
                <w:rFonts w:ascii="Arial" w:cs="Arial" w:eastAsia="Arial" w:hAnsi="Arial"/>
                <w:sz w:val="10"/>
                <w:szCs w:val="10"/>
                <w:b w:val="1"/>
                <w:bCs w:val="1"/>
                <w:color w:val="auto"/>
                <w:w w:val="87"/>
              </w:rPr>
              <w:t>Balance Sheets (2)</w:t>
            </w:r>
          </w:p>
        </w:tc>
      </w:tr>
      <w:tr>
        <w:trPr>
          <w:trHeight w:val="198"/>
        </w:trPr>
        <w:tc>
          <w:tcPr>
            <w:tcW w:w="4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gridSpan w:val="3"/>
          </w:tcPr>
          <w:p>
            <w:pPr>
              <w:jc w:val="right"/>
              <w:spacing w:after="0"/>
              <w:rPr>
                <w:sz w:val="20"/>
                <w:szCs w:val="20"/>
                <w:color w:val="auto"/>
              </w:rPr>
            </w:pPr>
            <w:r>
              <w:rPr>
                <w:rFonts w:ascii="Arial" w:cs="Arial" w:eastAsia="Arial" w:hAnsi="Arial"/>
                <w:sz w:val="11"/>
                <w:szCs w:val="11"/>
                <w:b w:val="1"/>
                <w:bCs w:val="1"/>
                <w:color w:val="auto"/>
              </w:rPr>
              <w:t>(in millions)</w:t>
            </w: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20"/>
        </w:trPr>
        <w:tc>
          <w:tcPr>
            <w:tcW w:w="4000" w:type="dxa"/>
            <w:vAlign w:val="bottom"/>
            <w:shd w:val="clear" w:color="auto" w:fill="CCEEFF"/>
          </w:tcPr>
          <w:p>
            <w:pPr>
              <w:ind w:left="40"/>
              <w:spacing w:after="0"/>
              <w:rPr>
                <w:sz w:val="20"/>
                <w:szCs w:val="20"/>
                <w:color w:val="auto"/>
              </w:rPr>
            </w:pPr>
            <w:r>
              <w:rPr>
                <w:rFonts w:ascii="Arial" w:cs="Arial" w:eastAsia="Arial" w:hAnsi="Arial"/>
                <w:sz w:val="11"/>
                <w:szCs w:val="11"/>
                <w:color w:val="auto"/>
              </w:rPr>
              <w:t>Current Assets: Non-trading derivative assets</w:t>
            </w:r>
          </w:p>
        </w:tc>
        <w:tc>
          <w:tcPr>
            <w:tcW w:w="280" w:type="dxa"/>
            <w:vAlign w:val="bottom"/>
            <w:shd w:val="clear" w:color="auto" w:fill="CCEEFF"/>
          </w:tcPr>
          <w:p>
            <w:pPr>
              <w:jc w:val="right"/>
              <w:ind w:right="145"/>
              <w:spacing w:after="0"/>
              <w:rPr>
                <w:sz w:val="20"/>
                <w:szCs w:val="20"/>
                <w:color w:val="auto"/>
              </w:rPr>
            </w:pPr>
            <w:r>
              <w:rPr>
                <w:rFonts w:ascii="Arial" w:cs="Arial" w:eastAsia="Arial" w:hAnsi="Arial"/>
                <w:sz w:val="11"/>
                <w:szCs w:val="11"/>
                <w:color w:val="auto"/>
                <w:w w:val="97"/>
              </w:rPr>
              <w:t>$</w:t>
            </w:r>
          </w:p>
        </w:tc>
        <w:tc>
          <w:tcPr>
            <w:tcW w:w="880" w:type="dxa"/>
            <w:vAlign w:val="bottom"/>
            <w:shd w:val="clear" w:color="auto" w:fill="CCEEFF"/>
          </w:tcPr>
          <w:p>
            <w:pPr>
              <w:jc w:val="right"/>
              <w:ind w:right="64"/>
              <w:spacing w:after="0"/>
              <w:rPr>
                <w:sz w:val="20"/>
                <w:szCs w:val="20"/>
                <w:color w:val="auto"/>
              </w:rPr>
            </w:pPr>
            <w:r>
              <w:rPr>
                <w:rFonts w:ascii="Arial" w:cs="Arial" w:eastAsia="Arial" w:hAnsi="Arial"/>
                <w:sz w:val="11"/>
                <w:szCs w:val="11"/>
                <w:color w:val="auto"/>
              </w:rPr>
              <w:t>199</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060" w:type="dxa"/>
            <w:vAlign w:val="bottom"/>
            <w:shd w:val="clear" w:color="auto" w:fill="CCEEFF"/>
          </w:tcPr>
          <w:p>
            <w:pPr>
              <w:jc w:val="right"/>
              <w:ind w:right="24"/>
              <w:spacing w:after="0"/>
              <w:rPr>
                <w:sz w:val="20"/>
                <w:szCs w:val="20"/>
                <w:color w:val="auto"/>
              </w:rPr>
            </w:pPr>
            <w:r>
              <w:rPr>
                <w:rFonts w:ascii="Arial" w:cs="Arial" w:eastAsia="Arial" w:hAnsi="Arial"/>
                <w:sz w:val="11"/>
                <w:szCs w:val="11"/>
                <w:color w:val="auto"/>
              </w:rPr>
              <w:t>(79)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1"/>
                <w:szCs w:val="11"/>
                <w:color w:val="auto"/>
              </w:rPr>
              <w:t>$</w:t>
            </w:r>
          </w:p>
        </w:tc>
        <w:tc>
          <w:tcPr>
            <w:tcW w:w="920" w:type="dxa"/>
            <w:vAlign w:val="bottom"/>
            <w:shd w:val="clear" w:color="auto" w:fill="CCEEFF"/>
          </w:tcPr>
          <w:p>
            <w:pPr>
              <w:jc w:val="right"/>
              <w:ind w:right="64"/>
              <w:spacing w:after="0"/>
              <w:rPr>
                <w:sz w:val="20"/>
                <w:szCs w:val="20"/>
                <w:color w:val="auto"/>
              </w:rPr>
            </w:pPr>
            <w:r>
              <w:rPr>
                <w:rFonts w:ascii="Arial" w:cs="Arial" w:eastAsia="Arial" w:hAnsi="Arial"/>
                <w:sz w:val="11"/>
                <w:szCs w:val="11"/>
                <w:color w:val="auto"/>
              </w:rPr>
              <w:t>120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w w:val="97"/>
              </w:rPr>
              <w:t>$</w:t>
            </w:r>
          </w:p>
        </w:tc>
        <w:tc>
          <w:tcPr>
            <w:tcW w:w="920" w:type="dxa"/>
            <w:vAlign w:val="bottom"/>
            <w:shd w:val="clear" w:color="auto" w:fill="CCEEFF"/>
          </w:tcPr>
          <w:p>
            <w:pPr>
              <w:jc w:val="right"/>
              <w:ind w:right="45"/>
              <w:spacing w:after="0"/>
              <w:rPr>
                <w:sz w:val="20"/>
                <w:szCs w:val="20"/>
                <w:color w:val="auto"/>
              </w:rPr>
            </w:pPr>
            <w:r>
              <w:rPr>
                <w:rFonts w:ascii="Arial" w:cs="Arial" w:eastAsia="Arial" w:hAnsi="Arial"/>
                <w:sz w:val="11"/>
                <w:szCs w:val="11"/>
                <w:color w:val="auto"/>
              </w:rPr>
              <w:t>166</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040" w:type="dxa"/>
            <w:vAlign w:val="bottom"/>
            <w:shd w:val="clear" w:color="auto" w:fill="CCEEFF"/>
          </w:tcPr>
          <w:p>
            <w:pPr>
              <w:jc w:val="right"/>
              <w:ind w:right="24"/>
              <w:spacing w:after="0"/>
              <w:rPr>
                <w:sz w:val="20"/>
                <w:szCs w:val="20"/>
                <w:color w:val="auto"/>
              </w:rPr>
            </w:pPr>
            <w:r>
              <w:rPr>
                <w:rFonts w:ascii="Arial" w:cs="Arial" w:eastAsia="Arial" w:hAnsi="Arial"/>
                <w:sz w:val="11"/>
                <w:szCs w:val="11"/>
                <w:color w:val="auto"/>
              </w:rPr>
              <w:t>(66)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000" w:type="dxa"/>
            <w:vAlign w:val="bottom"/>
            <w:shd w:val="clear" w:color="auto" w:fill="CCEEFF"/>
          </w:tcPr>
          <w:p>
            <w:pPr>
              <w:jc w:val="right"/>
              <w:ind w:right="45"/>
              <w:spacing w:after="0"/>
              <w:rPr>
                <w:sz w:val="20"/>
                <w:szCs w:val="20"/>
                <w:color w:val="auto"/>
              </w:rPr>
            </w:pPr>
            <w:r>
              <w:rPr>
                <w:rFonts w:ascii="Arial" w:cs="Arial" w:eastAsia="Arial" w:hAnsi="Arial"/>
                <w:sz w:val="11"/>
                <w:szCs w:val="11"/>
                <w:color w:val="auto"/>
              </w:rPr>
              <w:t>100</w:t>
            </w:r>
          </w:p>
        </w:tc>
      </w:tr>
      <w:tr>
        <w:trPr>
          <w:trHeight w:val="211"/>
        </w:trPr>
        <w:tc>
          <w:tcPr>
            <w:tcW w:w="4000" w:type="dxa"/>
            <w:vAlign w:val="bottom"/>
          </w:tcPr>
          <w:p>
            <w:pPr>
              <w:ind w:left="40"/>
              <w:spacing w:after="0"/>
              <w:rPr>
                <w:sz w:val="20"/>
                <w:szCs w:val="20"/>
                <w:color w:val="auto"/>
              </w:rPr>
            </w:pPr>
            <w:r>
              <w:rPr>
                <w:rFonts w:ascii="Arial" w:cs="Arial" w:eastAsia="Arial" w:hAnsi="Arial"/>
                <w:sz w:val="11"/>
                <w:szCs w:val="11"/>
                <w:color w:val="auto"/>
              </w:rPr>
              <w:t>Other Assets: Non-trading derivative assets</w:t>
            </w:r>
          </w:p>
        </w:tc>
        <w:tc>
          <w:tcPr>
            <w:tcW w:w="280" w:type="dxa"/>
            <w:vAlign w:val="bottom"/>
          </w:tcPr>
          <w:p>
            <w:pPr>
              <w:spacing w:after="0"/>
              <w:rPr>
                <w:sz w:val="18"/>
                <w:szCs w:val="18"/>
                <w:color w:val="auto"/>
              </w:rPr>
            </w:pPr>
          </w:p>
        </w:tc>
        <w:tc>
          <w:tcPr>
            <w:tcW w:w="880" w:type="dxa"/>
            <w:vAlign w:val="bottom"/>
          </w:tcPr>
          <w:p>
            <w:pPr>
              <w:jc w:val="right"/>
              <w:ind w:right="64"/>
              <w:spacing w:after="0"/>
              <w:rPr>
                <w:sz w:val="20"/>
                <w:szCs w:val="20"/>
                <w:color w:val="auto"/>
              </w:rPr>
            </w:pPr>
            <w:r>
              <w:rPr>
                <w:rFonts w:ascii="Arial" w:cs="Arial" w:eastAsia="Arial" w:hAnsi="Arial"/>
                <w:sz w:val="11"/>
                <w:szCs w:val="11"/>
                <w:color w:val="auto"/>
              </w:rPr>
              <w:t>78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ind w:right="24"/>
              <w:spacing w:after="0"/>
              <w:rPr>
                <w:sz w:val="20"/>
                <w:szCs w:val="20"/>
                <w:color w:val="auto"/>
              </w:rPr>
            </w:pPr>
            <w:r>
              <w:rPr>
                <w:rFonts w:ascii="Arial" w:cs="Arial" w:eastAsia="Arial" w:hAnsi="Arial"/>
                <w:sz w:val="11"/>
                <w:szCs w:val="11"/>
                <w:color w:val="auto"/>
              </w:rPr>
              <w:t>(14)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ind w:right="64"/>
              <w:spacing w:after="0"/>
              <w:rPr>
                <w:sz w:val="20"/>
                <w:szCs w:val="20"/>
                <w:color w:val="auto"/>
              </w:rPr>
            </w:pPr>
            <w:r>
              <w:rPr>
                <w:rFonts w:ascii="Arial" w:cs="Arial" w:eastAsia="Arial" w:hAnsi="Arial"/>
                <w:sz w:val="11"/>
                <w:szCs w:val="11"/>
                <w:color w:val="auto"/>
              </w:rPr>
              <w:t>64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ind w:right="45"/>
              <w:spacing w:after="0"/>
              <w:rPr>
                <w:sz w:val="20"/>
                <w:szCs w:val="20"/>
                <w:color w:val="auto"/>
              </w:rPr>
            </w:pPr>
            <w:r>
              <w:rPr>
                <w:rFonts w:ascii="Arial" w:cs="Arial" w:eastAsia="Arial" w:hAnsi="Arial"/>
                <w:sz w:val="11"/>
                <w:szCs w:val="11"/>
                <w:color w:val="auto"/>
              </w:rPr>
              <w:t>54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ind w:right="24"/>
              <w:spacing w:after="0"/>
              <w:rPr>
                <w:sz w:val="20"/>
                <w:szCs w:val="20"/>
                <w:color w:val="auto"/>
              </w:rPr>
            </w:pPr>
            <w:r>
              <w:rPr>
                <w:rFonts w:ascii="Arial" w:cs="Arial" w:eastAsia="Arial" w:hAnsi="Arial"/>
                <w:sz w:val="11"/>
                <w:szCs w:val="11"/>
                <w:color w:val="auto"/>
              </w:rPr>
              <w:t>(16)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45"/>
              <w:spacing w:after="0"/>
              <w:rPr>
                <w:sz w:val="20"/>
                <w:szCs w:val="20"/>
                <w:color w:val="auto"/>
              </w:rPr>
            </w:pPr>
            <w:r>
              <w:rPr>
                <w:rFonts w:ascii="Arial" w:cs="Arial" w:eastAsia="Arial" w:hAnsi="Arial"/>
                <w:sz w:val="11"/>
                <w:szCs w:val="11"/>
                <w:color w:val="auto"/>
              </w:rPr>
              <w:t>38</w:t>
            </w:r>
          </w:p>
        </w:tc>
      </w:tr>
      <w:tr>
        <w:trPr>
          <w:trHeight w:val="220"/>
        </w:trPr>
        <w:tc>
          <w:tcPr>
            <w:tcW w:w="4000" w:type="dxa"/>
            <w:vAlign w:val="bottom"/>
            <w:shd w:val="clear" w:color="auto" w:fill="CCEEFF"/>
          </w:tcPr>
          <w:p>
            <w:pPr>
              <w:ind w:left="40"/>
              <w:spacing w:after="0"/>
              <w:rPr>
                <w:sz w:val="20"/>
                <w:szCs w:val="20"/>
                <w:color w:val="auto"/>
              </w:rPr>
            </w:pPr>
            <w:r>
              <w:rPr>
                <w:rFonts w:ascii="Arial" w:cs="Arial" w:eastAsia="Arial" w:hAnsi="Arial"/>
                <w:sz w:val="11"/>
                <w:szCs w:val="11"/>
                <w:color w:val="auto"/>
              </w:rPr>
              <w:t>Current Liabilities: Non-trading derivative liabilities</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24"/>
              <w:spacing w:after="0"/>
              <w:rPr>
                <w:sz w:val="20"/>
                <w:szCs w:val="20"/>
                <w:color w:val="auto"/>
              </w:rPr>
            </w:pPr>
            <w:r>
              <w:rPr>
                <w:rFonts w:ascii="Arial" w:cs="Arial" w:eastAsia="Arial" w:hAnsi="Arial"/>
                <w:sz w:val="11"/>
                <w:szCs w:val="11"/>
                <w:color w:val="auto"/>
              </w:rPr>
              <w:t>(157)</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64"/>
              <w:spacing w:after="0"/>
              <w:rPr>
                <w:sz w:val="20"/>
                <w:szCs w:val="20"/>
                <w:color w:val="auto"/>
              </w:rPr>
            </w:pPr>
            <w:r>
              <w:rPr>
                <w:rFonts w:ascii="Arial" w:cs="Arial" w:eastAsia="Arial" w:hAnsi="Arial"/>
                <w:sz w:val="11"/>
                <w:szCs w:val="11"/>
                <w:color w:val="auto"/>
              </w:rPr>
              <w:t>107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24"/>
              <w:spacing w:after="0"/>
              <w:rPr>
                <w:sz w:val="20"/>
                <w:szCs w:val="20"/>
                <w:color w:val="auto"/>
              </w:rPr>
            </w:pPr>
            <w:r>
              <w:rPr>
                <w:rFonts w:ascii="Arial" w:cs="Arial" w:eastAsia="Arial" w:hAnsi="Arial"/>
                <w:sz w:val="11"/>
                <w:szCs w:val="11"/>
                <w:color w:val="auto"/>
              </w:rPr>
              <w:t>(50)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(183)</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64"/>
              <w:spacing w:after="0"/>
              <w:rPr>
                <w:sz w:val="20"/>
                <w:szCs w:val="20"/>
                <w:color w:val="auto"/>
              </w:rPr>
            </w:pPr>
            <w:r>
              <w:rPr>
                <w:rFonts w:ascii="Arial" w:cs="Arial" w:eastAsia="Arial" w:hAnsi="Arial"/>
                <w:sz w:val="11"/>
                <w:szCs w:val="11"/>
                <w:color w:val="auto"/>
              </w:rPr>
              <w:t>81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(102)</w:t>
            </w:r>
          </w:p>
        </w:tc>
      </w:tr>
      <w:tr>
        <w:trPr>
          <w:trHeight w:val="211"/>
        </w:trPr>
        <w:tc>
          <w:tcPr>
            <w:tcW w:w="4000" w:type="dxa"/>
            <w:vAlign w:val="bottom"/>
            <w:tcBorders>
              <w:bottom w:val="single" w:sz="8" w:color="CCEEFF"/>
            </w:tcBorders>
          </w:tcPr>
          <w:p>
            <w:pPr>
              <w:ind w:left="40"/>
              <w:spacing w:after="0"/>
              <w:rPr>
                <w:sz w:val="20"/>
                <w:szCs w:val="20"/>
                <w:color w:val="auto"/>
              </w:rPr>
            </w:pPr>
            <w:r>
              <w:rPr>
                <w:rFonts w:ascii="Arial" w:cs="Arial" w:eastAsia="Arial" w:hAnsi="Arial"/>
                <w:sz w:val="11"/>
                <w:szCs w:val="11"/>
                <w:color w:val="auto"/>
              </w:rPr>
              <w:t>Other Liabilities: Non-trading derivative liabilities</w:t>
            </w:r>
          </w:p>
        </w:tc>
        <w:tc>
          <w:tcPr>
            <w:tcW w:w="2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4"/>
              <w:spacing w:after="0"/>
              <w:rPr>
                <w:sz w:val="20"/>
                <w:szCs w:val="20"/>
                <w:color w:val="auto"/>
              </w:rPr>
            </w:pPr>
            <w:r>
              <w:rPr>
                <w:rFonts w:ascii="Arial" w:cs="Arial" w:eastAsia="Arial" w:hAnsi="Arial"/>
                <w:sz w:val="11"/>
                <w:szCs w:val="11"/>
                <w:color w:val="auto"/>
              </w:rPr>
              <w:t>(68)</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64"/>
              <w:spacing w:after="0"/>
              <w:rPr>
                <w:sz w:val="20"/>
                <w:szCs w:val="20"/>
                <w:color w:val="auto"/>
              </w:rPr>
            </w:pPr>
            <w:r>
              <w:rPr>
                <w:rFonts w:ascii="Arial" w:cs="Arial" w:eastAsia="Arial" w:hAnsi="Arial"/>
                <w:sz w:val="11"/>
                <w:szCs w:val="11"/>
                <w:color w:val="auto"/>
              </w:rPr>
              <w:t>36</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4"/>
              <w:spacing w:after="0"/>
              <w:rPr>
                <w:sz w:val="20"/>
                <w:szCs w:val="20"/>
                <w:color w:val="auto"/>
              </w:rPr>
            </w:pPr>
            <w:r>
              <w:rPr>
                <w:rFonts w:ascii="Arial" w:cs="Arial" w:eastAsia="Arial" w:hAnsi="Arial"/>
                <w:sz w:val="11"/>
                <w:szCs w:val="11"/>
                <w:color w:val="auto"/>
              </w:rPr>
              <w:t>(32)</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5"/>
              <w:spacing w:after="0"/>
              <w:rPr>
                <w:sz w:val="20"/>
                <w:szCs w:val="20"/>
                <w:color w:val="auto"/>
              </w:rPr>
            </w:pPr>
            <w:r>
              <w:rPr>
                <w:rFonts w:ascii="Arial" w:cs="Arial" w:eastAsia="Arial" w:hAnsi="Arial"/>
                <w:sz w:val="11"/>
                <w:szCs w:val="11"/>
                <w:color w:val="auto"/>
              </w:rPr>
              <w:t>(25)</w:t>
            </w: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64"/>
              <w:spacing w:after="0"/>
              <w:rPr>
                <w:sz w:val="20"/>
                <w:szCs w:val="20"/>
                <w:color w:val="auto"/>
              </w:rPr>
            </w:pPr>
            <w:r>
              <w:rPr>
                <w:rFonts w:ascii="Arial" w:cs="Arial" w:eastAsia="Arial" w:hAnsi="Arial"/>
                <w:sz w:val="11"/>
                <w:szCs w:val="11"/>
                <w:color w:val="auto"/>
              </w:rPr>
              <w:t>20</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5"/>
              <w:spacing w:after="0"/>
              <w:rPr>
                <w:sz w:val="20"/>
                <w:szCs w:val="20"/>
                <w:color w:val="auto"/>
              </w:rPr>
            </w:pPr>
            <w:r>
              <w:rPr>
                <w:rFonts w:ascii="Arial" w:cs="Arial" w:eastAsia="Arial" w:hAnsi="Arial"/>
                <w:sz w:val="11"/>
                <w:szCs w:val="11"/>
                <w:color w:val="auto"/>
              </w:rPr>
              <w:t>(5)</w:t>
            </w:r>
          </w:p>
        </w:tc>
      </w:tr>
      <w:tr>
        <w:trPr>
          <w:trHeight w:val="189"/>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1"/>
                <w:szCs w:val="11"/>
                <w:b w:val="1"/>
                <w:bCs w:val="1"/>
                <w:color w:val="auto"/>
              </w:rPr>
              <w:t>Total CenterPoint Energy</w:t>
            </w:r>
          </w:p>
        </w:tc>
        <w:tc>
          <w:tcPr>
            <w:tcW w:w="280" w:type="dxa"/>
            <w:vAlign w:val="bottom"/>
            <w:tcBorders>
              <w:bottom w:val="single" w:sz="8" w:color="auto"/>
            </w:tcBorders>
            <w:shd w:val="clear" w:color="auto" w:fill="CCEEFF"/>
          </w:tcPr>
          <w:p>
            <w:pPr>
              <w:jc w:val="right"/>
              <w:ind w:right="145"/>
              <w:spacing w:after="0"/>
              <w:rPr>
                <w:sz w:val="20"/>
                <w:szCs w:val="20"/>
                <w:color w:val="auto"/>
              </w:rPr>
            </w:pPr>
            <w:r>
              <w:rPr>
                <w:rFonts w:ascii="Arial" w:cs="Arial" w:eastAsia="Arial" w:hAnsi="Arial"/>
                <w:sz w:val="11"/>
                <w:szCs w:val="11"/>
                <w:color w:val="auto"/>
                <w:w w:val="97"/>
              </w:rPr>
              <w:t>$</w:t>
            </w:r>
          </w:p>
        </w:tc>
        <w:tc>
          <w:tcPr>
            <w:tcW w:w="88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1"/>
                <w:szCs w:val="11"/>
                <w:color w:val="auto"/>
              </w:rPr>
              <w:t>52</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06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1"/>
                <w:szCs w:val="11"/>
                <w:color w:val="auto"/>
              </w:rPr>
              <w:t>50</w:t>
            </w: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1"/>
                <w:szCs w:val="11"/>
                <w:color w:val="auto"/>
              </w:rPr>
              <w:t>$</w:t>
            </w:r>
          </w:p>
        </w:tc>
        <w:tc>
          <w:tcPr>
            <w:tcW w:w="92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1"/>
                <w:szCs w:val="11"/>
                <w:color w:val="auto"/>
              </w:rPr>
              <w:t>102</w:t>
            </w: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w w:val="97"/>
              </w:rPr>
              <w:t>$</w:t>
            </w:r>
          </w:p>
        </w:tc>
        <w:tc>
          <w:tcPr>
            <w:tcW w:w="92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1"/>
                <w:szCs w:val="11"/>
                <w:color w:val="auto"/>
              </w:rPr>
              <w:t>12</w:t>
            </w:r>
          </w:p>
        </w:tc>
        <w:tc>
          <w:tcPr>
            <w:tcW w:w="1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04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1"/>
                <w:szCs w:val="11"/>
                <w:color w:val="auto"/>
              </w:rPr>
              <w:t>19</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0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1"/>
                <w:szCs w:val="11"/>
                <w:color w:val="auto"/>
              </w:rPr>
              <w:t>31</w:t>
            </w:r>
          </w:p>
        </w:tc>
      </w:tr>
      <w:tr>
        <w:trPr>
          <w:trHeight w:val="20"/>
        </w:trPr>
        <w:tc>
          <w:tcPr>
            <w:tcW w:w="40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5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CERC</w:t>
      </w:r>
    </w:p>
    <w:p>
      <w:pPr>
        <w:spacing w:after="0" w:line="192" w:lineRule="exact"/>
        <w:rPr>
          <w:sz w:val="20"/>
          <w:szCs w:val="20"/>
          <w:color w:val="auto"/>
        </w:rPr>
      </w:pPr>
    </w:p>
    <w:tbl>
      <w:tblPr>
        <w:tblLayout w:type="fixed"/>
        <w:tblInd w:w="4040" w:type="dxa"/>
        <w:tblCellMar>
          <w:top w:w="0" w:type="dxa"/>
          <w:left w:w="0" w:type="dxa"/>
          <w:bottom w:w="0" w:type="dxa"/>
          <w:right w:w="0" w:type="dxa"/>
        </w:tblCellMar>
      </w:tblPr>
      <w:tr>
        <w:trPr>
          <w:trHeight w:val="153"/>
        </w:trPr>
        <w:tc>
          <w:tcPr>
            <w:tcW w:w="122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3"/>
              </w:rPr>
              <w:t>September 30, 2019</w:t>
            </w:r>
          </w:p>
        </w:tc>
        <w:tc>
          <w:tcPr>
            <w:tcW w:w="12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center"/>
              <w:ind w:left="48"/>
              <w:spacing w:after="0"/>
              <w:rPr>
                <w:sz w:val="20"/>
                <w:szCs w:val="20"/>
                <w:color w:val="auto"/>
              </w:rPr>
            </w:pPr>
            <w:r>
              <w:rPr>
                <w:rFonts w:ascii="Arial" w:cs="Arial" w:eastAsia="Arial" w:hAnsi="Arial"/>
                <w:sz w:val="11"/>
                <w:szCs w:val="11"/>
                <w:b w:val="1"/>
                <w:bCs w:val="1"/>
                <w:color w:val="auto"/>
                <w:w w:val="92"/>
              </w:rPr>
              <w:t>December 31, 2018</w:t>
            </w:r>
          </w:p>
        </w:tc>
        <w:tc>
          <w:tcPr>
            <w:tcW w:w="1160" w:type="dxa"/>
            <w:vAlign w:val="bottom"/>
            <w:tcBorders>
              <w:bottom w:val="single" w:sz="8" w:color="auto"/>
            </w:tcBorders>
          </w:tcPr>
          <w:p>
            <w:pPr>
              <w:spacing w:after="0"/>
              <w:rPr>
                <w:sz w:val="13"/>
                <w:szCs w:val="13"/>
                <w:color w:val="auto"/>
              </w:rPr>
            </w:pPr>
          </w:p>
        </w:tc>
      </w:tr>
      <w:tr>
        <w:trPr>
          <w:trHeight w:val="111"/>
        </w:trPr>
        <w:tc>
          <w:tcPr>
            <w:tcW w:w="1220" w:type="dxa"/>
            <w:vAlign w:val="bottom"/>
          </w:tcPr>
          <w:p>
            <w:pPr>
              <w:spacing w:after="0"/>
              <w:rPr>
                <w:sz w:val="9"/>
                <w:szCs w:val="9"/>
                <w:color w:val="auto"/>
              </w:rPr>
            </w:pPr>
          </w:p>
        </w:tc>
        <w:tc>
          <w:tcPr>
            <w:tcW w:w="1280" w:type="dxa"/>
            <w:vAlign w:val="bottom"/>
          </w:tcPr>
          <w:p>
            <w:pPr>
              <w:jc w:val="center"/>
              <w:spacing w:after="0" w:line="112" w:lineRule="exact"/>
              <w:rPr>
                <w:sz w:val="20"/>
                <w:szCs w:val="20"/>
                <w:color w:val="auto"/>
              </w:rPr>
            </w:pPr>
            <w:r>
              <w:rPr>
                <w:rFonts w:ascii="Arial" w:cs="Arial" w:eastAsia="Arial" w:hAnsi="Arial"/>
                <w:sz w:val="10"/>
                <w:szCs w:val="10"/>
                <w:b w:val="1"/>
                <w:bCs w:val="1"/>
                <w:color w:val="auto"/>
                <w:w w:val="89"/>
              </w:rPr>
              <w:t>Gross Amounts Offset in</w:t>
            </w:r>
          </w:p>
        </w:tc>
        <w:tc>
          <w:tcPr>
            <w:tcW w:w="1320" w:type="dxa"/>
            <w:vAlign w:val="bottom"/>
            <w:gridSpan w:val="2"/>
          </w:tcPr>
          <w:p>
            <w:pPr>
              <w:jc w:val="center"/>
              <w:ind w:right="80"/>
              <w:spacing w:after="0" w:line="112" w:lineRule="exact"/>
              <w:rPr>
                <w:sz w:val="20"/>
                <w:szCs w:val="20"/>
                <w:color w:val="auto"/>
              </w:rPr>
            </w:pPr>
            <w:r>
              <w:rPr>
                <w:rFonts w:ascii="Arial" w:cs="Arial" w:eastAsia="Arial" w:hAnsi="Arial"/>
                <w:sz w:val="10"/>
                <w:szCs w:val="10"/>
                <w:b w:val="1"/>
                <w:bCs w:val="1"/>
                <w:color w:val="auto"/>
                <w:w w:val="90"/>
              </w:rPr>
              <w:t>Net Amount Presented in</w:t>
            </w:r>
          </w:p>
        </w:tc>
        <w:tc>
          <w:tcPr>
            <w:tcW w:w="1100" w:type="dxa"/>
            <w:vAlign w:val="bottom"/>
          </w:tcPr>
          <w:p>
            <w:pPr>
              <w:spacing w:after="0"/>
              <w:rPr>
                <w:sz w:val="9"/>
                <w:szCs w:val="9"/>
                <w:color w:val="auto"/>
              </w:rPr>
            </w:pPr>
          </w:p>
        </w:tc>
        <w:tc>
          <w:tcPr>
            <w:tcW w:w="1340" w:type="dxa"/>
            <w:vAlign w:val="bottom"/>
          </w:tcPr>
          <w:p>
            <w:pPr>
              <w:jc w:val="center"/>
              <w:ind w:left="28"/>
              <w:spacing w:after="0" w:line="112" w:lineRule="exact"/>
              <w:rPr>
                <w:sz w:val="20"/>
                <w:szCs w:val="20"/>
                <w:color w:val="auto"/>
              </w:rPr>
            </w:pPr>
            <w:r>
              <w:rPr>
                <w:rFonts w:ascii="Arial" w:cs="Arial" w:eastAsia="Arial" w:hAnsi="Arial"/>
                <w:sz w:val="10"/>
                <w:szCs w:val="10"/>
                <w:b w:val="1"/>
                <w:bCs w:val="1"/>
                <w:color w:val="auto"/>
                <w:w w:val="89"/>
              </w:rPr>
              <w:t>Gross Amounts Offset in</w:t>
            </w:r>
          </w:p>
        </w:tc>
        <w:tc>
          <w:tcPr>
            <w:tcW w:w="1160" w:type="dxa"/>
            <w:vAlign w:val="bottom"/>
          </w:tcPr>
          <w:p>
            <w:pPr>
              <w:jc w:val="center"/>
              <w:spacing w:after="0" w:line="112" w:lineRule="exact"/>
              <w:rPr>
                <w:sz w:val="20"/>
                <w:szCs w:val="20"/>
                <w:color w:val="auto"/>
              </w:rPr>
            </w:pPr>
            <w:r>
              <w:rPr>
                <w:rFonts w:ascii="Arial" w:cs="Arial" w:eastAsia="Arial" w:hAnsi="Arial"/>
                <w:sz w:val="10"/>
                <w:szCs w:val="10"/>
                <w:b w:val="1"/>
                <w:bCs w:val="1"/>
                <w:color w:val="auto"/>
                <w:w w:val="89"/>
              </w:rPr>
              <w:t>Net Amount Presented</w:t>
            </w:r>
          </w:p>
        </w:tc>
      </w:tr>
      <w:tr>
        <w:trPr>
          <w:trHeight w:val="108"/>
        </w:trPr>
        <w:tc>
          <w:tcPr>
            <w:tcW w:w="1220" w:type="dxa"/>
            <w:vAlign w:val="bottom"/>
          </w:tcPr>
          <w:p>
            <w:pPr>
              <w:jc w:val="center"/>
              <w:ind w:right="10"/>
              <w:spacing w:after="0" w:line="108" w:lineRule="exact"/>
              <w:rPr>
                <w:sz w:val="20"/>
                <w:szCs w:val="20"/>
                <w:color w:val="auto"/>
              </w:rPr>
            </w:pPr>
            <w:r>
              <w:rPr>
                <w:rFonts w:ascii="Arial" w:cs="Arial" w:eastAsia="Arial" w:hAnsi="Arial"/>
                <w:sz w:val="10"/>
                <w:szCs w:val="10"/>
                <w:b w:val="1"/>
                <w:bCs w:val="1"/>
                <w:color w:val="auto"/>
                <w:w w:val="82"/>
              </w:rPr>
              <w:t>Gross</w:t>
            </w:r>
          </w:p>
        </w:tc>
        <w:tc>
          <w:tcPr>
            <w:tcW w:w="128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88"/>
              </w:rPr>
              <w:t>the Consolidated Balance</w:t>
            </w:r>
          </w:p>
        </w:tc>
        <w:tc>
          <w:tcPr>
            <w:tcW w:w="1320" w:type="dxa"/>
            <w:vAlign w:val="bottom"/>
            <w:gridSpan w:val="2"/>
          </w:tcPr>
          <w:p>
            <w:pPr>
              <w:jc w:val="center"/>
              <w:ind w:right="60"/>
              <w:spacing w:after="0" w:line="108" w:lineRule="exact"/>
              <w:rPr>
                <w:sz w:val="20"/>
                <w:szCs w:val="20"/>
                <w:color w:val="auto"/>
              </w:rPr>
            </w:pPr>
            <w:r>
              <w:rPr>
                <w:rFonts w:ascii="Arial" w:cs="Arial" w:eastAsia="Arial" w:hAnsi="Arial"/>
                <w:sz w:val="10"/>
                <w:szCs w:val="10"/>
                <w:b w:val="1"/>
                <w:bCs w:val="1"/>
                <w:color w:val="auto"/>
                <w:w w:val="89"/>
              </w:rPr>
              <w:t>the Consolidated Balance</w:t>
            </w:r>
          </w:p>
        </w:tc>
        <w:tc>
          <w:tcPr>
            <w:tcW w:w="110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87"/>
              </w:rPr>
              <w:t>Gross Amounts</w:t>
            </w:r>
          </w:p>
        </w:tc>
        <w:tc>
          <w:tcPr>
            <w:tcW w:w="1340" w:type="dxa"/>
            <w:vAlign w:val="bottom"/>
          </w:tcPr>
          <w:p>
            <w:pPr>
              <w:jc w:val="center"/>
              <w:ind w:left="48"/>
              <w:spacing w:after="0" w:line="108" w:lineRule="exact"/>
              <w:rPr>
                <w:sz w:val="20"/>
                <w:szCs w:val="20"/>
                <w:color w:val="auto"/>
              </w:rPr>
            </w:pPr>
            <w:r>
              <w:rPr>
                <w:rFonts w:ascii="Arial" w:cs="Arial" w:eastAsia="Arial" w:hAnsi="Arial"/>
                <w:sz w:val="10"/>
                <w:szCs w:val="10"/>
                <w:b w:val="1"/>
                <w:bCs w:val="1"/>
                <w:color w:val="auto"/>
                <w:w w:val="88"/>
              </w:rPr>
              <w:t>the Consolidated</w:t>
            </w:r>
          </w:p>
        </w:tc>
        <w:tc>
          <w:tcPr>
            <w:tcW w:w="116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0"/>
              </w:rPr>
              <w:t>in the Consolidated</w:t>
            </w:r>
          </w:p>
        </w:tc>
      </w:tr>
      <w:tr>
        <w:trPr>
          <w:trHeight w:val="136"/>
        </w:trPr>
        <w:tc>
          <w:tcPr>
            <w:tcW w:w="1220" w:type="dxa"/>
            <w:vAlign w:val="bottom"/>
            <w:tcBorders>
              <w:bottom w:val="single" w:sz="8" w:color="auto"/>
            </w:tcBorders>
          </w:tcPr>
          <w:p>
            <w:pPr>
              <w:jc w:val="center"/>
              <w:ind w:right="10"/>
              <w:spacing w:after="0"/>
              <w:rPr>
                <w:sz w:val="20"/>
                <w:szCs w:val="20"/>
                <w:color w:val="auto"/>
              </w:rPr>
            </w:pPr>
            <w:r>
              <w:rPr>
                <w:rFonts w:ascii="Arial" w:cs="Arial" w:eastAsia="Arial" w:hAnsi="Arial"/>
                <w:sz w:val="10"/>
                <w:szCs w:val="10"/>
                <w:b w:val="1"/>
                <w:bCs w:val="1"/>
                <w:color w:val="auto"/>
                <w:w w:val="88"/>
              </w:rPr>
              <w:t>Amounts Recognized (1)</w:t>
            </w: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5"/>
              </w:rPr>
              <w:t>Sheets</w:t>
            </w:r>
          </w:p>
        </w:tc>
        <w:tc>
          <w:tcPr>
            <w:tcW w:w="1320" w:type="dxa"/>
            <w:vAlign w:val="bottom"/>
            <w:tcBorders>
              <w:bottom w:val="single" w:sz="8" w:color="auto"/>
            </w:tcBorders>
            <w:gridSpan w:val="2"/>
          </w:tcPr>
          <w:p>
            <w:pPr>
              <w:jc w:val="center"/>
              <w:ind w:right="60"/>
              <w:spacing w:after="0"/>
              <w:rPr>
                <w:sz w:val="20"/>
                <w:szCs w:val="20"/>
                <w:color w:val="auto"/>
              </w:rPr>
            </w:pPr>
            <w:r>
              <w:rPr>
                <w:rFonts w:ascii="Arial" w:cs="Arial" w:eastAsia="Arial" w:hAnsi="Arial"/>
                <w:sz w:val="10"/>
                <w:szCs w:val="10"/>
                <w:b w:val="1"/>
                <w:bCs w:val="1"/>
                <w:color w:val="auto"/>
                <w:w w:val="87"/>
              </w:rPr>
              <w:t>Sheets (2)</w:t>
            </w:r>
          </w:p>
        </w:tc>
        <w:tc>
          <w:tcPr>
            <w:tcW w:w="1100" w:type="dxa"/>
            <w:vAlign w:val="bottom"/>
            <w:tcBorders>
              <w:bottom w:val="single" w:sz="8" w:color="auto"/>
            </w:tcBorders>
          </w:tcPr>
          <w:p>
            <w:pPr>
              <w:jc w:val="center"/>
              <w:ind w:left="10"/>
              <w:spacing w:after="0"/>
              <w:rPr>
                <w:sz w:val="20"/>
                <w:szCs w:val="20"/>
                <w:color w:val="auto"/>
              </w:rPr>
            </w:pPr>
            <w:r>
              <w:rPr>
                <w:rFonts w:ascii="Arial" w:cs="Arial" w:eastAsia="Arial" w:hAnsi="Arial"/>
                <w:sz w:val="10"/>
                <w:szCs w:val="10"/>
                <w:b w:val="1"/>
                <w:bCs w:val="1"/>
                <w:color w:val="auto"/>
                <w:w w:val="89"/>
              </w:rPr>
              <w:t>Recognized (1)</w:t>
            </w:r>
          </w:p>
        </w:tc>
        <w:tc>
          <w:tcPr>
            <w:tcW w:w="1340" w:type="dxa"/>
            <w:vAlign w:val="bottom"/>
            <w:tcBorders>
              <w:bottom w:val="single" w:sz="8" w:color="auto"/>
            </w:tcBorders>
          </w:tcPr>
          <w:p>
            <w:pPr>
              <w:jc w:val="center"/>
              <w:ind w:left="48"/>
              <w:spacing w:after="0"/>
              <w:rPr>
                <w:sz w:val="20"/>
                <w:szCs w:val="20"/>
                <w:color w:val="auto"/>
              </w:rPr>
            </w:pPr>
            <w:r>
              <w:rPr>
                <w:rFonts w:ascii="Arial" w:cs="Arial" w:eastAsia="Arial" w:hAnsi="Arial"/>
                <w:sz w:val="10"/>
                <w:szCs w:val="10"/>
                <w:b w:val="1"/>
                <w:bCs w:val="1"/>
                <w:color w:val="auto"/>
                <w:w w:val="86"/>
              </w:rPr>
              <w:t>Balance Sheets</w:t>
            </w:r>
          </w:p>
        </w:tc>
        <w:tc>
          <w:tcPr>
            <w:tcW w:w="1160" w:type="dxa"/>
            <w:vAlign w:val="bottom"/>
            <w:tcBorders>
              <w:bottom w:val="single" w:sz="8" w:color="auto"/>
            </w:tcBorders>
          </w:tcPr>
          <w:p>
            <w:pPr>
              <w:jc w:val="center"/>
              <w:ind w:left="10"/>
              <w:spacing w:after="0"/>
              <w:rPr>
                <w:sz w:val="20"/>
                <w:szCs w:val="20"/>
                <w:color w:val="auto"/>
              </w:rPr>
            </w:pPr>
            <w:r>
              <w:rPr>
                <w:rFonts w:ascii="Arial" w:cs="Arial" w:eastAsia="Arial" w:hAnsi="Arial"/>
                <w:sz w:val="10"/>
                <w:szCs w:val="10"/>
                <w:b w:val="1"/>
                <w:bCs w:val="1"/>
                <w:color w:val="auto"/>
                <w:w w:val="87"/>
              </w:rPr>
              <w:t>Balance Sheets (2)</w:t>
            </w:r>
          </w:p>
        </w:tc>
      </w:tr>
    </w:tbl>
    <w:p>
      <w:pPr>
        <w:spacing w:after="0" w:line="47" w:lineRule="exact"/>
        <w:rPr>
          <w:sz w:val="20"/>
          <w:szCs w:val="20"/>
          <w:color w:val="auto"/>
        </w:rPr>
      </w:pPr>
    </w:p>
    <w:tbl>
      <w:tblPr>
        <w:tblLayout w:type="fixed"/>
        <w:tblInd w:w="40" w:type="dxa"/>
        <w:tblCellMar>
          <w:top w:w="0" w:type="dxa"/>
          <w:left w:w="0" w:type="dxa"/>
          <w:bottom w:w="0" w:type="dxa"/>
          <w:right w:w="0" w:type="dxa"/>
        </w:tblCellMar>
      </w:tblPr>
      <w:tr>
        <w:trPr>
          <w:trHeight w:val="153"/>
        </w:trPr>
        <w:tc>
          <w:tcPr>
            <w:tcW w:w="40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320" w:type="dxa"/>
            <w:vAlign w:val="bottom"/>
            <w:gridSpan w:val="3"/>
          </w:tcPr>
          <w:p>
            <w:pPr>
              <w:jc w:val="right"/>
              <w:ind w:right="263"/>
              <w:spacing w:after="0"/>
              <w:rPr>
                <w:sz w:val="20"/>
                <w:szCs w:val="20"/>
                <w:color w:val="auto"/>
              </w:rPr>
            </w:pPr>
            <w:r>
              <w:rPr>
                <w:rFonts w:ascii="Arial" w:cs="Arial" w:eastAsia="Arial" w:hAnsi="Arial"/>
                <w:sz w:val="11"/>
                <w:szCs w:val="11"/>
                <w:b w:val="1"/>
                <w:bCs w:val="1"/>
                <w:color w:val="auto"/>
              </w:rPr>
              <w:t>(in millions)</w:t>
            </w: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tcPr>
          <w:p>
            <w:pPr>
              <w:spacing w:after="0"/>
              <w:rPr>
                <w:sz w:val="13"/>
                <w:szCs w:val="13"/>
                <w:color w:val="auto"/>
              </w:rPr>
            </w:pPr>
          </w:p>
        </w:tc>
      </w:tr>
      <w:tr>
        <w:trPr>
          <w:trHeight w:val="220"/>
        </w:trPr>
        <w:tc>
          <w:tcPr>
            <w:tcW w:w="4000" w:type="dxa"/>
            <w:vAlign w:val="bottom"/>
            <w:shd w:val="clear" w:color="auto" w:fill="CCEEFF"/>
          </w:tcPr>
          <w:p>
            <w:pPr>
              <w:ind w:left="40"/>
              <w:spacing w:after="0"/>
              <w:rPr>
                <w:sz w:val="20"/>
                <w:szCs w:val="20"/>
                <w:color w:val="auto"/>
              </w:rPr>
            </w:pPr>
            <w:r>
              <w:rPr>
                <w:rFonts w:ascii="Arial" w:cs="Arial" w:eastAsia="Arial" w:hAnsi="Arial"/>
                <w:sz w:val="11"/>
                <w:szCs w:val="11"/>
                <w:color w:val="auto"/>
              </w:rPr>
              <w:t>Current Assets: Non-trading derivative assets</w:t>
            </w:r>
          </w:p>
        </w:tc>
        <w:tc>
          <w:tcPr>
            <w:tcW w:w="460" w:type="dxa"/>
            <w:vAlign w:val="bottom"/>
            <w:shd w:val="clear" w:color="auto" w:fill="CCEEFF"/>
          </w:tcPr>
          <w:p>
            <w:pPr>
              <w:jc w:val="right"/>
              <w:ind w:right="323"/>
              <w:spacing w:after="0"/>
              <w:rPr>
                <w:sz w:val="20"/>
                <w:szCs w:val="20"/>
                <w:color w:val="auto"/>
              </w:rPr>
            </w:pPr>
            <w:r>
              <w:rPr>
                <w:rFonts w:ascii="Arial" w:cs="Arial" w:eastAsia="Arial" w:hAnsi="Arial"/>
                <w:sz w:val="11"/>
                <w:szCs w:val="11"/>
                <w:color w:val="auto"/>
                <w:w w:val="97"/>
              </w:rPr>
              <w:t>$</w:t>
            </w:r>
          </w:p>
        </w:tc>
        <w:tc>
          <w:tcPr>
            <w:tcW w:w="70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199</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323"/>
              <w:spacing w:after="0"/>
              <w:rPr>
                <w:sz w:val="20"/>
                <w:szCs w:val="20"/>
                <w:color w:val="auto"/>
              </w:rPr>
            </w:pPr>
            <w:r>
              <w:rPr>
                <w:rFonts w:ascii="Arial" w:cs="Arial" w:eastAsia="Arial" w:hAnsi="Arial"/>
                <w:sz w:val="11"/>
                <w:szCs w:val="11"/>
                <w:color w:val="auto"/>
                <w:w w:val="97"/>
              </w:rPr>
              <w:t>$</w:t>
            </w:r>
          </w:p>
        </w:tc>
        <w:tc>
          <w:tcPr>
            <w:tcW w:w="70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(79)</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348"/>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120</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83"/>
              <w:spacing w:after="0"/>
              <w:rPr>
                <w:sz w:val="20"/>
                <w:szCs w:val="20"/>
                <w:color w:val="auto"/>
              </w:rPr>
            </w:pPr>
            <w:r>
              <w:rPr>
                <w:rFonts w:ascii="Arial" w:cs="Arial" w:eastAsia="Arial" w:hAnsi="Arial"/>
                <w:sz w:val="11"/>
                <w:szCs w:val="11"/>
                <w:color w:val="auto"/>
                <w:w w:val="97"/>
              </w:rPr>
              <w:t>$</w:t>
            </w:r>
          </w:p>
        </w:tc>
        <w:tc>
          <w:tcPr>
            <w:tcW w:w="62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166</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323"/>
              <w:spacing w:after="0"/>
              <w:rPr>
                <w:sz w:val="20"/>
                <w:szCs w:val="20"/>
                <w:color w:val="auto"/>
              </w:rPr>
            </w:pPr>
            <w:r>
              <w:rPr>
                <w:rFonts w:ascii="Arial" w:cs="Arial" w:eastAsia="Arial" w:hAnsi="Arial"/>
                <w:sz w:val="11"/>
                <w:szCs w:val="11"/>
                <w:color w:val="auto"/>
                <w:w w:val="97"/>
              </w:rPr>
              <w:t>$</w:t>
            </w:r>
          </w:p>
        </w:tc>
        <w:tc>
          <w:tcPr>
            <w:tcW w:w="66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(66)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303"/>
              <w:spacing w:after="0"/>
              <w:rPr>
                <w:sz w:val="20"/>
                <w:szCs w:val="20"/>
                <w:color w:val="auto"/>
              </w:rPr>
            </w:pPr>
            <w:r>
              <w:rPr>
                <w:rFonts w:ascii="Arial" w:cs="Arial" w:eastAsia="Arial" w:hAnsi="Arial"/>
                <w:sz w:val="11"/>
                <w:szCs w:val="11"/>
                <w:color w:val="auto"/>
                <w:w w:val="97"/>
              </w:rPr>
              <w:t>$</w:t>
            </w:r>
          </w:p>
        </w:tc>
        <w:tc>
          <w:tcPr>
            <w:tcW w:w="68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100</w:t>
            </w:r>
          </w:p>
        </w:tc>
      </w:tr>
      <w:tr>
        <w:trPr>
          <w:trHeight w:val="211"/>
        </w:trPr>
        <w:tc>
          <w:tcPr>
            <w:tcW w:w="4000" w:type="dxa"/>
            <w:vAlign w:val="bottom"/>
          </w:tcPr>
          <w:p>
            <w:pPr>
              <w:ind w:left="40"/>
              <w:spacing w:after="0"/>
              <w:rPr>
                <w:sz w:val="20"/>
                <w:szCs w:val="20"/>
                <w:color w:val="auto"/>
              </w:rPr>
            </w:pPr>
            <w:r>
              <w:rPr>
                <w:rFonts w:ascii="Arial" w:cs="Arial" w:eastAsia="Arial" w:hAnsi="Arial"/>
                <w:sz w:val="11"/>
                <w:szCs w:val="11"/>
                <w:color w:val="auto"/>
              </w:rPr>
              <w:t>Other Assets: Non-trading derivative assets</w:t>
            </w:r>
          </w:p>
        </w:tc>
        <w:tc>
          <w:tcPr>
            <w:tcW w:w="460" w:type="dxa"/>
            <w:vAlign w:val="bottom"/>
          </w:tcPr>
          <w:p>
            <w:pPr>
              <w:spacing w:after="0"/>
              <w:rPr>
                <w:sz w:val="18"/>
                <w:szCs w:val="18"/>
                <w:color w:val="auto"/>
              </w:rPr>
            </w:pPr>
          </w:p>
        </w:tc>
        <w:tc>
          <w:tcPr>
            <w:tcW w:w="700" w:type="dxa"/>
            <w:vAlign w:val="bottom"/>
          </w:tcPr>
          <w:p>
            <w:pPr>
              <w:jc w:val="right"/>
              <w:ind w:right="63"/>
              <w:spacing w:after="0"/>
              <w:rPr>
                <w:sz w:val="20"/>
                <w:szCs w:val="20"/>
                <w:color w:val="auto"/>
              </w:rPr>
            </w:pPr>
            <w:r>
              <w:rPr>
                <w:rFonts w:ascii="Arial" w:cs="Arial" w:eastAsia="Arial" w:hAnsi="Arial"/>
                <w:sz w:val="11"/>
                <w:szCs w:val="11"/>
                <w:color w:val="auto"/>
              </w:rPr>
              <w:t>78</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tcPr>
          <w:p>
            <w:pPr>
              <w:jc w:val="right"/>
              <w:ind w:right="23"/>
              <w:spacing w:after="0"/>
              <w:rPr>
                <w:sz w:val="20"/>
                <w:szCs w:val="20"/>
                <w:color w:val="auto"/>
              </w:rPr>
            </w:pPr>
            <w:r>
              <w:rPr>
                <w:rFonts w:ascii="Arial" w:cs="Arial" w:eastAsia="Arial" w:hAnsi="Arial"/>
                <w:sz w:val="11"/>
                <w:szCs w:val="11"/>
                <w:color w:val="auto"/>
              </w:rPr>
              <w:t>(14)</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80" w:type="dxa"/>
            <w:vAlign w:val="bottom"/>
          </w:tcPr>
          <w:p>
            <w:pPr>
              <w:jc w:val="right"/>
              <w:ind w:right="63"/>
              <w:spacing w:after="0"/>
              <w:rPr>
                <w:sz w:val="20"/>
                <w:szCs w:val="20"/>
                <w:color w:val="auto"/>
              </w:rPr>
            </w:pPr>
            <w:r>
              <w:rPr>
                <w:rFonts w:ascii="Arial" w:cs="Arial" w:eastAsia="Arial" w:hAnsi="Arial"/>
                <w:sz w:val="11"/>
                <w:szCs w:val="11"/>
                <w:color w:val="auto"/>
              </w:rPr>
              <w:t>64</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0" w:type="dxa"/>
            <w:vAlign w:val="bottom"/>
          </w:tcPr>
          <w:p>
            <w:pPr>
              <w:jc w:val="right"/>
              <w:ind w:right="43"/>
              <w:spacing w:after="0"/>
              <w:rPr>
                <w:sz w:val="20"/>
                <w:szCs w:val="20"/>
                <w:color w:val="auto"/>
              </w:rPr>
            </w:pPr>
            <w:r>
              <w:rPr>
                <w:rFonts w:ascii="Arial" w:cs="Arial" w:eastAsia="Arial" w:hAnsi="Arial"/>
                <w:sz w:val="11"/>
                <w:szCs w:val="11"/>
                <w:color w:val="auto"/>
              </w:rPr>
              <w:t>54</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Pr>
          <w:p>
            <w:pPr>
              <w:jc w:val="right"/>
              <w:ind w:right="23"/>
              <w:spacing w:after="0"/>
              <w:rPr>
                <w:sz w:val="20"/>
                <w:szCs w:val="20"/>
                <w:color w:val="auto"/>
              </w:rPr>
            </w:pPr>
            <w:r>
              <w:rPr>
                <w:rFonts w:ascii="Arial" w:cs="Arial" w:eastAsia="Arial" w:hAnsi="Arial"/>
                <w:sz w:val="11"/>
                <w:szCs w:val="11"/>
                <w:color w:val="auto"/>
              </w:rPr>
              <w:t>(16)</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jc w:val="right"/>
              <w:ind w:right="43"/>
              <w:spacing w:after="0"/>
              <w:rPr>
                <w:sz w:val="20"/>
                <w:szCs w:val="20"/>
                <w:color w:val="auto"/>
              </w:rPr>
            </w:pPr>
            <w:r>
              <w:rPr>
                <w:rFonts w:ascii="Arial" w:cs="Arial" w:eastAsia="Arial" w:hAnsi="Arial"/>
                <w:sz w:val="11"/>
                <w:szCs w:val="11"/>
                <w:color w:val="auto"/>
              </w:rPr>
              <w:t>38</w:t>
            </w:r>
          </w:p>
        </w:tc>
      </w:tr>
      <w:tr>
        <w:trPr>
          <w:trHeight w:val="220"/>
        </w:trPr>
        <w:tc>
          <w:tcPr>
            <w:tcW w:w="4000" w:type="dxa"/>
            <w:vAlign w:val="bottom"/>
            <w:shd w:val="clear" w:color="auto" w:fill="CCEEFF"/>
          </w:tcPr>
          <w:p>
            <w:pPr>
              <w:ind w:left="40"/>
              <w:spacing w:after="0"/>
              <w:rPr>
                <w:sz w:val="20"/>
                <w:szCs w:val="20"/>
                <w:color w:val="auto"/>
              </w:rPr>
            </w:pPr>
            <w:r>
              <w:rPr>
                <w:rFonts w:ascii="Arial" w:cs="Arial" w:eastAsia="Arial" w:hAnsi="Arial"/>
                <w:sz w:val="11"/>
                <w:szCs w:val="11"/>
                <w:color w:val="auto"/>
              </w:rPr>
              <w:t>Current Liabilities: Non-trading derivative liabilities</w:t>
            </w:r>
          </w:p>
        </w:tc>
        <w:tc>
          <w:tcPr>
            <w:tcW w:w="46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(151)</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107</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(44)</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(183)</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81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(102)</w:t>
            </w:r>
          </w:p>
        </w:tc>
      </w:tr>
      <w:tr>
        <w:trPr>
          <w:trHeight w:val="211"/>
        </w:trPr>
        <w:tc>
          <w:tcPr>
            <w:tcW w:w="4000" w:type="dxa"/>
            <w:vAlign w:val="bottom"/>
            <w:tcBorders>
              <w:bottom w:val="single" w:sz="8" w:color="CCEEFF"/>
            </w:tcBorders>
          </w:tcPr>
          <w:p>
            <w:pPr>
              <w:ind w:left="40"/>
              <w:spacing w:after="0"/>
              <w:rPr>
                <w:sz w:val="20"/>
                <w:szCs w:val="20"/>
                <w:color w:val="auto"/>
              </w:rPr>
            </w:pPr>
            <w:r>
              <w:rPr>
                <w:rFonts w:ascii="Arial" w:cs="Arial" w:eastAsia="Arial" w:hAnsi="Arial"/>
                <w:sz w:val="11"/>
                <w:szCs w:val="11"/>
                <w:color w:val="auto"/>
              </w:rPr>
              <w:t>Other Liabilities: Non-trading derivative liabilities</w:t>
            </w:r>
          </w:p>
        </w:tc>
        <w:tc>
          <w:tcPr>
            <w:tcW w:w="4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23"/>
              <w:spacing w:after="0"/>
              <w:rPr>
                <w:sz w:val="20"/>
                <w:szCs w:val="20"/>
                <w:color w:val="auto"/>
              </w:rPr>
            </w:pPr>
            <w:r>
              <w:rPr>
                <w:rFonts w:ascii="Arial" w:cs="Arial" w:eastAsia="Arial" w:hAnsi="Arial"/>
                <w:sz w:val="11"/>
                <w:szCs w:val="11"/>
                <w:color w:val="auto"/>
              </w:rPr>
              <w:t>(54)</w:t>
            </w: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color w:val="auto"/>
              </w:rPr>
              <w:t>36</w:t>
            </w: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23"/>
              <w:spacing w:after="0"/>
              <w:rPr>
                <w:sz w:val="20"/>
                <w:szCs w:val="20"/>
                <w:color w:val="auto"/>
              </w:rPr>
            </w:pPr>
            <w:r>
              <w:rPr>
                <w:rFonts w:ascii="Arial" w:cs="Arial" w:eastAsia="Arial" w:hAnsi="Arial"/>
                <w:sz w:val="11"/>
                <w:szCs w:val="11"/>
                <w:color w:val="auto"/>
              </w:rPr>
              <w:t>(18)</w:t>
            </w:r>
          </w:p>
        </w:tc>
        <w:tc>
          <w:tcPr>
            <w:tcW w:w="12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(25)</w:t>
            </w: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color w:val="auto"/>
              </w:rPr>
              <w:t>20</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(5)</w:t>
            </w:r>
          </w:p>
        </w:tc>
      </w:tr>
      <w:tr>
        <w:trPr>
          <w:trHeight w:val="189"/>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1"/>
                <w:szCs w:val="11"/>
                <w:b w:val="1"/>
                <w:bCs w:val="1"/>
                <w:color w:val="auto"/>
              </w:rPr>
              <w:t>Total CERC</w:t>
            </w:r>
          </w:p>
        </w:tc>
        <w:tc>
          <w:tcPr>
            <w:tcW w:w="460" w:type="dxa"/>
            <w:vAlign w:val="bottom"/>
            <w:tcBorders>
              <w:bottom w:val="single" w:sz="8" w:color="auto"/>
            </w:tcBorders>
            <w:shd w:val="clear" w:color="auto" w:fill="CCEEFF"/>
          </w:tcPr>
          <w:p>
            <w:pPr>
              <w:jc w:val="right"/>
              <w:ind w:right="323"/>
              <w:spacing w:after="0"/>
              <w:rPr>
                <w:sz w:val="20"/>
                <w:szCs w:val="20"/>
                <w:color w:val="auto"/>
              </w:rPr>
            </w:pPr>
            <w:r>
              <w:rPr>
                <w:rFonts w:ascii="Arial" w:cs="Arial" w:eastAsia="Arial" w:hAnsi="Arial"/>
                <w:sz w:val="11"/>
                <w:szCs w:val="11"/>
                <w:color w:val="auto"/>
                <w:w w:val="97"/>
              </w:rPr>
              <w:t>$</w:t>
            </w:r>
          </w:p>
        </w:tc>
        <w:tc>
          <w:tcPr>
            <w:tcW w:w="70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color w:val="auto"/>
              </w:rPr>
              <w:t>72</w:t>
            </w:r>
          </w:p>
        </w:tc>
        <w:tc>
          <w:tcPr>
            <w:tcW w:w="12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ind w:right="323"/>
              <w:spacing w:after="0"/>
              <w:rPr>
                <w:sz w:val="20"/>
                <w:szCs w:val="20"/>
                <w:color w:val="auto"/>
              </w:rPr>
            </w:pPr>
            <w:r>
              <w:rPr>
                <w:rFonts w:ascii="Arial" w:cs="Arial" w:eastAsia="Arial" w:hAnsi="Arial"/>
                <w:sz w:val="11"/>
                <w:szCs w:val="11"/>
                <w:color w:val="auto"/>
                <w:w w:val="97"/>
              </w:rPr>
              <w:t>$</w:t>
            </w:r>
          </w:p>
        </w:tc>
        <w:tc>
          <w:tcPr>
            <w:tcW w:w="70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color w:val="auto"/>
              </w:rPr>
              <w:t>50</w:t>
            </w:r>
          </w:p>
        </w:tc>
        <w:tc>
          <w:tcPr>
            <w:tcW w:w="12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ind w:right="348"/>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color w:val="auto"/>
              </w:rPr>
              <w:t>122</w:t>
            </w:r>
          </w:p>
        </w:tc>
        <w:tc>
          <w:tcPr>
            <w:tcW w:w="12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ind w:right="383"/>
              <w:spacing w:after="0"/>
              <w:rPr>
                <w:sz w:val="20"/>
                <w:szCs w:val="20"/>
                <w:color w:val="auto"/>
              </w:rPr>
            </w:pPr>
            <w:r>
              <w:rPr>
                <w:rFonts w:ascii="Arial" w:cs="Arial" w:eastAsia="Arial" w:hAnsi="Arial"/>
                <w:sz w:val="11"/>
                <w:szCs w:val="11"/>
                <w:color w:val="auto"/>
                <w:w w:val="97"/>
              </w:rPr>
              <w:t>$</w:t>
            </w:r>
          </w:p>
        </w:tc>
        <w:tc>
          <w:tcPr>
            <w:tcW w:w="6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1"/>
                <w:szCs w:val="11"/>
                <w:color w:val="auto"/>
              </w:rPr>
              <w:t>12</w:t>
            </w:r>
          </w:p>
        </w:tc>
        <w:tc>
          <w:tcPr>
            <w:tcW w:w="12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ind w:right="323"/>
              <w:spacing w:after="0"/>
              <w:rPr>
                <w:sz w:val="20"/>
                <w:szCs w:val="20"/>
                <w:color w:val="auto"/>
              </w:rPr>
            </w:pPr>
            <w:r>
              <w:rPr>
                <w:rFonts w:ascii="Arial" w:cs="Arial" w:eastAsia="Arial" w:hAnsi="Arial"/>
                <w:sz w:val="11"/>
                <w:szCs w:val="11"/>
                <w:color w:val="auto"/>
                <w:w w:val="97"/>
              </w:rPr>
              <w:t>$</w:t>
            </w:r>
          </w:p>
        </w:tc>
        <w:tc>
          <w:tcPr>
            <w:tcW w:w="66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color w:val="auto"/>
              </w:rPr>
              <w:t>19</w:t>
            </w:r>
          </w:p>
        </w:tc>
        <w:tc>
          <w:tcPr>
            <w:tcW w:w="10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ind w:right="303"/>
              <w:spacing w:after="0"/>
              <w:rPr>
                <w:sz w:val="20"/>
                <w:szCs w:val="20"/>
                <w:color w:val="auto"/>
              </w:rPr>
            </w:pPr>
            <w:r>
              <w:rPr>
                <w:rFonts w:ascii="Arial" w:cs="Arial" w:eastAsia="Arial" w:hAnsi="Arial"/>
                <w:sz w:val="11"/>
                <w:szCs w:val="11"/>
                <w:color w:val="auto"/>
                <w:w w:val="97"/>
              </w:rPr>
              <w:t>$</w:t>
            </w:r>
          </w:p>
        </w:tc>
        <w:tc>
          <w:tcPr>
            <w:tcW w:w="68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1"/>
                <w:szCs w:val="11"/>
                <w:color w:val="auto"/>
              </w:rPr>
              <w:t>31</w:t>
            </w:r>
          </w:p>
        </w:tc>
      </w:tr>
      <w:tr>
        <w:trPr>
          <w:trHeight w:val="20"/>
        </w:trPr>
        <w:tc>
          <w:tcPr>
            <w:tcW w:w="40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162" w:lineRule="exact"/>
        <w:rPr>
          <w:sz w:val="20"/>
          <w:szCs w:val="20"/>
          <w:color w:val="auto"/>
        </w:rPr>
      </w:pPr>
    </w:p>
    <w:p>
      <w:pPr>
        <w:ind w:left="520" w:hanging="255"/>
        <w:spacing w:after="0"/>
        <w:tabs>
          <w:tab w:leader="none" w:pos="5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Gross amounts recognized include some derivative assets and liabilities that are not subject to master netting arrangements.</w:t>
      </w:r>
    </w:p>
    <w:p>
      <w:pPr>
        <w:spacing w:after="0" w:line="183" w:lineRule="exact"/>
        <w:rPr>
          <w:rFonts w:ascii="Arial" w:cs="Arial" w:eastAsia="Arial" w:hAnsi="Arial"/>
          <w:sz w:val="14"/>
          <w:szCs w:val="14"/>
          <w:color w:val="auto"/>
        </w:rPr>
      </w:pPr>
    </w:p>
    <w:p>
      <w:pPr>
        <w:ind w:left="520" w:hanging="255"/>
        <w:spacing w:after="0" w:line="288" w:lineRule="auto"/>
        <w:tabs>
          <w:tab w:leader="none" w:pos="5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derivative assets and liabilities on the Registrant’s respective Condensed Consolidated Balance Sheets exclude accounts receivable or accounts payable that, should they exist, could be used as offsets to these balances in the event of a default.</w:t>
      </w: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36</w:t>
      </w:r>
    </w:p>
    <w:p>
      <w:pPr>
        <w:sectPr>
          <w:pgSz w:w="11900" w:h="16838" w:orient="portrait"/>
          <w:cols w:equalWidth="0" w:num="1">
            <w:col w:w="11460"/>
          </w:cols>
          <w:pgMar w:left="220" w:top="129" w:right="219" w:bottom="1440" w:gutter="0" w:footer="0" w:header="0"/>
        </w:sectPr>
      </w:pPr>
    </w:p>
    <w:bookmarkStart w:id="46" w:name="page47"/>
    <w:bookmarkEnd w:id="46"/>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Income Statement Impact of Hedge Accounting Activity (CenterPoint Energy and CERC)</w:t>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65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2140" w:type="dxa"/>
            <w:vAlign w:val="bottom"/>
            <w:tcBorders>
              <w:bottom w:val="single" w:sz="8" w:color="auto"/>
            </w:tcBorders>
            <w:gridSpan w:val="3"/>
          </w:tcPr>
          <w:p>
            <w:pPr>
              <w:jc w:val="center"/>
              <w:ind w:right="103"/>
              <w:spacing w:after="0"/>
              <w:rPr>
                <w:sz w:val="20"/>
                <w:szCs w:val="20"/>
                <w:color w:val="auto"/>
              </w:rPr>
            </w:pPr>
            <w:r>
              <w:rPr>
                <w:rFonts w:ascii="Arial" w:cs="Arial" w:eastAsia="Arial" w:hAnsi="Arial"/>
                <w:sz w:val="11"/>
                <w:szCs w:val="11"/>
                <w:b w:val="1"/>
                <w:bCs w:val="1"/>
                <w:color w:val="auto"/>
                <w:w w:val="95"/>
              </w:rPr>
              <w:t>Three Months Ended September 30,</w:t>
            </w:r>
          </w:p>
        </w:tc>
        <w:tc>
          <w:tcPr>
            <w:tcW w:w="4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r>
      <w:tr>
        <w:trPr>
          <w:trHeight w:val="206"/>
        </w:trPr>
        <w:tc>
          <w:tcPr>
            <w:tcW w:w="654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b w:val="1"/>
                <w:bCs w:val="1"/>
                <w:color w:val="auto"/>
                <w:w w:val="89"/>
              </w:rPr>
              <w:t>2019</w:t>
            </w:r>
          </w:p>
        </w:tc>
        <w:tc>
          <w:tcPr>
            <w:tcW w:w="9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ind w:right="123"/>
              <w:spacing w:after="0"/>
              <w:rPr>
                <w:sz w:val="20"/>
                <w:szCs w:val="20"/>
                <w:color w:val="auto"/>
              </w:rPr>
            </w:pPr>
            <w:r>
              <w:rPr>
                <w:rFonts w:ascii="Arial" w:cs="Arial" w:eastAsia="Arial" w:hAnsi="Arial"/>
                <w:sz w:val="11"/>
                <w:szCs w:val="11"/>
                <w:b w:val="1"/>
                <w:bCs w:val="1"/>
                <w:color w:val="auto"/>
                <w:w w:val="89"/>
              </w:rPr>
              <w:t>2018</w:t>
            </w:r>
          </w:p>
        </w:tc>
        <w:tc>
          <w:tcPr>
            <w:tcW w:w="880" w:type="dxa"/>
            <w:vAlign w:val="bottom"/>
            <w:tcBorders>
              <w:bottom w:val="single" w:sz="8" w:color="auto"/>
            </w:tcBorders>
          </w:tcPr>
          <w:p>
            <w:pPr>
              <w:spacing w:after="0"/>
              <w:rPr>
                <w:sz w:val="17"/>
                <w:szCs w:val="17"/>
                <w:color w:val="auto"/>
              </w:rPr>
            </w:pPr>
          </w:p>
        </w:tc>
      </w:tr>
      <w:tr>
        <w:trPr>
          <w:trHeight w:val="196"/>
        </w:trPr>
        <w:tc>
          <w:tcPr>
            <w:tcW w:w="654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4840" w:type="dxa"/>
            <w:vAlign w:val="bottom"/>
            <w:tcBorders>
              <w:bottom w:val="single" w:sz="8" w:color="auto"/>
            </w:tcBorders>
            <w:gridSpan w:val="7"/>
          </w:tcPr>
          <w:p>
            <w:pPr>
              <w:jc w:val="center"/>
              <w:ind w:right="3"/>
              <w:spacing w:after="0"/>
              <w:rPr>
                <w:sz w:val="20"/>
                <w:szCs w:val="20"/>
                <w:color w:val="auto"/>
              </w:rPr>
            </w:pPr>
            <w:r>
              <w:rPr>
                <w:rFonts w:ascii="Arial" w:cs="Arial" w:eastAsia="Arial" w:hAnsi="Arial"/>
                <w:sz w:val="11"/>
                <w:szCs w:val="11"/>
                <w:b w:val="1"/>
                <w:bCs w:val="1"/>
                <w:color w:val="auto"/>
                <w:w w:val="94"/>
              </w:rPr>
              <w:t xml:space="preserve">Location and Amount of Gain (Loss) recognized in Income on Hedging Relationship </w:t>
            </w:r>
            <w:r>
              <w:rPr>
                <w:rFonts w:ascii="Arial" w:cs="Arial" w:eastAsia="Arial" w:hAnsi="Arial"/>
                <w:sz w:val="8"/>
                <w:szCs w:val="8"/>
                <w:b w:val="1"/>
                <w:bCs w:val="1"/>
                <w:color w:val="auto"/>
                <w:w w:val="94"/>
              </w:rPr>
              <w:t>(1)</w:t>
            </w:r>
          </w:p>
        </w:tc>
      </w:tr>
      <w:tr>
        <w:trPr>
          <w:trHeight w:val="196"/>
        </w:trPr>
        <w:tc>
          <w:tcPr>
            <w:tcW w:w="654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2940" w:type="dxa"/>
            <w:vAlign w:val="bottom"/>
            <w:tcBorders>
              <w:bottom w:val="single" w:sz="8" w:color="auto"/>
            </w:tcBorders>
            <w:gridSpan w:val="5"/>
          </w:tcPr>
          <w:p>
            <w:pPr>
              <w:jc w:val="center"/>
              <w:ind w:right="143"/>
              <w:spacing w:after="0"/>
              <w:rPr>
                <w:sz w:val="20"/>
                <w:szCs w:val="20"/>
                <w:color w:val="auto"/>
              </w:rPr>
            </w:pPr>
            <w:r>
              <w:rPr>
                <w:rFonts w:ascii="Arial" w:cs="Arial" w:eastAsia="Arial" w:hAnsi="Arial"/>
                <w:sz w:val="11"/>
                <w:szCs w:val="11"/>
                <w:b w:val="1"/>
                <w:bCs w:val="1"/>
                <w:color w:val="auto"/>
                <w:w w:val="92"/>
              </w:rPr>
              <w:t>Non-utility cost of revenues, including natural gas</w:t>
            </w:r>
          </w:p>
        </w:tc>
        <w:tc>
          <w:tcPr>
            <w:tcW w:w="880" w:type="dxa"/>
            <w:vAlign w:val="bottom"/>
            <w:tcBorders>
              <w:bottom w:val="single" w:sz="8" w:color="auto"/>
            </w:tcBorders>
          </w:tcPr>
          <w:p>
            <w:pPr>
              <w:spacing w:after="0"/>
              <w:rPr>
                <w:sz w:val="17"/>
                <w:szCs w:val="17"/>
                <w:color w:val="auto"/>
              </w:rPr>
            </w:pPr>
          </w:p>
        </w:tc>
      </w:tr>
      <w:tr>
        <w:trPr>
          <w:trHeight w:val="206"/>
        </w:trPr>
        <w:tc>
          <w:tcPr>
            <w:tcW w:w="654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5"/>
              </w:rPr>
              <w:t>CenterPoint Energy</w:t>
            </w:r>
          </w:p>
        </w:tc>
        <w:tc>
          <w:tcPr>
            <w:tcW w:w="3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83"/>
              <w:spacing w:after="0"/>
              <w:rPr>
                <w:sz w:val="20"/>
                <w:szCs w:val="20"/>
                <w:color w:val="auto"/>
              </w:rPr>
            </w:pPr>
            <w:r>
              <w:rPr>
                <w:rFonts w:ascii="Arial" w:cs="Arial" w:eastAsia="Arial" w:hAnsi="Arial"/>
                <w:sz w:val="11"/>
                <w:szCs w:val="11"/>
                <w:b w:val="1"/>
                <w:bCs w:val="1"/>
                <w:color w:val="auto"/>
              </w:rPr>
              <w:t>CERC</w:t>
            </w: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11"/>
                <w:szCs w:val="11"/>
                <w:b w:val="1"/>
                <w:bCs w:val="1"/>
                <w:color w:val="auto"/>
              </w:rPr>
              <w:t>CenterPoint Energy</w:t>
            </w:r>
          </w:p>
        </w:tc>
        <w:tc>
          <w:tcPr>
            <w:tcW w:w="4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43"/>
              <w:spacing w:after="0"/>
              <w:rPr>
                <w:sz w:val="20"/>
                <w:szCs w:val="20"/>
                <w:color w:val="auto"/>
              </w:rPr>
            </w:pPr>
            <w:r>
              <w:rPr>
                <w:rFonts w:ascii="Arial" w:cs="Arial" w:eastAsia="Arial" w:hAnsi="Arial"/>
                <w:sz w:val="11"/>
                <w:szCs w:val="11"/>
                <w:b w:val="1"/>
                <w:bCs w:val="1"/>
                <w:color w:val="auto"/>
              </w:rPr>
              <w:t>CERC</w:t>
            </w:r>
          </w:p>
        </w:tc>
      </w:tr>
      <w:tr>
        <w:trPr>
          <w:trHeight w:val="196"/>
        </w:trPr>
        <w:tc>
          <w:tcPr>
            <w:tcW w:w="6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560" w:type="dxa"/>
            <w:vAlign w:val="bottom"/>
            <w:gridSpan w:val="2"/>
          </w:tcPr>
          <w:p>
            <w:pPr>
              <w:jc w:val="center"/>
              <w:ind w:left="363"/>
              <w:spacing w:after="0"/>
              <w:rPr>
                <w:sz w:val="20"/>
                <w:szCs w:val="20"/>
                <w:color w:val="auto"/>
              </w:rPr>
            </w:pPr>
            <w:r>
              <w:rPr>
                <w:rFonts w:ascii="Arial" w:cs="Arial" w:eastAsia="Arial" w:hAnsi="Arial"/>
                <w:sz w:val="11"/>
                <w:szCs w:val="11"/>
                <w:b w:val="1"/>
                <w:bCs w:val="1"/>
                <w:color w:val="auto"/>
                <w:w w:val="93"/>
              </w:rPr>
              <w:t>(in millions)</w:t>
            </w:r>
          </w:p>
        </w:tc>
        <w:tc>
          <w:tcPr>
            <w:tcW w:w="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20"/>
        </w:trPr>
        <w:tc>
          <w:tcPr>
            <w:tcW w:w="654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Total amounts presented in the statements of income in which the effects of hedges are recorded</w:t>
            </w:r>
          </w:p>
        </w:tc>
        <w:tc>
          <w:tcPr>
            <w:tcW w:w="8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0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852</w:t>
            </w:r>
          </w:p>
        </w:tc>
        <w:tc>
          <w:tcPr>
            <w:tcW w:w="38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w:t>
            </w:r>
          </w:p>
        </w:tc>
        <w:tc>
          <w:tcPr>
            <w:tcW w:w="98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687</w:t>
            </w:r>
          </w:p>
        </w:tc>
        <w:tc>
          <w:tcPr>
            <w:tcW w:w="580" w:type="dxa"/>
            <w:vAlign w:val="bottom"/>
            <w:shd w:val="clear" w:color="auto" w:fill="CCEEFF"/>
          </w:tcPr>
          <w:p>
            <w:pPr>
              <w:jc w:val="right"/>
              <w:ind w:right="343"/>
              <w:spacing w:after="0"/>
              <w:rPr>
                <w:sz w:val="20"/>
                <w:szCs w:val="20"/>
                <w:color w:val="auto"/>
              </w:rPr>
            </w:pPr>
            <w:r>
              <w:rPr>
                <w:rFonts w:ascii="Arial" w:cs="Arial" w:eastAsia="Arial" w:hAnsi="Arial"/>
                <w:sz w:val="11"/>
                <w:szCs w:val="11"/>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864</w:t>
            </w:r>
          </w:p>
        </w:tc>
        <w:tc>
          <w:tcPr>
            <w:tcW w:w="420" w:type="dxa"/>
            <w:vAlign w:val="bottom"/>
            <w:shd w:val="clear" w:color="auto" w:fill="CCEEFF"/>
          </w:tcPr>
          <w:p>
            <w:pPr>
              <w:jc w:val="right"/>
              <w:ind w:right="123"/>
              <w:spacing w:after="0"/>
              <w:rPr>
                <w:sz w:val="20"/>
                <w:szCs w:val="20"/>
                <w:color w:val="auto"/>
              </w:rPr>
            </w:pPr>
            <w:r>
              <w:rPr>
                <w:rFonts w:ascii="Arial" w:cs="Arial" w:eastAsia="Arial" w:hAnsi="Arial"/>
                <w:sz w:val="11"/>
                <w:szCs w:val="11"/>
                <w:color w:val="auto"/>
              </w:rPr>
              <w:t>$</w:t>
            </w:r>
          </w:p>
        </w:tc>
        <w:tc>
          <w:tcPr>
            <w:tcW w:w="88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864</w:t>
            </w:r>
          </w:p>
        </w:tc>
      </w:tr>
      <w:tr>
        <w:trPr>
          <w:trHeight w:val="211"/>
        </w:trPr>
        <w:tc>
          <w:tcPr>
            <w:tcW w:w="6540" w:type="dxa"/>
            <w:vAlign w:val="bottom"/>
          </w:tcPr>
          <w:p>
            <w:pPr>
              <w:ind w:left="160"/>
              <w:spacing w:after="0"/>
              <w:rPr>
                <w:sz w:val="20"/>
                <w:szCs w:val="20"/>
                <w:color w:val="auto"/>
              </w:rPr>
            </w:pPr>
            <w:r>
              <w:rPr>
                <w:rFonts w:ascii="Arial" w:cs="Arial" w:eastAsia="Arial" w:hAnsi="Arial"/>
                <w:sz w:val="11"/>
                <w:szCs w:val="11"/>
                <w:b w:val="1"/>
                <w:bCs w:val="1"/>
                <w:color w:val="auto"/>
              </w:rPr>
              <w:t>Gain (loss) on fair value hedging relationships:</w:t>
            </w: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20"/>
        </w:trPr>
        <w:tc>
          <w:tcPr>
            <w:tcW w:w="6540" w:type="dxa"/>
            <w:vAlign w:val="bottom"/>
            <w:shd w:val="clear" w:color="auto" w:fill="CCEEFF"/>
          </w:tcPr>
          <w:p>
            <w:pPr>
              <w:ind w:left="280"/>
              <w:spacing w:after="0"/>
              <w:rPr>
                <w:sz w:val="20"/>
                <w:szCs w:val="20"/>
                <w:color w:val="auto"/>
              </w:rPr>
            </w:pPr>
            <w:r>
              <w:rPr>
                <w:rFonts w:ascii="Arial" w:cs="Arial" w:eastAsia="Arial" w:hAnsi="Arial"/>
                <w:sz w:val="11"/>
                <w:szCs w:val="11"/>
                <w:b w:val="1"/>
                <w:bCs w:val="1"/>
                <w:color w:val="auto"/>
              </w:rPr>
              <w:t>Commodity contracts:</w:t>
            </w: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11"/>
        </w:trPr>
        <w:tc>
          <w:tcPr>
            <w:tcW w:w="6540" w:type="dxa"/>
            <w:vAlign w:val="bottom"/>
          </w:tcPr>
          <w:p>
            <w:pPr>
              <w:ind w:left="280"/>
              <w:spacing w:after="0"/>
              <w:rPr>
                <w:sz w:val="20"/>
                <w:szCs w:val="20"/>
                <w:color w:val="auto"/>
              </w:rPr>
            </w:pPr>
            <w:r>
              <w:rPr>
                <w:rFonts w:ascii="Arial" w:cs="Arial" w:eastAsia="Arial" w:hAnsi="Arial"/>
                <w:sz w:val="11"/>
                <w:szCs w:val="11"/>
                <w:color w:val="auto"/>
              </w:rPr>
              <w:t>Hedged items - Natural gas inventory</w:t>
            </w:r>
          </w:p>
        </w:tc>
        <w:tc>
          <w:tcPr>
            <w:tcW w:w="80" w:type="dxa"/>
            <w:vAlign w:val="bottom"/>
          </w:tcPr>
          <w:p>
            <w:pPr>
              <w:spacing w:after="0"/>
              <w:rPr>
                <w:sz w:val="18"/>
                <w:szCs w:val="18"/>
                <w:color w:val="auto"/>
              </w:rPr>
            </w:pPr>
          </w:p>
        </w:tc>
        <w:tc>
          <w:tcPr>
            <w:tcW w:w="1020" w:type="dxa"/>
            <w:vAlign w:val="bottom"/>
          </w:tcPr>
          <w:p>
            <w:pPr>
              <w:jc w:val="right"/>
              <w:ind w:right="3"/>
              <w:spacing w:after="0"/>
              <w:rPr>
                <w:sz w:val="20"/>
                <w:szCs w:val="20"/>
                <w:color w:val="auto"/>
              </w:rPr>
            </w:pPr>
            <w:r>
              <w:rPr>
                <w:rFonts w:ascii="Arial" w:cs="Arial" w:eastAsia="Arial" w:hAnsi="Arial"/>
                <w:sz w:val="11"/>
                <w:szCs w:val="11"/>
                <w:color w:val="auto"/>
              </w:rPr>
              <w:t>2</w:t>
            </w:r>
          </w:p>
        </w:tc>
        <w:tc>
          <w:tcPr>
            <w:tcW w:w="380" w:type="dxa"/>
            <w:vAlign w:val="bottom"/>
          </w:tcPr>
          <w:p>
            <w:pPr>
              <w:spacing w:after="0"/>
              <w:rPr>
                <w:sz w:val="18"/>
                <w:szCs w:val="18"/>
                <w:color w:val="auto"/>
              </w:rPr>
            </w:pPr>
          </w:p>
        </w:tc>
        <w:tc>
          <w:tcPr>
            <w:tcW w:w="980" w:type="dxa"/>
            <w:vAlign w:val="bottom"/>
          </w:tcPr>
          <w:p>
            <w:pPr>
              <w:jc w:val="right"/>
              <w:ind w:right="83"/>
              <w:spacing w:after="0"/>
              <w:rPr>
                <w:sz w:val="20"/>
                <w:szCs w:val="20"/>
                <w:color w:val="auto"/>
              </w:rPr>
            </w:pPr>
            <w:r>
              <w:rPr>
                <w:rFonts w:ascii="Arial" w:cs="Arial" w:eastAsia="Arial" w:hAnsi="Arial"/>
                <w:sz w:val="11"/>
                <w:szCs w:val="11"/>
                <w:color w:val="auto"/>
              </w:rPr>
              <w:t>2</w:t>
            </w:r>
          </w:p>
        </w:tc>
        <w:tc>
          <w:tcPr>
            <w:tcW w:w="5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w:t>
            </w:r>
          </w:p>
        </w:tc>
        <w:tc>
          <w:tcPr>
            <w:tcW w:w="420" w:type="dxa"/>
            <w:vAlign w:val="bottom"/>
          </w:tcPr>
          <w:p>
            <w:pPr>
              <w:spacing w:after="0"/>
              <w:rPr>
                <w:sz w:val="18"/>
                <w:szCs w:val="18"/>
                <w:color w:val="auto"/>
              </w:rPr>
            </w:pPr>
          </w:p>
        </w:tc>
        <w:tc>
          <w:tcPr>
            <w:tcW w:w="880" w:type="dxa"/>
            <w:vAlign w:val="bottom"/>
          </w:tcPr>
          <w:p>
            <w:pPr>
              <w:jc w:val="right"/>
              <w:ind w:right="43"/>
              <w:spacing w:after="0"/>
              <w:rPr>
                <w:sz w:val="20"/>
                <w:szCs w:val="20"/>
                <w:color w:val="auto"/>
              </w:rPr>
            </w:pPr>
            <w:r>
              <w:rPr>
                <w:rFonts w:ascii="Arial" w:cs="Arial" w:eastAsia="Arial" w:hAnsi="Arial"/>
                <w:sz w:val="11"/>
                <w:szCs w:val="11"/>
                <w:color w:val="auto"/>
              </w:rPr>
              <w:t>1</w:t>
            </w:r>
          </w:p>
        </w:tc>
      </w:tr>
      <w:tr>
        <w:trPr>
          <w:trHeight w:val="220"/>
        </w:trPr>
        <w:tc>
          <w:tcPr>
            <w:tcW w:w="6540" w:type="dxa"/>
            <w:vAlign w:val="bottom"/>
            <w:shd w:val="clear" w:color="auto" w:fill="CCEEFF"/>
          </w:tcPr>
          <w:p>
            <w:pPr>
              <w:ind w:left="280"/>
              <w:spacing w:after="0"/>
              <w:rPr>
                <w:sz w:val="20"/>
                <w:szCs w:val="20"/>
                <w:color w:val="auto"/>
              </w:rPr>
            </w:pPr>
            <w:r>
              <w:rPr>
                <w:rFonts w:ascii="Arial" w:cs="Arial" w:eastAsia="Arial" w:hAnsi="Arial"/>
                <w:sz w:val="11"/>
                <w:szCs w:val="11"/>
                <w:color w:val="auto"/>
              </w:rPr>
              <w:t>Derivatives designated as hedging instruments</w:t>
            </w: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w:t>
            </w: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(2)</w:t>
            </w:r>
          </w:p>
        </w:tc>
        <w:tc>
          <w:tcPr>
            <w:tcW w:w="5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w:t>
            </w:r>
          </w:p>
        </w:tc>
      </w:tr>
      <w:tr>
        <w:trPr>
          <w:trHeight w:val="206"/>
        </w:trPr>
        <w:tc>
          <w:tcPr>
            <w:tcW w:w="6540" w:type="dxa"/>
            <w:vAlign w:val="bottom"/>
          </w:tcPr>
          <w:p>
            <w:pPr>
              <w:ind w:left="280"/>
              <w:spacing w:after="0"/>
              <w:rPr>
                <w:sz w:val="20"/>
                <w:szCs w:val="20"/>
                <w:color w:val="auto"/>
              </w:rPr>
            </w:pPr>
            <w:r>
              <w:rPr>
                <w:rFonts w:ascii="Arial" w:cs="Arial" w:eastAsia="Arial" w:hAnsi="Arial"/>
                <w:sz w:val="11"/>
                <w:szCs w:val="11"/>
                <w:color w:val="auto"/>
              </w:rPr>
              <w:t>Amounts excluded from effectiveness testing recognized in earnings immediately</w:t>
            </w:r>
          </w:p>
        </w:tc>
        <w:tc>
          <w:tcPr>
            <w:tcW w:w="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(59)</w:t>
            </w:r>
          </w:p>
        </w:tc>
        <w:tc>
          <w:tcPr>
            <w:tcW w:w="380" w:type="dxa"/>
            <w:vAlign w:val="bottom"/>
          </w:tcPr>
          <w:p>
            <w:pPr>
              <w:spacing w:after="0"/>
              <w:rPr>
                <w:sz w:val="17"/>
                <w:szCs w:val="17"/>
                <w:color w:val="auto"/>
              </w:rPr>
            </w:pPr>
          </w:p>
        </w:tc>
        <w:tc>
          <w:tcPr>
            <w:tcW w:w="980" w:type="dxa"/>
            <w:vAlign w:val="bottom"/>
          </w:tcPr>
          <w:p>
            <w:pPr>
              <w:jc w:val="right"/>
              <w:ind w:right="43"/>
              <w:spacing w:after="0"/>
              <w:rPr>
                <w:sz w:val="20"/>
                <w:szCs w:val="20"/>
                <w:color w:val="auto"/>
              </w:rPr>
            </w:pPr>
            <w:r>
              <w:rPr>
                <w:rFonts w:ascii="Arial" w:cs="Arial" w:eastAsia="Arial" w:hAnsi="Arial"/>
                <w:sz w:val="11"/>
                <w:szCs w:val="11"/>
                <w:color w:val="auto"/>
              </w:rPr>
              <w:t>(59)</w:t>
            </w:r>
          </w:p>
        </w:tc>
        <w:tc>
          <w:tcPr>
            <w:tcW w:w="5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6</w:t>
            </w:r>
          </w:p>
        </w:tc>
        <w:tc>
          <w:tcPr>
            <w:tcW w:w="420" w:type="dxa"/>
            <w:vAlign w:val="bottom"/>
          </w:tcPr>
          <w:p>
            <w:pPr>
              <w:spacing w:after="0"/>
              <w:rPr>
                <w:sz w:val="17"/>
                <w:szCs w:val="17"/>
                <w:color w:val="auto"/>
              </w:rPr>
            </w:pPr>
          </w:p>
        </w:tc>
        <w:tc>
          <w:tcPr>
            <w:tcW w:w="880" w:type="dxa"/>
            <w:vAlign w:val="bottom"/>
          </w:tcPr>
          <w:p>
            <w:pPr>
              <w:jc w:val="right"/>
              <w:ind w:right="43"/>
              <w:spacing w:after="0"/>
              <w:rPr>
                <w:sz w:val="20"/>
                <w:szCs w:val="20"/>
                <w:color w:val="auto"/>
              </w:rPr>
            </w:pPr>
            <w:r>
              <w:rPr>
                <w:rFonts w:ascii="Arial" w:cs="Arial" w:eastAsia="Arial" w:hAnsi="Arial"/>
                <w:sz w:val="11"/>
                <w:szCs w:val="11"/>
                <w:color w:val="auto"/>
              </w:rPr>
              <w:t>6</w:t>
            </w:r>
          </w:p>
        </w:tc>
      </w:tr>
      <w:tr>
        <w:trPr>
          <w:trHeight w:val="328"/>
        </w:trPr>
        <w:tc>
          <w:tcPr>
            <w:tcW w:w="654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3"/>
          </w:tcPr>
          <w:p>
            <w:pPr>
              <w:jc w:val="center"/>
              <w:ind w:right="103"/>
              <w:spacing w:after="0"/>
              <w:rPr>
                <w:sz w:val="20"/>
                <w:szCs w:val="20"/>
                <w:color w:val="auto"/>
              </w:rPr>
            </w:pPr>
            <w:r>
              <w:rPr>
                <w:rFonts w:ascii="Arial" w:cs="Arial" w:eastAsia="Arial" w:hAnsi="Arial"/>
                <w:sz w:val="11"/>
                <w:szCs w:val="11"/>
                <w:b w:val="1"/>
                <w:bCs w:val="1"/>
                <w:color w:val="auto"/>
                <w:w w:val="93"/>
              </w:rPr>
              <w:t>Nine Months Ended September 30,</w:t>
            </w:r>
          </w:p>
        </w:tc>
        <w:tc>
          <w:tcPr>
            <w:tcW w:w="4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r>
      <w:tr>
        <w:trPr>
          <w:trHeight w:val="206"/>
        </w:trPr>
        <w:tc>
          <w:tcPr>
            <w:tcW w:w="654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b w:val="1"/>
                <w:bCs w:val="1"/>
                <w:color w:val="auto"/>
                <w:w w:val="89"/>
              </w:rPr>
              <w:t>2019</w:t>
            </w:r>
          </w:p>
        </w:tc>
        <w:tc>
          <w:tcPr>
            <w:tcW w:w="9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ind w:right="123"/>
              <w:spacing w:after="0"/>
              <w:rPr>
                <w:sz w:val="20"/>
                <w:szCs w:val="20"/>
                <w:color w:val="auto"/>
              </w:rPr>
            </w:pPr>
            <w:r>
              <w:rPr>
                <w:rFonts w:ascii="Arial" w:cs="Arial" w:eastAsia="Arial" w:hAnsi="Arial"/>
                <w:sz w:val="11"/>
                <w:szCs w:val="11"/>
                <w:b w:val="1"/>
                <w:bCs w:val="1"/>
                <w:color w:val="auto"/>
                <w:w w:val="89"/>
              </w:rPr>
              <w:t>2018</w:t>
            </w:r>
          </w:p>
        </w:tc>
        <w:tc>
          <w:tcPr>
            <w:tcW w:w="880" w:type="dxa"/>
            <w:vAlign w:val="bottom"/>
            <w:tcBorders>
              <w:bottom w:val="single" w:sz="8" w:color="auto"/>
            </w:tcBorders>
          </w:tcPr>
          <w:p>
            <w:pPr>
              <w:spacing w:after="0"/>
              <w:rPr>
                <w:sz w:val="17"/>
                <w:szCs w:val="17"/>
                <w:color w:val="auto"/>
              </w:rPr>
            </w:pPr>
          </w:p>
        </w:tc>
      </w:tr>
      <w:tr>
        <w:trPr>
          <w:trHeight w:val="196"/>
        </w:trPr>
        <w:tc>
          <w:tcPr>
            <w:tcW w:w="654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4840" w:type="dxa"/>
            <w:vAlign w:val="bottom"/>
            <w:tcBorders>
              <w:bottom w:val="single" w:sz="8" w:color="auto"/>
            </w:tcBorders>
            <w:gridSpan w:val="7"/>
          </w:tcPr>
          <w:p>
            <w:pPr>
              <w:jc w:val="center"/>
              <w:ind w:right="3"/>
              <w:spacing w:after="0"/>
              <w:rPr>
                <w:sz w:val="20"/>
                <w:szCs w:val="20"/>
                <w:color w:val="auto"/>
              </w:rPr>
            </w:pPr>
            <w:r>
              <w:rPr>
                <w:rFonts w:ascii="Arial" w:cs="Arial" w:eastAsia="Arial" w:hAnsi="Arial"/>
                <w:sz w:val="11"/>
                <w:szCs w:val="11"/>
                <w:b w:val="1"/>
                <w:bCs w:val="1"/>
                <w:color w:val="auto"/>
                <w:w w:val="94"/>
              </w:rPr>
              <w:t xml:space="preserve">Location and Amount of Gain (Loss) recognized in Income on Hedging Relationship </w:t>
            </w:r>
            <w:r>
              <w:rPr>
                <w:rFonts w:ascii="Arial" w:cs="Arial" w:eastAsia="Arial" w:hAnsi="Arial"/>
                <w:sz w:val="8"/>
                <w:szCs w:val="8"/>
                <w:b w:val="1"/>
                <w:bCs w:val="1"/>
                <w:color w:val="auto"/>
                <w:w w:val="94"/>
              </w:rPr>
              <w:t>(1)</w:t>
            </w:r>
          </w:p>
        </w:tc>
      </w:tr>
      <w:tr>
        <w:trPr>
          <w:trHeight w:val="196"/>
        </w:trPr>
        <w:tc>
          <w:tcPr>
            <w:tcW w:w="654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2940" w:type="dxa"/>
            <w:vAlign w:val="bottom"/>
            <w:tcBorders>
              <w:bottom w:val="single" w:sz="8" w:color="auto"/>
            </w:tcBorders>
            <w:gridSpan w:val="5"/>
          </w:tcPr>
          <w:p>
            <w:pPr>
              <w:jc w:val="center"/>
              <w:ind w:right="143"/>
              <w:spacing w:after="0"/>
              <w:rPr>
                <w:sz w:val="20"/>
                <w:szCs w:val="20"/>
                <w:color w:val="auto"/>
              </w:rPr>
            </w:pPr>
            <w:r>
              <w:rPr>
                <w:rFonts w:ascii="Arial" w:cs="Arial" w:eastAsia="Arial" w:hAnsi="Arial"/>
                <w:sz w:val="11"/>
                <w:szCs w:val="11"/>
                <w:b w:val="1"/>
                <w:bCs w:val="1"/>
                <w:color w:val="auto"/>
                <w:w w:val="92"/>
              </w:rPr>
              <w:t>Non-utility cost of revenues, including natural gas</w:t>
            </w:r>
          </w:p>
        </w:tc>
        <w:tc>
          <w:tcPr>
            <w:tcW w:w="880" w:type="dxa"/>
            <w:vAlign w:val="bottom"/>
            <w:tcBorders>
              <w:bottom w:val="single" w:sz="8" w:color="auto"/>
            </w:tcBorders>
          </w:tcPr>
          <w:p>
            <w:pPr>
              <w:spacing w:after="0"/>
              <w:rPr>
                <w:sz w:val="17"/>
                <w:szCs w:val="17"/>
                <w:color w:val="auto"/>
              </w:rPr>
            </w:pPr>
          </w:p>
        </w:tc>
      </w:tr>
      <w:tr>
        <w:trPr>
          <w:trHeight w:val="206"/>
        </w:trPr>
        <w:tc>
          <w:tcPr>
            <w:tcW w:w="654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5"/>
              </w:rPr>
              <w:t>CenterPoint Energy</w:t>
            </w:r>
          </w:p>
        </w:tc>
        <w:tc>
          <w:tcPr>
            <w:tcW w:w="3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83"/>
              <w:spacing w:after="0"/>
              <w:rPr>
                <w:sz w:val="20"/>
                <w:szCs w:val="20"/>
                <w:color w:val="auto"/>
              </w:rPr>
            </w:pPr>
            <w:r>
              <w:rPr>
                <w:rFonts w:ascii="Arial" w:cs="Arial" w:eastAsia="Arial" w:hAnsi="Arial"/>
                <w:sz w:val="11"/>
                <w:szCs w:val="11"/>
                <w:b w:val="1"/>
                <w:bCs w:val="1"/>
                <w:color w:val="auto"/>
              </w:rPr>
              <w:t>CERC</w:t>
            </w: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11"/>
                <w:szCs w:val="11"/>
                <w:b w:val="1"/>
                <w:bCs w:val="1"/>
                <w:color w:val="auto"/>
              </w:rPr>
              <w:t>CenterPoint Energy</w:t>
            </w:r>
          </w:p>
        </w:tc>
        <w:tc>
          <w:tcPr>
            <w:tcW w:w="4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43"/>
              <w:spacing w:after="0"/>
              <w:rPr>
                <w:sz w:val="20"/>
                <w:szCs w:val="20"/>
                <w:color w:val="auto"/>
              </w:rPr>
            </w:pPr>
            <w:r>
              <w:rPr>
                <w:rFonts w:ascii="Arial" w:cs="Arial" w:eastAsia="Arial" w:hAnsi="Arial"/>
                <w:sz w:val="11"/>
                <w:szCs w:val="11"/>
                <w:b w:val="1"/>
                <w:bCs w:val="1"/>
                <w:color w:val="auto"/>
              </w:rPr>
              <w:t>CERC</w:t>
            </w:r>
          </w:p>
        </w:tc>
      </w:tr>
      <w:tr>
        <w:trPr>
          <w:trHeight w:val="196"/>
        </w:trPr>
        <w:tc>
          <w:tcPr>
            <w:tcW w:w="6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560" w:type="dxa"/>
            <w:vAlign w:val="bottom"/>
            <w:gridSpan w:val="2"/>
          </w:tcPr>
          <w:p>
            <w:pPr>
              <w:jc w:val="center"/>
              <w:ind w:left="363"/>
              <w:spacing w:after="0"/>
              <w:rPr>
                <w:sz w:val="20"/>
                <w:szCs w:val="20"/>
                <w:color w:val="auto"/>
              </w:rPr>
            </w:pPr>
            <w:r>
              <w:rPr>
                <w:rFonts w:ascii="Arial" w:cs="Arial" w:eastAsia="Arial" w:hAnsi="Arial"/>
                <w:sz w:val="11"/>
                <w:szCs w:val="11"/>
                <w:b w:val="1"/>
                <w:bCs w:val="1"/>
                <w:color w:val="auto"/>
                <w:w w:val="93"/>
              </w:rPr>
              <w:t>(in millions)</w:t>
            </w:r>
          </w:p>
        </w:tc>
        <w:tc>
          <w:tcPr>
            <w:tcW w:w="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20"/>
        </w:trPr>
        <w:tc>
          <w:tcPr>
            <w:tcW w:w="654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Total amounts presented in the statements of income in which the effects of hedges are recorded</w:t>
            </w:r>
          </w:p>
        </w:tc>
        <w:tc>
          <w:tcPr>
            <w:tcW w:w="8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0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3,013</w:t>
            </w:r>
          </w:p>
        </w:tc>
        <w:tc>
          <w:tcPr>
            <w:tcW w:w="38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w:t>
            </w:r>
          </w:p>
        </w:tc>
        <w:tc>
          <w:tcPr>
            <w:tcW w:w="98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2,627</w:t>
            </w:r>
          </w:p>
        </w:tc>
        <w:tc>
          <w:tcPr>
            <w:tcW w:w="580" w:type="dxa"/>
            <w:vAlign w:val="bottom"/>
            <w:shd w:val="clear" w:color="auto" w:fill="CCEEFF"/>
          </w:tcPr>
          <w:p>
            <w:pPr>
              <w:jc w:val="right"/>
              <w:ind w:right="343"/>
              <w:spacing w:after="0"/>
              <w:rPr>
                <w:sz w:val="20"/>
                <w:szCs w:val="20"/>
                <w:color w:val="auto"/>
              </w:rPr>
            </w:pPr>
            <w:r>
              <w:rPr>
                <w:rFonts w:ascii="Arial" w:cs="Arial" w:eastAsia="Arial" w:hAnsi="Arial"/>
                <w:sz w:val="11"/>
                <w:szCs w:val="11"/>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2,927</w:t>
            </w:r>
          </w:p>
        </w:tc>
        <w:tc>
          <w:tcPr>
            <w:tcW w:w="420" w:type="dxa"/>
            <w:vAlign w:val="bottom"/>
            <w:shd w:val="clear" w:color="auto" w:fill="CCEEFF"/>
          </w:tcPr>
          <w:p>
            <w:pPr>
              <w:jc w:val="right"/>
              <w:ind w:right="123"/>
              <w:spacing w:after="0"/>
              <w:rPr>
                <w:sz w:val="20"/>
                <w:szCs w:val="20"/>
                <w:color w:val="auto"/>
              </w:rPr>
            </w:pPr>
            <w:r>
              <w:rPr>
                <w:rFonts w:ascii="Arial" w:cs="Arial" w:eastAsia="Arial" w:hAnsi="Arial"/>
                <w:sz w:val="11"/>
                <w:szCs w:val="11"/>
                <w:color w:val="auto"/>
              </w:rPr>
              <w:t>$</w:t>
            </w:r>
          </w:p>
        </w:tc>
        <w:tc>
          <w:tcPr>
            <w:tcW w:w="88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2,927</w:t>
            </w:r>
          </w:p>
        </w:tc>
      </w:tr>
      <w:tr>
        <w:trPr>
          <w:trHeight w:val="211"/>
        </w:trPr>
        <w:tc>
          <w:tcPr>
            <w:tcW w:w="6540" w:type="dxa"/>
            <w:vAlign w:val="bottom"/>
          </w:tcPr>
          <w:p>
            <w:pPr>
              <w:ind w:left="160"/>
              <w:spacing w:after="0"/>
              <w:rPr>
                <w:sz w:val="20"/>
                <w:szCs w:val="20"/>
                <w:color w:val="auto"/>
              </w:rPr>
            </w:pPr>
            <w:r>
              <w:rPr>
                <w:rFonts w:ascii="Arial" w:cs="Arial" w:eastAsia="Arial" w:hAnsi="Arial"/>
                <w:sz w:val="11"/>
                <w:szCs w:val="11"/>
                <w:b w:val="1"/>
                <w:bCs w:val="1"/>
                <w:color w:val="auto"/>
              </w:rPr>
              <w:t>Gain (loss) on fair value hedging relationships:</w:t>
            </w: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20"/>
        </w:trPr>
        <w:tc>
          <w:tcPr>
            <w:tcW w:w="6540" w:type="dxa"/>
            <w:vAlign w:val="bottom"/>
            <w:shd w:val="clear" w:color="auto" w:fill="CCEEFF"/>
          </w:tcPr>
          <w:p>
            <w:pPr>
              <w:ind w:left="280"/>
              <w:spacing w:after="0"/>
              <w:rPr>
                <w:sz w:val="20"/>
                <w:szCs w:val="20"/>
                <w:color w:val="auto"/>
              </w:rPr>
            </w:pPr>
            <w:r>
              <w:rPr>
                <w:rFonts w:ascii="Arial" w:cs="Arial" w:eastAsia="Arial" w:hAnsi="Arial"/>
                <w:sz w:val="11"/>
                <w:szCs w:val="11"/>
                <w:b w:val="1"/>
                <w:bCs w:val="1"/>
                <w:color w:val="auto"/>
              </w:rPr>
              <w:t>Commodity contracts:</w:t>
            </w: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11"/>
        </w:trPr>
        <w:tc>
          <w:tcPr>
            <w:tcW w:w="6540" w:type="dxa"/>
            <w:vAlign w:val="bottom"/>
          </w:tcPr>
          <w:p>
            <w:pPr>
              <w:ind w:left="280"/>
              <w:spacing w:after="0"/>
              <w:rPr>
                <w:sz w:val="20"/>
                <w:szCs w:val="20"/>
                <w:color w:val="auto"/>
              </w:rPr>
            </w:pPr>
            <w:r>
              <w:rPr>
                <w:rFonts w:ascii="Arial" w:cs="Arial" w:eastAsia="Arial" w:hAnsi="Arial"/>
                <w:sz w:val="11"/>
                <w:szCs w:val="11"/>
                <w:color w:val="auto"/>
              </w:rPr>
              <w:t>Hedged items - Natural gas inventory</w:t>
            </w: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(8)</w:t>
            </w:r>
          </w:p>
        </w:tc>
        <w:tc>
          <w:tcPr>
            <w:tcW w:w="380" w:type="dxa"/>
            <w:vAlign w:val="bottom"/>
          </w:tcPr>
          <w:p>
            <w:pPr>
              <w:spacing w:after="0"/>
              <w:rPr>
                <w:sz w:val="18"/>
                <w:szCs w:val="18"/>
                <w:color w:val="auto"/>
              </w:rPr>
            </w:pPr>
          </w:p>
        </w:tc>
        <w:tc>
          <w:tcPr>
            <w:tcW w:w="980" w:type="dxa"/>
            <w:vAlign w:val="bottom"/>
          </w:tcPr>
          <w:p>
            <w:pPr>
              <w:jc w:val="right"/>
              <w:ind w:right="43"/>
              <w:spacing w:after="0"/>
              <w:rPr>
                <w:sz w:val="20"/>
                <w:szCs w:val="20"/>
                <w:color w:val="auto"/>
              </w:rPr>
            </w:pPr>
            <w:r>
              <w:rPr>
                <w:rFonts w:ascii="Arial" w:cs="Arial" w:eastAsia="Arial" w:hAnsi="Arial"/>
                <w:sz w:val="11"/>
                <w:szCs w:val="11"/>
                <w:color w:val="auto"/>
              </w:rPr>
              <w:t>(8)</w:t>
            </w:r>
          </w:p>
        </w:tc>
        <w:tc>
          <w:tcPr>
            <w:tcW w:w="5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(13)</w:t>
            </w:r>
          </w:p>
        </w:tc>
        <w:tc>
          <w:tcPr>
            <w:tcW w:w="420" w:type="dxa"/>
            <w:vAlign w:val="bottom"/>
          </w:tcPr>
          <w:p>
            <w:pPr>
              <w:spacing w:after="0"/>
              <w:rPr>
                <w:sz w:val="18"/>
                <w:szCs w:val="18"/>
                <w:color w:val="auto"/>
              </w:rPr>
            </w:pPr>
          </w:p>
        </w:tc>
        <w:tc>
          <w:tcPr>
            <w:tcW w:w="880" w:type="dxa"/>
            <w:vAlign w:val="bottom"/>
          </w:tcPr>
          <w:p>
            <w:pPr>
              <w:jc w:val="right"/>
              <w:ind w:right="3"/>
              <w:spacing w:after="0"/>
              <w:rPr>
                <w:sz w:val="20"/>
                <w:szCs w:val="20"/>
                <w:color w:val="auto"/>
              </w:rPr>
            </w:pPr>
            <w:r>
              <w:rPr>
                <w:rFonts w:ascii="Arial" w:cs="Arial" w:eastAsia="Arial" w:hAnsi="Arial"/>
                <w:sz w:val="11"/>
                <w:szCs w:val="11"/>
                <w:color w:val="auto"/>
              </w:rPr>
              <w:t>(13)</w:t>
            </w:r>
          </w:p>
        </w:tc>
      </w:tr>
      <w:tr>
        <w:trPr>
          <w:trHeight w:val="220"/>
        </w:trPr>
        <w:tc>
          <w:tcPr>
            <w:tcW w:w="6540" w:type="dxa"/>
            <w:vAlign w:val="bottom"/>
            <w:shd w:val="clear" w:color="auto" w:fill="CCEEFF"/>
          </w:tcPr>
          <w:p>
            <w:pPr>
              <w:ind w:left="280"/>
              <w:spacing w:after="0"/>
              <w:rPr>
                <w:sz w:val="20"/>
                <w:szCs w:val="20"/>
                <w:color w:val="auto"/>
              </w:rPr>
            </w:pPr>
            <w:r>
              <w:rPr>
                <w:rFonts w:ascii="Arial" w:cs="Arial" w:eastAsia="Arial" w:hAnsi="Arial"/>
                <w:sz w:val="11"/>
                <w:szCs w:val="11"/>
                <w:color w:val="auto"/>
              </w:rPr>
              <w:t>Derivatives designated as hedging instruments</w:t>
            </w: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8</w:t>
            </w: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8</w:t>
            </w:r>
          </w:p>
        </w:tc>
        <w:tc>
          <w:tcPr>
            <w:tcW w:w="5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w:t>
            </w: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13</w:t>
            </w:r>
          </w:p>
        </w:tc>
      </w:tr>
      <w:tr>
        <w:trPr>
          <w:trHeight w:val="206"/>
        </w:trPr>
        <w:tc>
          <w:tcPr>
            <w:tcW w:w="6540" w:type="dxa"/>
            <w:vAlign w:val="bottom"/>
          </w:tcPr>
          <w:p>
            <w:pPr>
              <w:ind w:left="280"/>
              <w:spacing w:after="0"/>
              <w:rPr>
                <w:sz w:val="20"/>
                <w:szCs w:val="20"/>
                <w:color w:val="auto"/>
              </w:rPr>
            </w:pPr>
            <w:r>
              <w:rPr>
                <w:rFonts w:ascii="Arial" w:cs="Arial" w:eastAsia="Arial" w:hAnsi="Arial"/>
                <w:sz w:val="11"/>
                <w:szCs w:val="11"/>
                <w:color w:val="auto"/>
              </w:rPr>
              <w:t>Amounts excluded from effectiveness testing recognized in earnings immediately</w:t>
            </w:r>
          </w:p>
        </w:tc>
        <w:tc>
          <w:tcPr>
            <w:tcW w:w="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(138)</w:t>
            </w:r>
          </w:p>
        </w:tc>
        <w:tc>
          <w:tcPr>
            <w:tcW w:w="380" w:type="dxa"/>
            <w:vAlign w:val="bottom"/>
          </w:tcPr>
          <w:p>
            <w:pPr>
              <w:spacing w:after="0"/>
              <w:rPr>
                <w:sz w:val="17"/>
                <w:szCs w:val="17"/>
                <w:color w:val="auto"/>
              </w:rPr>
            </w:pPr>
          </w:p>
        </w:tc>
        <w:tc>
          <w:tcPr>
            <w:tcW w:w="980" w:type="dxa"/>
            <w:vAlign w:val="bottom"/>
          </w:tcPr>
          <w:p>
            <w:pPr>
              <w:jc w:val="right"/>
              <w:ind w:right="43"/>
              <w:spacing w:after="0"/>
              <w:rPr>
                <w:sz w:val="20"/>
                <w:szCs w:val="20"/>
                <w:color w:val="auto"/>
              </w:rPr>
            </w:pPr>
            <w:r>
              <w:rPr>
                <w:rFonts w:ascii="Arial" w:cs="Arial" w:eastAsia="Arial" w:hAnsi="Arial"/>
                <w:sz w:val="11"/>
                <w:szCs w:val="11"/>
                <w:color w:val="auto"/>
              </w:rPr>
              <w:t>(138)</w:t>
            </w:r>
          </w:p>
        </w:tc>
        <w:tc>
          <w:tcPr>
            <w:tcW w:w="5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(73)</w:t>
            </w:r>
          </w:p>
        </w:tc>
        <w:tc>
          <w:tcPr>
            <w:tcW w:w="420" w:type="dxa"/>
            <w:vAlign w:val="bottom"/>
          </w:tcPr>
          <w:p>
            <w:pPr>
              <w:spacing w:after="0"/>
              <w:rPr>
                <w:sz w:val="17"/>
                <w:szCs w:val="17"/>
                <w:color w:val="auto"/>
              </w:rPr>
            </w:pPr>
          </w:p>
        </w:tc>
        <w:tc>
          <w:tcPr>
            <w:tcW w:w="880" w:type="dxa"/>
            <w:vAlign w:val="bottom"/>
          </w:tcPr>
          <w:p>
            <w:pPr>
              <w:jc w:val="right"/>
              <w:ind w:right="3"/>
              <w:spacing w:after="0"/>
              <w:rPr>
                <w:sz w:val="20"/>
                <w:szCs w:val="20"/>
                <w:color w:val="auto"/>
              </w:rPr>
            </w:pPr>
            <w:r>
              <w:rPr>
                <w:rFonts w:ascii="Arial" w:cs="Arial" w:eastAsia="Arial" w:hAnsi="Arial"/>
                <w:sz w:val="11"/>
                <w:szCs w:val="11"/>
                <w:color w:val="auto"/>
              </w:rPr>
              <w:t>(73)</w:t>
            </w:r>
          </w:p>
        </w:tc>
      </w:tr>
    </w:tbl>
    <w:p>
      <w:pPr>
        <w:spacing w:after="0" w:line="171" w:lineRule="exact"/>
        <w:rPr>
          <w:sz w:val="20"/>
          <w:szCs w:val="20"/>
          <w:color w:val="auto"/>
        </w:rPr>
      </w:pPr>
    </w:p>
    <w:p>
      <w:pPr>
        <w:ind w:left="520" w:hanging="255"/>
        <w:spacing w:after="0" w:line="288" w:lineRule="auto"/>
        <w:tabs>
          <w:tab w:leader="none" w:pos="5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Income statement impact associated with cash flow hedge activity is related to gains and losses reclassified from Accumulated other comprehensive income into income. Amounts are immaterial for each Registrant in the three and nine months ended September 30, 2019 and 2018, respectively.</w:t>
      </w:r>
    </w:p>
    <w:p>
      <w:pPr>
        <w:spacing w:after="0" w:line="12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CenterPoint Energy</w:t>
      </w:r>
    </w:p>
    <w:p>
      <w:pPr>
        <w:spacing w:after="0" w:line="192" w:lineRule="exact"/>
        <w:rPr>
          <w:sz w:val="20"/>
          <w:szCs w:val="20"/>
          <w:color w:val="auto"/>
        </w:rPr>
      </w:pPr>
    </w:p>
    <w:tbl>
      <w:tblPr>
        <w:tblLayout w:type="fixed"/>
        <w:tblInd w:w="40" w:type="dxa"/>
        <w:tblCellMar>
          <w:top w:w="0" w:type="dxa"/>
          <w:left w:w="0" w:type="dxa"/>
          <w:bottom w:w="0" w:type="dxa"/>
          <w:right w:w="0" w:type="dxa"/>
        </w:tblCellMar>
      </w:tblPr>
      <w:tr>
        <w:trPr>
          <w:trHeight w:val="153"/>
        </w:trPr>
        <w:tc>
          <w:tcPr>
            <w:tcW w:w="15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660" w:type="dxa"/>
            <w:vAlign w:val="bottom"/>
            <w:gridSpan w:val="5"/>
          </w:tcPr>
          <w:p>
            <w:pPr>
              <w:ind w:left="240"/>
              <w:spacing w:after="0"/>
              <w:rPr>
                <w:sz w:val="20"/>
                <w:szCs w:val="20"/>
                <w:color w:val="auto"/>
              </w:rPr>
            </w:pPr>
            <w:r>
              <w:rPr>
                <w:rFonts w:ascii="Arial" w:cs="Arial" w:eastAsia="Arial" w:hAnsi="Arial"/>
                <w:sz w:val="11"/>
                <w:szCs w:val="11"/>
                <w:b w:val="1"/>
                <w:bCs w:val="1"/>
                <w:color w:val="auto"/>
              </w:rPr>
              <w:t>Three Months Ended September 30,</w:t>
            </w:r>
          </w:p>
        </w:tc>
        <w:tc>
          <w:tcPr>
            <w:tcW w:w="400" w:type="dxa"/>
            <w:vAlign w:val="bottom"/>
          </w:tcPr>
          <w:p>
            <w:pPr>
              <w:spacing w:after="0"/>
              <w:rPr>
                <w:sz w:val="13"/>
                <w:szCs w:val="13"/>
                <w:color w:val="auto"/>
              </w:rPr>
            </w:pPr>
          </w:p>
        </w:tc>
        <w:tc>
          <w:tcPr>
            <w:tcW w:w="2420" w:type="dxa"/>
            <w:vAlign w:val="bottom"/>
            <w:gridSpan w:val="4"/>
          </w:tcPr>
          <w:p>
            <w:pPr>
              <w:ind w:left="160"/>
              <w:spacing w:after="0"/>
              <w:rPr>
                <w:sz w:val="20"/>
                <w:szCs w:val="20"/>
                <w:color w:val="auto"/>
              </w:rPr>
            </w:pPr>
            <w:r>
              <w:rPr>
                <w:rFonts w:ascii="Arial" w:cs="Arial" w:eastAsia="Arial" w:hAnsi="Arial"/>
                <w:sz w:val="11"/>
                <w:szCs w:val="11"/>
                <w:b w:val="1"/>
                <w:bCs w:val="1"/>
                <w:color w:val="auto"/>
              </w:rPr>
              <w:t>Nine Months Ended September 30,</w:t>
            </w:r>
          </w:p>
        </w:tc>
        <w:tc>
          <w:tcPr>
            <w:tcW w:w="0" w:type="dxa"/>
            <w:vAlign w:val="bottom"/>
          </w:tcPr>
          <w:p>
            <w:pPr>
              <w:spacing w:after="0"/>
              <w:rPr>
                <w:sz w:val="1"/>
                <w:szCs w:val="1"/>
                <w:color w:val="auto"/>
              </w:rPr>
            </w:pPr>
          </w:p>
        </w:tc>
      </w:tr>
      <w:tr>
        <w:trPr>
          <w:trHeight w:val="206"/>
        </w:trPr>
        <w:tc>
          <w:tcPr>
            <w:tcW w:w="15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980" w:type="dxa"/>
            <w:vAlign w:val="bottom"/>
            <w:gridSpan w:val="2"/>
          </w:tcPr>
          <w:p>
            <w:pPr>
              <w:ind w:left="760"/>
              <w:spacing w:after="0"/>
              <w:rPr>
                <w:sz w:val="20"/>
                <w:szCs w:val="20"/>
                <w:color w:val="auto"/>
              </w:rPr>
            </w:pPr>
            <w:r>
              <w:rPr>
                <w:rFonts w:ascii="Arial" w:cs="Arial" w:eastAsia="Arial" w:hAnsi="Arial"/>
                <w:sz w:val="11"/>
                <w:szCs w:val="11"/>
                <w:b w:val="1"/>
                <w:bCs w:val="1"/>
                <w:color w:val="auto"/>
              </w:rPr>
              <w:t>Income Statement Location</w:t>
            </w:r>
          </w:p>
        </w:tc>
        <w:tc>
          <w:tcPr>
            <w:tcW w:w="3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ind w:right="523"/>
              <w:spacing w:after="0"/>
              <w:rPr>
                <w:sz w:val="20"/>
                <w:szCs w:val="20"/>
                <w:color w:val="auto"/>
              </w:rPr>
            </w:pPr>
            <w:r>
              <w:rPr>
                <w:rFonts w:ascii="Arial" w:cs="Arial" w:eastAsia="Arial" w:hAnsi="Arial"/>
                <w:sz w:val="11"/>
                <w:szCs w:val="11"/>
                <w:b w:val="1"/>
                <w:bCs w:val="1"/>
                <w:color w:val="auto"/>
              </w:rPr>
              <w:t>2019</w:t>
            </w:r>
          </w:p>
        </w:tc>
        <w:tc>
          <w:tcPr>
            <w:tcW w:w="12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ind w:right="523"/>
              <w:spacing w:after="0"/>
              <w:rPr>
                <w:sz w:val="20"/>
                <w:szCs w:val="20"/>
                <w:color w:val="auto"/>
              </w:rPr>
            </w:pPr>
            <w:r>
              <w:rPr>
                <w:rFonts w:ascii="Arial" w:cs="Arial" w:eastAsia="Arial" w:hAnsi="Arial"/>
                <w:sz w:val="11"/>
                <w:szCs w:val="11"/>
                <w:b w:val="1"/>
                <w:bCs w:val="1"/>
                <w:color w:val="auto"/>
              </w:rPr>
              <w:t>2018</w:t>
            </w:r>
          </w:p>
        </w:tc>
        <w:tc>
          <w:tcPr>
            <w:tcW w:w="10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ind w:left="180"/>
              <w:spacing w:after="0"/>
              <w:rPr>
                <w:sz w:val="20"/>
                <w:szCs w:val="20"/>
                <w:color w:val="auto"/>
              </w:rPr>
            </w:pPr>
            <w:r>
              <w:rPr>
                <w:rFonts w:ascii="Arial" w:cs="Arial" w:eastAsia="Arial" w:hAnsi="Arial"/>
                <w:sz w:val="11"/>
                <w:szCs w:val="11"/>
                <w:b w:val="1"/>
                <w:bCs w:val="1"/>
                <w:color w:val="auto"/>
              </w:rPr>
              <w:t>2019</w:t>
            </w:r>
          </w:p>
        </w:tc>
        <w:tc>
          <w:tcPr>
            <w:tcW w:w="12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ind w:right="503"/>
              <w:spacing w:after="0"/>
              <w:rPr>
                <w:sz w:val="20"/>
                <w:szCs w:val="20"/>
                <w:color w:val="auto"/>
              </w:rPr>
            </w:pPr>
            <w:r>
              <w:rPr>
                <w:rFonts w:ascii="Arial" w:cs="Arial" w:eastAsia="Arial" w:hAnsi="Arial"/>
                <w:sz w:val="11"/>
                <w:szCs w:val="11"/>
                <w:b w:val="1"/>
                <w:bCs w:val="1"/>
                <w:color w:val="auto"/>
              </w:rPr>
              <w:t>2018</w:t>
            </w:r>
          </w:p>
        </w:tc>
        <w:tc>
          <w:tcPr>
            <w:tcW w:w="0" w:type="dxa"/>
            <w:vAlign w:val="bottom"/>
          </w:tcPr>
          <w:p>
            <w:pPr>
              <w:spacing w:after="0"/>
              <w:rPr>
                <w:sz w:val="1"/>
                <w:szCs w:val="1"/>
                <w:color w:val="auto"/>
              </w:rPr>
            </w:pPr>
          </w:p>
        </w:tc>
      </w:tr>
      <w:tr>
        <w:trPr>
          <w:trHeight w:val="202"/>
        </w:trPr>
        <w:tc>
          <w:tcPr>
            <w:tcW w:w="15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560" w:type="dxa"/>
            <w:vAlign w:val="bottom"/>
            <w:tcBorders>
              <w:top w:val="single" w:sz="8" w:color="auto"/>
            </w:tcBorders>
            <w:gridSpan w:val="3"/>
          </w:tcPr>
          <w:p>
            <w:pPr>
              <w:jc w:val="right"/>
              <w:ind w:right="123"/>
              <w:spacing w:after="0"/>
              <w:rPr>
                <w:sz w:val="20"/>
                <w:szCs w:val="20"/>
                <w:color w:val="auto"/>
              </w:rPr>
            </w:pPr>
            <w:r>
              <w:rPr>
                <w:rFonts w:ascii="Arial" w:cs="Arial" w:eastAsia="Arial" w:hAnsi="Arial"/>
                <w:sz w:val="11"/>
                <w:szCs w:val="11"/>
                <w:b w:val="1"/>
                <w:bCs w:val="1"/>
                <w:color w:val="auto"/>
              </w:rPr>
              <w:t>(in millions)</w:t>
            </w:r>
          </w:p>
        </w:tc>
        <w:tc>
          <w:tcPr>
            <w:tcW w:w="9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5620" w:type="dxa"/>
            <w:vAlign w:val="bottom"/>
            <w:gridSpan w:val="4"/>
          </w:tcPr>
          <w:p>
            <w:pPr>
              <w:ind w:left="40"/>
              <w:spacing w:after="0"/>
              <w:rPr>
                <w:sz w:val="20"/>
                <w:szCs w:val="20"/>
                <w:color w:val="auto"/>
              </w:rPr>
            </w:pPr>
            <w:r>
              <w:rPr>
                <w:rFonts w:ascii="Arial" w:cs="Arial" w:eastAsia="Arial" w:hAnsi="Arial"/>
                <w:sz w:val="11"/>
                <w:szCs w:val="11"/>
                <w:b w:val="1"/>
                <w:bCs w:val="1"/>
                <w:color w:val="auto"/>
              </w:rPr>
              <w:t>Effects of derivatives not designated as hedging instruments on the income statement:</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7"/>
        </w:trPr>
        <w:tc>
          <w:tcPr>
            <w:tcW w:w="1580" w:type="dxa"/>
            <w:vAlign w:val="bottom"/>
            <w:shd w:val="clear" w:color="auto" w:fill="CCEEFF"/>
          </w:tcPr>
          <w:p>
            <w:pPr>
              <w:ind w:left="40"/>
              <w:spacing w:after="0"/>
              <w:rPr>
                <w:sz w:val="20"/>
                <w:szCs w:val="20"/>
                <w:color w:val="auto"/>
              </w:rPr>
            </w:pPr>
            <w:r>
              <w:rPr>
                <w:rFonts w:ascii="Arial" w:cs="Arial" w:eastAsia="Arial" w:hAnsi="Arial"/>
                <w:sz w:val="11"/>
                <w:szCs w:val="11"/>
                <w:color w:val="auto"/>
              </w:rPr>
              <w:t>Commodity contracts</w:t>
            </w:r>
          </w:p>
        </w:tc>
        <w:tc>
          <w:tcPr>
            <w:tcW w:w="1060" w:type="dxa"/>
            <w:vAlign w:val="bottom"/>
            <w:shd w:val="clear" w:color="auto" w:fill="CCEEFF"/>
          </w:tcPr>
          <w:p>
            <w:pPr>
              <w:spacing w:after="0"/>
              <w:rPr>
                <w:sz w:val="13"/>
                <w:szCs w:val="13"/>
                <w:color w:val="auto"/>
              </w:rPr>
            </w:pPr>
          </w:p>
        </w:tc>
        <w:tc>
          <w:tcPr>
            <w:tcW w:w="298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Gains (losses) in Non-utility revenues</w:t>
            </w:r>
          </w:p>
        </w:tc>
        <w:tc>
          <w:tcPr>
            <w:tcW w:w="320" w:type="dxa"/>
            <w:vAlign w:val="bottom"/>
            <w:vMerge w:val="restart"/>
            <w:shd w:val="clear" w:color="auto" w:fill="CCEEFF"/>
          </w:tcPr>
          <w:p>
            <w:pPr>
              <w:jc w:val="right"/>
              <w:ind w:right="183"/>
              <w:spacing w:after="0"/>
              <w:rPr>
                <w:sz w:val="20"/>
                <w:szCs w:val="20"/>
                <w:color w:val="auto"/>
              </w:rPr>
            </w:pPr>
            <w:r>
              <w:rPr>
                <w:rFonts w:ascii="Arial" w:cs="Arial" w:eastAsia="Arial" w:hAnsi="Arial"/>
                <w:sz w:val="11"/>
                <w:szCs w:val="11"/>
                <w:color w:val="auto"/>
                <w:w w:val="97"/>
              </w:rPr>
              <w:t>$</w:t>
            </w:r>
          </w:p>
        </w:tc>
        <w:tc>
          <w:tcPr>
            <w:tcW w:w="1060" w:type="dxa"/>
            <w:vAlign w:val="bottom"/>
            <w:vMerge w:val="restart"/>
            <w:shd w:val="clear" w:color="auto" w:fill="CCEEFF"/>
          </w:tcPr>
          <w:p>
            <w:pPr>
              <w:jc w:val="right"/>
              <w:ind w:right="63"/>
              <w:spacing w:after="0"/>
              <w:rPr>
                <w:sz w:val="20"/>
                <w:szCs w:val="20"/>
                <w:color w:val="auto"/>
              </w:rPr>
            </w:pPr>
            <w:r>
              <w:rPr>
                <w:rFonts w:ascii="Arial" w:cs="Arial" w:eastAsia="Arial" w:hAnsi="Arial"/>
                <w:sz w:val="11"/>
                <w:szCs w:val="11"/>
                <w:color w:val="auto"/>
              </w:rPr>
              <w:t>69</w:t>
            </w:r>
          </w:p>
        </w:tc>
        <w:tc>
          <w:tcPr>
            <w:tcW w:w="120" w:type="dxa"/>
            <w:vAlign w:val="bottom"/>
            <w:shd w:val="clear" w:color="auto" w:fill="CCEEFF"/>
          </w:tcPr>
          <w:p>
            <w:pPr>
              <w:spacing w:after="0"/>
              <w:rPr>
                <w:sz w:val="13"/>
                <w:szCs w:val="13"/>
                <w:color w:val="auto"/>
              </w:rPr>
            </w:pPr>
          </w:p>
        </w:tc>
        <w:tc>
          <w:tcPr>
            <w:tcW w:w="320" w:type="dxa"/>
            <w:vAlign w:val="bottom"/>
            <w:vMerge w:val="restart"/>
            <w:shd w:val="clear" w:color="auto" w:fill="CCEEFF"/>
          </w:tcPr>
          <w:p>
            <w:pPr>
              <w:jc w:val="right"/>
              <w:ind w:right="183"/>
              <w:spacing w:after="0"/>
              <w:rPr>
                <w:sz w:val="20"/>
                <w:szCs w:val="20"/>
                <w:color w:val="auto"/>
              </w:rPr>
            </w:pPr>
            <w:r>
              <w:rPr>
                <w:rFonts w:ascii="Arial" w:cs="Arial" w:eastAsia="Arial" w:hAnsi="Arial"/>
                <w:sz w:val="11"/>
                <w:szCs w:val="11"/>
                <w:color w:val="auto"/>
                <w:w w:val="97"/>
              </w:rPr>
              <w:t>$</w:t>
            </w:r>
          </w:p>
        </w:tc>
        <w:tc>
          <w:tcPr>
            <w:tcW w:w="1060" w:type="dxa"/>
            <w:vAlign w:val="bottom"/>
            <w:vMerge w:val="restart"/>
            <w:shd w:val="clear" w:color="auto" w:fill="CCEEFF"/>
          </w:tcPr>
          <w:p>
            <w:pPr>
              <w:jc w:val="right"/>
              <w:ind w:right="63"/>
              <w:spacing w:after="0"/>
              <w:rPr>
                <w:sz w:val="20"/>
                <w:szCs w:val="20"/>
                <w:color w:val="auto"/>
              </w:rPr>
            </w:pPr>
            <w:r>
              <w:rPr>
                <w:rFonts w:ascii="Arial" w:cs="Arial" w:eastAsia="Arial" w:hAnsi="Arial"/>
                <w:sz w:val="11"/>
                <w:szCs w:val="11"/>
                <w:color w:val="auto"/>
              </w:rPr>
              <w:t>2</w:t>
            </w:r>
          </w:p>
        </w:tc>
        <w:tc>
          <w:tcPr>
            <w:tcW w:w="100" w:type="dxa"/>
            <w:vAlign w:val="bottom"/>
            <w:shd w:val="clear" w:color="auto" w:fill="CCEEFF"/>
          </w:tcPr>
          <w:p>
            <w:pPr>
              <w:spacing w:after="0"/>
              <w:rPr>
                <w:sz w:val="13"/>
                <w:szCs w:val="13"/>
                <w:color w:val="auto"/>
              </w:rPr>
            </w:pPr>
          </w:p>
        </w:tc>
        <w:tc>
          <w:tcPr>
            <w:tcW w:w="400" w:type="dxa"/>
            <w:vAlign w:val="bottom"/>
            <w:vMerge w:val="restart"/>
            <w:shd w:val="clear" w:color="auto" w:fill="CCEEFF"/>
          </w:tcPr>
          <w:p>
            <w:pPr>
              <w:jc w:val="right"/>
              <w:ind w:right="263"/>
              <w:spacing w:after="0"/>
              <w:rPr>
                <w:sz w:val="20"/>
                <w:szCs w:val="20"/>
                <w:color w:val="auto"/>
              </w:rPr>
            </w:pPr>
            <w:r>
              <w:rPr>
                <w:rFonts w:ascii="Arial" w:cs="Arial" w:eastAsia="Arial" w:hAnsi="Arial"/>
                <w:sz w:val="11"/>
                <w:szCs w:val="11"/>
                <w:color w:val="auto"/>
                <w:w w:val="97"/>
              </w:rPr>
              <w:t>$</w:t>
            </w:r>
          </w:p>
        </w:tc>
        <w:tc>
          <w:tcPr>
            <w:tcW w:w="960" w:type="dxa"/>
            <w:vAlign w:val="bottom"/>
            <w:vMerge w:val="restart"/>
            <w:shd w:val="clear" w:color="auto" w:fill="CCEEFF"/>
          </w:tcPr>
          <w:p>
            <w:pPr>
              <w:jc w:val="right"/>
              <w:ind w:right="43"/>
              <w:spacing w:after="0"/>
              <w:rPr>
                <w:sz w:val="20"/>
                <w:szCs w:val="20"/>
                <w:color w:val="auto"/>
              </w:rPr>
            </w:pPr>
            <w:r>
              <w:rPr>
                <w:rFonts w:ascii="Arial" w:cs="Arial" w:eastAsia="Arial" w:hAnsi="Arial"/>
                <w:sz w:val="11"/>
                <w:szCs w:val="11"/>
                <w:color w:val="auto"/>
              </w:rPr>
              <w:t>159</w:t>
            </w:r>
          </w:p>
        </w:tc>
        <w:tc>
          <w:tcPr>
            <w:tcW w:w="120" w:type="dxa"/>
            <w:vAlign w:val="bottom"/>
            <w:shd w:val="clear" w:color="auto" w:fill="CCEEFF"/>
          </w:tcPr>
          <w:p>
            <w:pPr>
              <w:spacing w:after="0"/>
              <w:rPr>
                <w:sz w:val="13"/>
                <w:szCs w:val="13"/>
                <w:color w:val="auto"/>
              </w:rPr>
            </w:pPr>
          </w:p>
        </w:tc>
        <w:tc>
          <w:tcPr>
            <w:tcW w:w="320" w:type="dxa"/>
            <w:vAlign w:val="bottom"/>
            <w:vMerge w:val="restart"/>
            <w:shd w:val="clear" w:color="auto" w:fill="CCEEFF"/>
          </w:tcPr>
          <w:p>
            <w:pPr>
              <w:jc w:val="right"/>
              <w:ind w:right="183"/>
              <w:spacing w:after="0"/>
              <w:rPr>
                <w:sz w:val="20"/>
                <w:szCs w:val="20"/>
                <w:color w:val="auto"/>
              </w:rPr>
            </w:pPr>
            <w:r>
              <w:rPr>
                <w:rFonts w:ascii="Arial" w:cs="Arial" w:eastAsia="Arial" w:hAnsi="Arial"/>
                <w:sz w:val="11"/>
                <w:szCs w:val="11"/>
                <w:color w:val="auto"/>
                <w:w w:val="97"/>
              </w:rPr>
              <w:t>$</w:t>
            </w:r>
          </w:p>
        </w:tc>
        <w:tc>
          <w:tcPr>
            <w:tcW w:w="1020" w:type="dxa"/>
            <w:vAlign w:val="bottom"/>
            <w:vMerge w:val="restart"/>
            <w:shd w:val="clear" w:color="auto" w:fill="CCEEFF"/>
          </w:tcPr>
          <w:p>
            <w:pPr>
              <w:jc w:val="right"/>
              <w:ind w:right="43"/>
              <w:spacing w:after="0"/>
              <w:rPr>
                <w:sz w:val="20"/>
                <w:szCs w:val="20"/>
                <w:color w:val="auto"/>
              </w:rPr>
            </w:pPr>
            <w:r>
              <w:rPr>
                <w:rFonts w:ascii="Arial" w:cs="Arial" w:eastAsia="Arial" w:hAnsi="Arial"/>
                <w:sz w:val="11"/>
                <w:szCs w:val="11"/>
                <w:color w:val="auto"/>
              </w:rPr>
              <w:t>70</w:t>
            </w:r>
          </w:p>
        </w:tc>
        <w:tc>
          <w:tcPr>
            <w:tcW w:w="0" w:type="dxa"/>
            <w:vAlign w:val="bottom"/>
          </w:tcPr>
          <w:p>
            <w:pPr>
              <w:spacing w:after="0"/>
              <w:rPr>
                <w:sz w:val="1"/>
                <w:szCs w:val="1"/>
                <w:color w:val="auto"/>
              </w:rPr>
            </w:pPr>
          </w:p>
        </w:tc>
      </w:tr>
      <w:tr>
        <w:trPr>
          <w:trHeight w:val="63"/>
        </w:trPr>
        <w:tc>
          <w:tcPr>
            <w:tcW w:w="1580" w:type="dxa"/>
            <w:vAlign w:val="bottom"/>
            <w:shd w:val="clear" w:color="auto" w:fill="CCEEFF"/>
          </w:tcPr>
          <w:p>
            <w:pPr>
              <w:spacing w:after="0"/>
              <w:rPr>
                <w:sz w:val="5"/>
                <w:szCs w:val="5"/>
                <w:color w:val="auto"/>
              </w:rPr>
            </w:pPr>
          </w:p>
        </w:tc>
        <w:tc>
          <w:tcPr>
            <w:tcW w:w="1060" w:type="dxa"/>
            <w:vAlign w:val="bottom"/>
            <w:shd w:val="clear" w:color="auto" w:fill="CCEEFF"/>
          </w:tcPr>
          <w:p>
            <w:pPr>
              <w:spacing w:after="0"/>
              <w:rPr>
                <w:sz w:val="5"/>
                <w:szCs w:val="5"/>
                <w:color w:val="auto"/>
              </w:rPr>
            </w:pPr>
          </w:p>
        </w:tc>
        <w:tc>
          <w:tcPr>
            <w:tcW w:w="28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20" w:type="dxa"/>
            <w:vAlign w:val="bottom"/>
            <w:vMerge w:val="continue"/>
            <w:shd w:val="clear" w:color="auto" w:fill="CCEEFF"/>
          </w:tcPr>
          <w:p>
            <w:pPr>
              <w:spacing w:after="0"/>
              <w:rPr>
                <w:sz w:val="5"/>
                <w:szCs w:val="5"/>
                <w:color w:val="auto"/>
              </w:rPr>
            </w:pPr>
          </w:p>
        </w:tc>
        <w:tc>
          <w:tcPr>
            <w:tcW w:w="106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20" w:type="dxa"/>
            <w:vAlign w:val="bottom"/>
            <w:vMerge w:val="continue"/>
            <w:shd w:val="clear" w:color="auto" w:fill="CCEEFF"/>
          </w:tcPr>
          <w:p>
            <w:pPr>
              <w:spacing w:after="0"/>
              <w:rPr>
                <w:sz w:val="5"/>
                <w:szCs w:val="5"/>
                <w:color w:val="auto"/>
              </w:rPr>
            </w:pPr>
          </w:p>
        </w:tc>
        <w:tc>
          <w:tcPr>
            <w:tcW w:w="106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400" w:type="dxa"/>
            <w:vAlign w:val="bottom"/>
            <w:vMerge w:val="continue"/>
            <w:shd w:val="clear" w:color="auto" w:fill="CCEEFF"/>
          </w:tcPr>
          <w:p>
            <w:pPr>
              <w:spacing w:after="0"/>
              <w:rPr>
                <w:sz w:val="5"/>
                <w:szCs w:val="5"/>
                <w:color w:val="auto"/>
              </w:rPr>
            </w:pPr>
          </w:p>
        </w:tc>
        <w:tc>
          <w:tcPr>
            <w:tcW w:w="96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20" w:type="dxa"/>
            <w:vAlign w:val="bottom"/>
            <w:vMerge w:val="continue"/>
            <w:shd w:val="clear" w:color="auto" w:fill="CCEEFF"/>
          </w:tcPr>
          <w:p>
            <w:pPr>
              <w:spacing w:after="0"/>
              <w:rPr>
                <w:sz w:val="5"/>
                <w:szCs w:val="5"/>
                <w:color w:val="auto"/>
              </w:rPr>
            </w:pPr>
          </w:p>
        </w:tc>
        <w:tc>
          <w:tcPr>
            <w:tcW w:w="10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53"/>
        </w:trPr>
        <w:tc>
          <w:tcPr>
            <w:tcW w:w="1580" w:type="dxa"/>
            <w:vAlign w:val="bottom"/>
          </w:tcPr>
          <w:p>
            <w:pPr>
              <w:ind w:left="40"/>
              <w:spacing w:after="0"/>
              <w:rPr>
                <w:sz w:val="20"/>
                <w:szCs w:val="20"/>
                <w:color w:val="auto"/>
              </w:rPr>
            </w:pPr>
            <w:r>
              <w:rPr>
                <w:rFonts w:ascii="Arial" w:cs="Arial" w:eastAsia="Arial" w:hAnsi="Arial"/>
                <w:sz w:val="11"/>
                <w:szCs w:val="11"/>
                <w:color w:val="auto"/>
                <w:w w:val="93"/>
              </w:rPr>
              <w:t>Indexed debt securities derivative</w:t>
            </w:r>
          </w:p>
        </w:tc>
        <w:tc>
          <w:tcPr>
            <w:tcW w:w="1060" w:type="dxa"/>
            <w:vAlign w:val="bottom"/>
          </w:tcPr>
          <w:p>
            <w:pPr>
              <w:spacing w:after="0"/>
              <w:rPr>
                <w:sz w:val="13"/>
                <w:szCs w:val="13"/>
                <w:color w:val="auto"/>
              </w:rPr>
            </w:pPr>
          </w:p>
        </w:tc>
        <w:tc>
          <w:tcPr>
            <w:tcW w:w="2980" w:type="dxa"/>
            <w:vAlign w:val="bottom"/>
            <w:gridSpan w:val="2"/>
          </w:tcPr>
          <w:p>
            <w:pPr>
              <w:ind w:left="20"/>
              <w:spacing w:after="0"/>
              <w:rPr>
                <w:sz w:val="20"/>
                <w:szCs w:val="20"/>
                <w:color w:val="auto"/>
              </w:rPr>
            </w:pPr>
            <w:r>
              <w:rPr>
                <w:rFonts w:ascii="Arial" w:cs="Arial" w:eastAsia="Arial" w:hAnsi="Arial"/>
                <w:sz w:val="11"/>
                <w:szCs w:val="11"/>
                <w:color w:val="auto"/>
              </w:rPr>
              <w:t>Loss on indexed debt securities</w:t>
            </w:r>
          </w:p>
        </w:tc>
        <w:tc>
          <w:tcPr>
            <w:tcW w:w="320" w:type="dxa"/>
            <w:vAlign w:val="bottom"/>
          </w:tcPr>
          <w:p>
            <w:pPr>
              <w:spacing w:after="0"/>
              <w:rPr>
                <w:sz w:val="13"/>
                <w:szCs w:val="13"/>
                <w:color w:val="auto"/>
              </w:rPr>
            </w:pPr>
          </w:p>
        </w:tc>
        <w:tc>
          <w:tcPr>
            <w:tcW w:w="1060" w:type="dxa"/>
            <w:vAlign w:val="bottom"/>
            <w:vMerge w:val="restart"/>
          </w:tcPr>
          <w:p>
            <w:pPr>
              <w:jc w:val="right"/>
              <w:ind w:right="23"/>
              <w:spacing w:after="0"/>
              <w:rPr>
                <w:sz w:val="20"/>
                <w:szCs w:val="20"/>
                <w:color w:val="auto"/>
              </w:rPr>
            </w:pPr>
            <w:r>
              <w:rPr>
                <w:rFonts w:ascii="Arial" w:cs="Arial" w:eastAsia="Arial" w:hAnsi="Arial"/>
                <w:sz w:val="11"/>
                <w:szCs w:val="11"/>
                <w:color w:val="auto"/>
              </w:rPr>
              <w:t>(62)</w:t>
            </w: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vMerge w:val="restart"/>
          </w:tcPr>
          <w:p>
            <w:pPr>
              <w:jc w:val="right"/>
              <w:ind w:right="23"/>
              <w:spacing w:after="0"/>
              <w:rPr>
                <w:sz w:val="20"/>
                <w:szCs w:val="20"/>
                <w:color w:val="auto"/>
              </w:rPr>
            </w:pPr>
            <w:r>
              <w:rPr>
                <w:rFonts w:ascii="Arial" w:cs="Arial" w:eastAsia="Arial" w:hAnsi="Arial"/>
                <w:sz w:val="11"/>
                <w:szCs w:val="11"/>
                <w:color w:val="auto"/>
              </w:rPr>
              <w:t>(44)</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60" w:type="dxa"/>
            <w:vAlign w:val="bottom"/>
            <w:vMerge w:val="restart"/>
          </w:tcPr>
          <w:p>
            <w:pPr>
              <w:jc w:val="right"/>
              <w:ind w:right="3"/>
              <w:spacing w:after="0"/>
              <w:rPr>
                <w:sz w:val="20"/>
                <w:szCs w:val="20"/>
                <w:color w:val="auto"/>
              </w:rPr>
            </w:pPr>
            <w:r>
              <w:rPr>
                <w:rFonts w:ascii="Arial" w:cs="Arial" w:eastAsia="Arial" w:hAnsi="Arial"/>
                <w:sz w:val="11"/>
                <w:szCs w:val="11"/>
                <w:color w:val="auto"/>
              </w:rPr>
              <w:t>(216)</w:t>
            </w: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vMerge w:val="restart"/>
          </w:tcPr>
          <w:p>
            <w:pPr>
              <w:jc w:val="right"/>
              <w:ind w:right="3"/>
              <w:spacing w:after="0"/>
              <w:rPr>
                <w:sz w:val="20"/>
                <w:szCs w:val="20"/>
                <w:color w:val="auto"/>
              </w:rPr>
            </w:pPr>
            <w:r>
              <w:rPr>
                <w:rFonts w:ascii="Arial" w:cs="Arial" w:eastAsia="Arial" w:hAnsi="Arial"/>
                <w:sz w:val="11"/>
                <w:szCs w:val="11"/>
                <w:color w:val="auto"/>
              </w:rPr>
              <w:t>(316)</w:t>
            </w:r>
          </w:p>
        </w:tc>
        <w:tc>
          <w:tcPr>
            <w:tcW w:w="0" w:type="dxa"/>
            <w:vAlign w:val="bottom"/>
          </w:tcPr>
          <w:p>
            <w:pPr>
              <w:spacing w:after="0"/>
              <w:rPr>
                <w:sz w:val="1"/>
                <w:szCs w:val="1"/>
                <w:color w:val="auto"/>
              </w:rPr>
            </w:pPr>
          </w:p>
        </w:tc>
      </w:tr>
      <w:tr>
        <w:trPr>
          <w:trHeight w:val="58"/>
        </w:trPr>
        <w:tc>
          <w:tcPr>
            <w:tcW w:w="1580" w:type="dxa"/>
            <w:vAlign w:val="bottom"/>
            <w:tcBorders>
              <w:bottom w:val="single" w:sz="8" w:color="CCEEFF"/>
            </w:tcBorders>
          </w:tcPr>
          <w:p>
            <w:pPr>
              <w:spacing w:after="0"/>
              <w:rPr>
                <w:sz w:val="5"/>
                <w:szCs w:val="5"/>
                <w:color w:val="auto"/>
              </w:rPr>
            </w:pPr>
          </w:p>
        </w:tc>
        <w:tc>
          <w:tcPr>
            <w:tcW w:w="1060" w:type="dxa"/>
            <w:vAlign w:val="bottom"/>
            <w:tcBorders>
              <w:bottom w:val="single" w:sz="8" w:color="CCEEFF"/>
            </w:tcBorders>
          </w:tcPr>
          <w:p>
            <w:pPr>
              <w:spacing w:after="0"/>
              <w:rPr>
                <w:sz w:val="5"/>
                <w:szCs w:val="5"/>
                <w:color w:val="auto"/>
              </w:rPr>
            </w:pPr>
          </w:p>
        </w:tc>
        <w:tc>
          <w:tcPr>
            <w:tcW w:w="286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vMerge w:val="continue"/>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vMerge w:val="continue"/>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1580" w:type="dxa"/>
            <w:vAlign w:val="bottom"/>
            <w:tcBorders>
              <w:bottom w:val="single" w:sz="8" w:color="CCEEFF"/>
            </w:tcBorders>
            <w:shd w:val="clear" w:color="auto" w:fill="CCEEFF"/>
          </w:tcPr>
          <w:p>
            <w:pPr>
              <w:spacing w:after="0"/>
              <w:rPr>
                <w:sz w:val="16"/>
                <w:szCs w:val="16"/>
                <w:color w:val="auto"/>
              </w:rPr>
            </w:pPr>
          </w:p>
        </w:tc>
        <w:tc>
          <w:tcPr>
            <w:tcW w:w="40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1"/>
                <w:szCs w:val="11"/>
                <w:b w:val="1"/>
                <w:bCs w:val="1"/>
                <w:color w:val="auto"/>
              </w:rPr>
              <w:t>Total CenterPoint Energy</w:t>
            </w:r>
          </w:p>
        </w:tc>
        <w:tc>
          <w:tcPr>
            <w:tcW w:w="320" w:type="dxa"/>
            <w:vAlign w:val="bottom"/>
            <w:tcBorders>
              <w:bottom w:val="single" w:sz="8" w:color="auto"/>
            </w:tcBorders>
            <w:shd w:val="clear" w:color="auto" w:fill="CCEEFF"/>
          </w:tcPr>
          <w:p>
            <w:pPr>
              <w:jc w:val="right"/>
              <w:ind w:right="183"/>
              <w:spacing w:after="0"/>
              <w:rPr>
                <w:sz w:val="20"/>
                <w:szCs w:val="20"/>
                <w:color w:val="auto"/>
              </w:rPr>
            </w:pPr>
            <w:r>
              <w:rPr>
                <w:rFonts w:ascii="Arial" w:cs="Arial" w:eastAsia="Arial" w:hAnsi="Arial"/>
                <w:sz w:val="11"/>
                <w:szCs w:val="11"/>
                <w:color w:val="auto"/>
                <w:w w:val="97"/>
              </w:rPr>
              <w:t>$</w:t>
            </w:r>
          </w:p>
        </w:tc>
        <w:tc>
          <w:tcPr>
            <w:tcW w:w="106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color w:val="auto"/>
              </w:rPr>
              <w:t>7</w:t>
            </w:r>
          </w:p>
        </w:tc>
        <w:tc>
          <w:tcPr>
            <w:tcW w:w="1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83"/>
              <w:spacing w:after="0"/>
              <w:rPr>
                <w:sz w:val="20"/>
                <w:szCs w:val="20"/>
                <w:color w:val="auto"/>
              </w:rPr>
            </w:pPr>
            <w:r>
              <w:rPr>
                <w:rFonts w:ascii="Arial" w:cs="Arial" w:eastAsia="Arial" w:hAnsi="Arial"/>
                <w:sz w:val="11"/>
                <w:szCs w:val="11"/>
                <w:color w:val="auto"/>
                <w:w w:val="97"/>
              </w:rPr>
              <w:t>$</w:t>
            </w:r>
          </w:p>
        </w:tc>
        <w:tc>
          <w:tcPr>
            <w:tcW w:w="106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1"/>
                <w:szCs w:val="11"/>
                <w:color w:val="auto"/>
              </w:rPr>
              <w:t>(42)</w:t>
            </w:r>
          </w:p>
        </w:tc>
        <w:tc>
          <w:tcPr>
            <w:tcW w:w="1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jc w:val="right"/>
              <w:ind w:right="263"/>
              <w:spacing w:after="0"/>
              <w:rPr>
                <w:sz w:val="20"/>
                <w:szCs w:val="20"/>
                <w:color w:val="auto"/>
              </w:rPr>
            </w:pPr>
            <w:r>
              <w:rPr>
                <w:rFonts w:ascii="Arial" w:cs="Arial" w:eastAsia="Arial" w:hAnsi="Arial"/>
                <w:sz w:val="11"/>
                <w:szCs w:val="11"/>
                <w:color w:val="auto"/>
                <w:w w:val="97"/>
              </w:rPr>
              <w:t>$</w:t>
            </w:r>
          </w:p>
        </w:tc>
        <w:tc>
          <w:tcPr>
            <w:tcW w:w="9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(57)</w:t>
            </w:r>
          </w:p>
        </w:tc>
        <w:tc>
          <w:tcPr>
            <w:tcW w:w="1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83"/>
              <w:spacing w:after="0"/>
              <w:rPr>
                <w:sz w:val="20"/>
                <w:szCs w:val="20"/>
                <w:color w:val="auto"/>
              </w:rPr>
            </w:pPr>
            <w:r>
              <w:rPr>
                <w:rFonts w:ascii="Arial" w:cs="Arial" w:eastAsia="Arial" w:hAnsi="Arial"/>
                <w:sz w:val="11"/>
                <w:szCs w:val="11"/>
                <w:color w:val="auto"/>
                <w:w w:val="97"/>
              </w:rPr>
              <w:t>$</w:t>
            </w:r>
          </w:p>
        </w:tc>
        <w:tc>
          <w:tcPr>
            <w:tcW w:w="10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(246)</w:t>
            </w:r>
          </w:p>
        </w:tc>
        <w:tc>
          <w:tcPr>
            <w:tcW w:w="0" w:type="dxa"/>
            <w:vAlign w:val="bottom"/>
          </w:tcPr>
          <w:p>
            <w:pPr>
              <w:spacing w:after="0"/>
              <w:rPr>
                <w:sz w:val="1"/>
                <w:szCs w:val="1"/>
                <w:color w:val="auto"/>
              </w:rPr>
            </w:pPr>
          </w:p>
        </w:tc>
      </w:tr>
      <w:tr>
        <w:trPr>
          <w:trHeight w:val="20"/>
        </w:trPr>
        <w:tc>
          <w:tcPr>
            <w:tcW w:w="15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0"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CERC</w:t>
      </w:r>
    </w:p>
    <w:p>
      <w:pPr>
        <w:spacing w:after="0" w:line="192" w:lineRule="exact"/>
        <w:rPr>
          <w:sz w:val="20"/>
          <w:szCs w:val="20"/>
          <w:color w:val="auto"/>
        </w:rPr>
      </w:pPr>
    </w:p>
    <w:tbl>
      <w:tblPr>
        <w:tblLayout w:type="fixed"/>
        <w:tblInd w:w="2460" w:type="dxa"/>
        <w:tblCellMar>
          <w:top w:w="0" w:type="dxa"/>
          <w:left w:w="0" w:type="dxa"/>
          <w:bottom w:w="0" w:type="dxa"/>
          <w:right w:w="0" w:type="dxa"/>
        </w:tblCellMar>
      </w:tblPr>
      <w:tr>
        <w:trPr>
          <w:trHeight w:val="153"/>
        </w:trPr>
        <w:tc>
          <w:tcPr>
            <w:tcW w:w="3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80" w:type="dxa"/>
            <w:vAlign w:val="bottom"/>
            <w:tcBorders>
              <w:bottom w:val="single" w:sz="8" w:color="auto"/>
            </w:tcBorders>
            <w:gridSpan w:val="2"/>
          </w:tcPr>
          <w:p>
            <w:pPr>
              <w:ind w:left="560"/>
              <w:spacing w:after="0"/>
              <w:rPr>
                <w:sz w:val="20"/>
                <w:szCs w:val="20"/>
                <w:color w:val="auto"/>
              </w:rPr>
            </w:pPr>
            <w:r>
              <w:rPr>
                <w:rFonts w:ascii="Arial" w:cs="Arial" w:eastAsia="Arial" w:hAnsi="Arial"/>
                <w:sz w:val="11"/>
                <w:szCs w:val="11"/>
                <w:b w:val="1"/>
                <w:bCs w:val="1"/>
                <w:color w:val="auto"/>
              </w:rPr>
              <w:t>Three Months Ended September 30,</w:t>
            </w:r>
          </w:p>
        </w:tc>
        <w:tc>
          <w:tcPr>
            <w:tcW w:w="4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820" w:type="dxa"/>
            <w:vAlign w:val="bottom"/>
            <w:tcBorders>
              <w:bottom w:val="single" w:sz="8" w:color="auto"/>
            </w:tcBorders>
            <w:gridSpan w:val="2"/>
          </w:tcPr>
          <w:p>
            <w:pPr>
              <w:ind w:left="560"/>
              <w:spacing w:after="0"/>
              <w:rPr>
                <w:sz w:val="20"/>
                <w:szCs w:val="20"/>
                <w:color w:val="auto"/>
              </w:rPr>
            </w:pPr>
            <w:r>
              <w:rPr>
                <w:rFonts w:ascii="Arial" w:cs="Arial" w:eastAsia="Arial" w:hAnsi="Arial"/>
                <w:sz w:val="11"/>
                <w:szCs w:val="11"/>
                <w:b w:val="1"/>
                <w:bCs w:val="1"/>
                <w:color w:val="auto"/>
              </w:rPr>
              <w:t>Nine Months Ended September 30,</w:t>
            </w:r>
          </w:p>
        </w:tc>
      </w:tr>
      <w:tr>
        <w:trPr>
          <w:trHeight w:val="206"/>
        </w:trPr>
        <w:tc>
          <w:tcPr>
            <w:tcW w:w="3200" w:type="dxa"/>
            <w:vAlign w:val="bottom"/>
            <w:gridSpan w:val="2"/>
          </w:tcPr>
          <w:p>
            <w:pPr>
              <w:ind w:left="860"/>
              <w:spacing w:after="0"/>
              <w:rPr>
                <w:sz w:val="20"/>
                <w:szCs w:val="20"/>
                <w:color w:val="auto"/>
              </w:rPr>
            </w:pPr>
            <w:r>
              <w:rPr>
                <w:rFonts w:ascii="Arial" w:cs="Arial" w:eastAsia="Arial" w:hAnsi="Arial"/>
                <w:sz w:val="11"/>
                <w:szCs w:val="11"/>
                <w:b w:val="1"/>
                <w:bCs w:val="1"/>
                <w:color w:val="auto"/>
              </w:rPr>
              <w:t>Income Statement Location</w:t>
            </w:r>
          </w:p>
        </w:tc>
        <w:tc>
          <w:tcPr>
            <w:tcW w:w="1440" w:type="dxa"/>
            <w:vAlign w:val="bottom"/>
          </w:tcPr>
          <w:p>
            <w:pPr>
              <w:ind w:left="560"/>
              <w:spacing w:after="0"/>
              <w:rPr>
                <w:sz w:val="20"/>
                <w:szCs w:val="20"/>
                <w:color w:val="auto"/>
              </w:rPr>
            </w:pPr>
            <w:r>
              <w:rPr>
                <w:rFonts w:ascii="Arial" w:cs="Arial" w:eastAsia="Arial" w:hAnsi="Arial"/>
                <w:sz w:val="11"/>
                <w:szCs w:val="11"/>
                <w:b w:val="1"/>
                <w:bCs w:val="1"/>
                <w:color w:val="auto"/>
              </w:rPr>
              <w:t>2019</w:t>
            </w:r>
          </w:p>
        </w:tc>
        <w:tc>
          <w:tcPr>
            <w:tcW w:w="1040" w:type="dxa"/>
            <w:vAlign w:val="bottom"/>
          </w:tcPr>
          <w:p>
            <w:pPr>
              <w:jc w:val="right"/>
              <w:ind w:right="123"/>
              <w:spacing w:after="0"/>
              <w:rPr>
                <w:sz w:val="20"/>
                <w:szCs w:val="20"/>
                <w:color w:val="auto"/>
              </w:rPr>
            </w:pPr>
            <w:r>
              <w:rPr>
                <w:rFonts w:ascii="Arial" w:cs="Arial" w:eastAsia="Arial" w:hAnsi="Arial"/>
                <w:sz w:val="11"/>
                <w:szCs w:val="11"/>
                <w:b w:val="1"/>
                <w:bCs w:val="1"/>
                <w:color w:val="auto"/>
              </w:rPr>
              <w:t>2018</w:t>
            </w:r>
          </w:p>
        </w:tc>
        <w:tc>
          <w:tcPr>
            <w:tcW w:w="1920" w:type="dxa"/>
            <w:vAlign w:val="bottom"/>
            <w:gridSpan w:val="3"/>
          </w:tcPr>
          <w:p>
            <w:pPr>
              <w:ind w:left="1080"/>
              <w:spacing w:after="0"/>
              <w:rPr>
                <w:sz w:val="20"/>
                <w:szCs w:val="20"/>
                <w:color w:val="auto"/>
              </w:rPr>
            </w:pPr>
            <w:r>
              <w:rPr>
                <w:rFonts w:ascii="Arial" w:cs="Arial" w:eastAsia="Arial" w:hAnsi="Arial"/>
                <w:sz w:val="11"/>
                <w:szCs w:val="11"/>
                <w:b w:val="1"/>
                <w:bCs w:val="1"/>
                <w:color w:val="auto"/>
              </w:rPr>
              <w:t>2019</w:t>
            </w:r>
          </w:p>
        </w:tc>
        <w:tc>
          <w:tcPr>
            <w:tcW w:w="1400" w:type="dxa"/>
            <w:vAlign w:val="bottom"/>
          </w:tcPr>
          <w:p>
            <w:pPr>
              <w:jc w:val="right"/>
              <w:ind w:right="503"/>
              <w:spacing w:after="0"/>
              <w:rPr>
                <w:sz w:val="20"/>
                <w:szCs w:val="20"/>
                <w:color w:val="auto"/>
              </w:rPr>
            </w:pPr>
            <w:r>
              <w:rPr>
                <w:rFonts w:ascii="Arial" w:cs="Arial" w:eastAsia="Arial" w:hAnsi="Arial"/>
                <w:sz w:val="11"/>
                <w:szCs w:val="11"/>
                <w:b w:val="1"/>
                <w:bCs w:val="1"/>
                <w:color w:val="auto"/>
              </w:rPr>
              <w:t>2018</w:t>
            </w:r>
          </w:p>
        </w:tc>
      </w:tr>
      <w:tr>
        <w:trPr>
          <w:trHeight w:val="202"/>
        </w:trPr>
        <w:tc>
          <w:tcPr>
            <w:tcW w:w="30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920" w:type="dxa"/>
            <w:vAlign w:val="bottom"/>
            <w:tcBorders>
              <w:top w:val="single" w:sz="8" w:color="auto"/>
            </w:tcBorders>
            <w:gridSpan w:val="3"/>
          </w:tcPr>
          <w:p>
            <w:pPr>
              <w:ind w:left="140"/>
              <w:spacing w:after="0"/>
              <w:rPr>
                <w:sz w:val="20"/>
                <w:szCs w:val="20"/>
                <w:color w:val="auto"/>
              </w:rPr>
            </w:pPr>
            <w:r>
              <w:rPr>
                <w:rFonts w:ascii="Arial" w:cs="Arial" w:eastAsia="Arial" w:hAnsi="Arial"/>
                <w:sz w:val="11"/>
                <w:szCs w:val="11"/>
                <w:b w:val="1"/>
                <w:bCs w:val="1"/>
                <w:color w:val="auto"/>
              </w:rPr>
              <w:t>(in millions)</w:t>
            </w:r>
          </w:p>
        </w:tc>
        <w:tc>
          <w:tcPr>
            <w:tcW w:w="1400" w:type="dxa"/>
            <w:vAlign w:val="bottom"/>
            <w:tcBorders>
              <w:top w:val="single" w:sz="8" w:color="auto"/>
            </w:tcBorders>
          </w:tcPr>
          <w:p>
            <w:pPr>
              <w:spacing w:after="0"/>
              <w:rPr>
                <w:sz w:val="17"/>
                <w:szCs w:val="17"/>
                <w:color w:val="auto"/>
              </w:rPr>
            </w:pPr>
          </w:p>
        </w:tc>
      </w:tr>
    </w:tbl>
    <w:p>
      <w:pPr>
        <w:spacing w:after="0" w:line="67" w:lineRule="exact"/>
        <w:rPr>
          <w:sz w:val="20"/>
          <w:szCs w:val="20"/>
          <w:color w:val="auto"/>
        </w:rPr>
      </w:pPr>
    </w:p>
    <w:p>
      <w:pPr>
        <w:ind w:left="80"/>
        <w:spacing w:after="0"/>
        <w:rPr>
          <w:sz w:val="20"/>
          <w:szCs w:val="20"/>
          <w:color w:val="auto"/>
        </w:rPr>
      </w:pPr>
      <w:r>
        <w:rPr>
          <w:rFonts w:ascii="Arial" w:cs="Arial" w:eastAsia="Arial" w:hAnsi="Arial"/>
          <w:sz w:val="11"/>
          <w:szCs w:val="11"/>
          <w:b w:val="1"/>
          <w:bCs w:val="1"/>
          <w:color w:val="auto"/>
        </w:rPr>
        <w:t>Effects of derivatives not designated as hedging instruments on the income statement:</w:t>
      </w:r>
    </w:p>
    <w:p>
      <w:pPr>
        <w:spacing w:after="0" w:line="42" w:lineRule="exact"/>
        <w:rPr>
          <w:sz w:val="20"/>
          <w:szCs w:val="20"/>
          <w:color w:val="auto"/>
        </w:rPr>
      </w:pPr>
    </w:p>
    <w:tbl>
      <w:tblPr>
        <w:tblLayout w:type="fixed"/>
        <w:tblInd w:w="40" w:type="dxa"/>
        <w:tblCellMar>
          <w:top w:w="0" w:type="dxa"/>
          <w:left w:w="0" w:type="dxa"/>
          <w:bottom w:w="0" w:type="dxa"/>
          <w:right w:w="0" w:type="dxa"/>
        </w:tblCellMar>
      </w:tblPr>
      <w:tr>
        <w:trPr>
          <w:trHeight w:val="200"/>
        </w:trPr>
        <w:tc>
          <w:tcPr>
            <w:tcW w:w="2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Commodity contracts</w:t>
            </w:r>
          </w:p>
        </w:tc>
        <w:tc>
          <w:tcPr>
            <w:tcW w:w="33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1"/>
                <w:szCs w:val="11"/>
                <w:color w:val="auto"/>
              </w:rPr>
              <w:t>Gains (losses) in Non-utility revenues</w:t>
            </w:r>
          </w:p>
        </w:tc>
        <w:tc>
          <w:tcPr>
            <w:tcW w:w="600" w:type="dxa"/>
            <w:vAlign w:val="bottom"/>
            <w:tcBorders>
              <w:bottom w:val="single" w:sz="8" w:color="CCEEFF"/>
            </w:tcBorders>
            <w:shd w:val="clear" w:color="auto" w:fill="CCEEFF"/>
          </w:tcPr>
          <w:p>
            <w:pPr>
              <w:jc w:val="right"/>
              <w:ind w:right="463"/>
              <w:spacing w:after="0"/>
              <w:rPr>
                <w:sz w:val="20"/>
                <w:szCs w:val="20"/>
                <w:color w:val="auto"/>
              </w:rPr>
            </w:pPr>
            <w:r>
              <w:rPr>
                <w:rFonts w:ascii="Arial" w:cs="Arial" w:eastAsia="Arial" w:hAnsi="Arial"/>
                <w:sz w:val="11"/>
                <w:szCs w:val="11"/>
                <w:color w:val="auto"/>
                <w:w w:val="97"/>
              </w:rPr>
              <w:t>$</w:t>
            </w:r>
          </w:p>
        </w:tc>
        <w:tc>
          <w:tcPr>
            <w:tcW w:w="78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1"/>
                <w:szCs w:val="11"/>
                <w:color w:val="auto"/>
              </w:rPr>
              <w:t>69</w:t>
            </w:r>
          </w:p>
        </w:tc>
        <w:tc>
          <w:tcPr>
            <w:tcW w:w="12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ind w:right="503"/>
              <w:spacing w:after="0"/>
              <w:rPr>
                <w:sz w:val="20"/>
                <w:szCs w:val="20"/>
                <w:color w:val="auto"/>
              </w:rPr>
            </w:pPr>
            <w:r>
              <w:rPr>
                <w:rFonts w:ascii="Arial" w:cs="Arial" w:eastAsia="Arial" w:hAnsi="Arial"/>
                <w:sz w:val="11"/>
                <w:szCs w:val="11"/>
                <w:color w:val="auto"/>
                <w:w w:val="97"/>
              </w:rPr>
              <w:t>$</w:t>
            </w:r>
          </w:p>
        </w:tc>
        <w:tc>
          <w:tcPr>
            <w:tcW w:w="74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1"/>
                <w:szCs w:val="11"/>
                <w:color w:val="auto"/>
              </w:rPr>
              <w:t>2</w:t>
            </w:r>
          </w:p>
        </w:tc>
        <w:tc>
          <w:tcPr>
            <w:tcW w:w="1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ind w:right="443"/>
              <w:spacing w:after="0"/>
              <w:rPr>
                <w:sz w:val="20"/>
                <w:szCs w:val="20"/>
                <w:color w:val="auto"/>
              </w:rPr>
            </w:pPr>
            <w:r>
              <w:rPr>
                <w:rFonts w:ascii="Arial" w:cs="Arial" w:eastAsia="Arial" w:hAnsi="Arial"/>
                <w:sz w:val="11"/>
                <w:szCs w:val="11"/>
                <w:color w:val="auto"/>
                <w:w w:val="97"/>
              </w:rPr>
              <w:t>$</w:t>
            </w:r>
          </w:p>
        </w:tc>
        <w:tc>
          <w:tcPr>
            <w:tcW w:w="7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1"/>
                <w:szCs w:val="11"/>
                <w:color w:val="auto"/>
              </w:rPr>
              <w:t>159</w:t>
            </w:r>
          </w:p>
        </w:tc>
        <w:tc>
          <w:tcPr>
            <w:tcW w:w="12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ind w:right="463"/>
              <w:spacing w:after="0"/>
              <w:rPr>
                <w:sz w:val="20"/>
                <w:szCs w:val="20"/>
                <w:color w:val="auto"/>
              </w:rPr>
            </w:pPr>
            <w:r>
              <w:rPr>
                <w:rFonts w:ascii="Arial" w:cs="Arial" w:eastAsia="Arial" w:hAnsi="Arial"/>
                <w:sz w:val="11"/>
                <w:szCs w:val="11"/>
                <w:color w:val="auto"/>
                <w:w w:val="97"/>
              </w:rPr>
              <w:t>$</w:t>
            </w:r>
          </w:p>
        </w:tc>
        <w:tc>
          <w:tcPr>
            <w:tcW w:w="7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1"/>
                <w:szCs w:val="11"/>
                <w:color w:val="auto"/>
              </w:rPr>
              <w:t>70</w:t>
            </w:r>
          </w:p>
        </w:tc>
      </w:tr>
      <w:tr>
        <w:trPr>
          <w:trHeight w:val="189"/>
        </w:trPr>
        <w:tc>
          <w:tcPr>
            <w:tcW w:w="2320" w:type="dxa"/>
            <w:vAlign w:val="bottom"/>
          </w:tcPr>
          <w:p>
            <w:pPr>
              <w:ind w:left="1580"/>
              <w:spacing w:after="0"/>
              <w:rPr>
                <w:sz w:val="20"/>
                <w:szCs w:val="20"/>
                <w:color w:val="auto"/>
              </w:rPr>
            </w:pPr>
            <w:r>
              <w:rPr>
                <w:rFonts w:ascii="Arial" w:cs="Arial" w:eastAsia="Arial" w:hAnsi="Arial"/>
                <w:sz w:val="11"/>
                <w:szCs w:val="11"/>
                <w:b w:val="1"/>
                <w:bCs w:val="1"/>
                <w:color w:val="auto"/>
              </w:rPr>
              <w:t>Total CERC</w:t>
            </w:r>
          </w:p>
        </w:tc>
        <w:tc>
          <w:tcPr>
            <w:tcW w:w="3300" w:type="dxa"/>
            <w:vAlign w:val="bottom"/>
          </w:tcPr>
          <w:p>
            <w:pPr>
              <w:spacing w:after="0"/>
              <w:rPr>
                <w:sz w:val="16"/>
                <w:szCs w:val="16"/>
                <w:color w:val="auto"/>
              </w:rPr>
            </w:pPr>
          </w:p>
        </w:tc>
        <w:tc>
          <w:tcPr>
            <w:tcW w:w="600" w:type="dxa"/>
            <w:vAlign w:val="bottom"/>
            <w:tcBorders>
              <w:top w:val="single" w:sz="8" w:color="auto"/>
              <w:bottom w:val="single" w:sz="8" w:color="auto"/>
            </w:tcBorders>
          </w:tcPr>
          <w:p>
            <w:pPr>
              <w:jc w:val="right"/>
              <w:ind w:right="463"/>
              <w:spacing w:after="0"/>
              <w:rPr>
                <w:sz w:val="20"/>
                <w:szCs w:val="20"/>
                <w:color w:val="auto"/>
              </w:rPr>
            </w:pPr>
            <w:r>
              <w:rPr>
                <w:rFonts w:ascii="Arial" w:cs="Arial" w:eastAsia="Arial" w:hAnsi="Arial"/>
                <w:sz w:val="11"/>
                <w:szCs w:val="11"/>
                <w:color w:val="auto"/>
                <w:w w:val="97"/>
              </w:rPr>
              <w:t>$</w:t>
            </w:r>
          </w:p>
        </w:tc>
        <w:tc>
          <w:tcPr>
            <w:tcW w:w="780" w:type="dxa"/>
            <w:vAlign w:val="bottom"/>
            <w:tcBorders>
              <w:top w:val="single" w:sz="8" w:color="auto"/>
              <w:bottom w:val="single" w:sz="8" w:color="auto"/>
            </w:tcBorders>
          </w:tcPr>
          <w:p>
            <w:pPr>
              <w:jc w:val="right"/>
              <w:ind w:right="63"/>
              <w:spacing w:after="0"/>
              <w:rPr>
                <w:sz w:val="20"/>
                <w:szCs w:val="20"/>
                <w:color w:val="auto"/>
              </w:rPr>
            </w:pPr>
            <w:r>
              <w:rPr>
                <w:rFonts w:ascii="Arial" w:cs="Arial" w:eastAsia="Arial" w:hAnsi="Arial"/>
                <w:sz w:val="11"/>
                <w:szCs w:val="11"/>
                <w:color w:val="auto"/>
              </w:rPr>
              <w:t>69</w:t>
            </w:r>
          </w:p>
        </w:tc>
        <w:tc>
          <w:tcPr>
            <w:tcW w:w="120" w:type="dxa"/>
            <w:vAlign w:val="bottom"/>
          </w:tcPr>
          <w:p>
            <w:pPr>
              <w:spacing w:after="0"/>
              <w:rPr>
                <w:sz w:val="16"/>
                <w:szCs w:val="16"/>
                <w:color w:val="auto"/>
              </w:rPr>
            </w:pPr>
          </w:p>
        </w:tc>
        <w:tc>
          <w:tcPr>
            <w:tcW w:w="640" w:type="dxa"/>
            <w:vAlign w:val="bottom"/>
            <w:tcBorders>
              <w:top w:val="single" w:sz="8" w:color="auto"/>
              <w:bottom w:val="single" w:sz="8" w:color="auto"/>
            </w:tcBorders>
          </w:tcPr>
          <w:p>
            <w:pPr>
              <w:jc w:val="right"/>
              <w:ind w:right="503"/>
              <w:spacing w:after="0"/>
              <w:rPr>
                <w:sz w:val="20"/>
                <w:szCs w:val="20"/>
                <w:color w:val="auto"/>
              </w:rPr>
            </w:pPr>
            <w:r>
              <w:rPr>
                <w:rFonts w:ascii="Arial" w:cs="Arial" w:eastAsia="Arial" w:hAnsi="Arial"/>
                <w:sz w:val="11"/>
                <w:szCs w:val="11"/>
                <w:color w:val="auto"/>
                <w:w w:val="97"/>
              </w:rPr>
              <w:t>$</w:t>
            </w:r>
          </w:p>
        </w:tc>
        <w:tc>
          <w:tcPr>
            <w:tcW w:w="740" w:type="dxa"/>
            <w:vAlign w:val="bottom"/>
            <w:tcBorders>
              <w:top w:val="single" w:sz="8" w:color="auto"/>
              <w:bottom w:val="single" w:sz="8" w:color="auto"/>
            </w:tcBorders>
          </w:tcPr>
          <w:p>
            <w:pPr>
              <w:jc w:val="right"/>
              <w:ind w:right="63"/>
              <w:spacing w:after="0"/>
              <w:rPr>
                <w:sz w:val="20"/>
                <w:szCs w:val="20"/>
                <w:color w:val="auto"/>
              </w:rPr>
            </w:pPr>
            <w:r>
              <w:rPr>
                <w:rFonts w:ascii="Arial" w:cs="Arial" w:eastAsia="Arial" w:hAnsi="Arial"/>
                <w:sz w:val="11"/>
                <w:szCs w:val="11"/>
                <w:color w:val="auto"/>
              </w:rPr>
              <w:t>2</w:t>
            </w:r>
          </w:p>
        </w:tc>
        <w:tc>
          <w:tcPr>
            <w:tcW w:w="100" w:type="dxa"/>
            <w:vAlign w:val="bottom"/>
          </w:tcPr>
          <w:p>
            <w:pPr>
              <w:spacing w:after="0"/>
              <w:rPr>
                <w:sz w:val="16"/>
                <w:szCs w:val="16"/>
                <w:color w:val="auto"/>
              </w:rPr>
            </w:pPr>
          </w:p>
        </w:tc>
        <w:tc>
          <w:tcPr>
            <w:tcW w:w="580" w:type="dxa"/>
            <w:vAlign w:val="bottom"/>
            <w:tcBorders>
              <w:top w:val="single" w:sz="8" w:color="auto"/>
              <w:bottom w:val="single" w:sz="8" w:color="auto"/>
            </w:tcBorders>
          </w:tcPr>
          <w:p>
            <w:pPr>
              <w:jc w:val="right"/>
              <w:ind w:right="443"/>
              <w:spacing w:after="0"/>
              <w:rPr>
                <w:sz w:val="20"/>
                <w:szCs w:val="20"/>
                <w:color w:val="auto"/>
              </w:rPr>
            </w:pPr>
            <w:r>
              <w:rPr>
                <w:rFonts w:ascii="Arial" w:cs="Arial" w:eastAsia="Arial" w:hAnsi="Arial"/>
                <w:sz w:val="11"/>
                <w:szCs w:val="11"/>
                <w:color w:val="auto"/>
                <w:w w:val="97"/>
              </w:rPr>
              <w:t>$</w:t>
            </w:r>
          </w:p>
        </w:tc>
        <w:tc>
          <w:tcPr>
            <w:tcW w:w="78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1"/>
                <w:szCs w:val="11"/>
                <w:color w:val="auto"/>
              </w:rPr>
              <w:t>159</w:t>
            </w:r>
          </w:p>
        </w:tc>
        <w:tc>
          <w:tcPr>
            <w:tcW w:w="120" w:type="dxa"/>
            <w:vAlign w:val="bottom"/>
          </w:tcPr>
          <w:p>
            <w:pPr>
              <w:spacing w:after="0"/>
              <w:rPr>
                <w:sz w:val="16"/>
                <w:szCs w:val="16"/>
                <w:color w:val="auto"/>
              </w:rPr>
            </w:pPr>
          </w:p>
        </w:tc>
        <w:tc>
          <w:tcPr>
            <w:tcW w:w="600" w:type="dxa"/>
            <w:vAlign w:val="bottom"/>
            <w:tcBorders>
              <w:top w:val="single" w:sz="8" w:color="auto"/>
              <w:bottom w:val="single" w:sz="8" w:color="auto"/>
            </w:tcBorders>
          </w:tcPr>
          <w:p>
            <w:pPr>
              <w:jc w:val="right"/>
              <w:ind w:right="463"/>
              <w:spacing w:after="0"/>
              <w:rPr>
                <w:sz w:val="20"/>
                <w:szCs w:val="20"/>
                <w:color w:val="auto"/>
              </w:rPr>
            </w:pPr>
            <w:r>
              <w:rPr>
                <w:rFonts w:ascii="Arial" w:cs="Arial" w:eastAsia="Arial" w:hAnsi="Arial"/>
                <w:sz w:val="11"/>
                <w:szCs w:val="11"/>
                <w:color w:val="auto"/>
                <w:w w:val="97"/>
              </w:rPr>
              <w:t>$</w:t>
            </w:r>
          </w:p>
        </w:tc>
        <w:tc>
          <w:tcPr>
            <w:tcW w:w="74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1"/>
                <w:szCs w:val="11"/>
                <w:color w:val="auto"/>
              </w:rPr>
              <w:t>70</w:t>
            </w:r>
          </w:p>
        </w:tc>
      </w:tr>
      <w:tr>
        <w:trPr>
          <w:trHeight w:val="20"/>
        </w:trPr>
        <w:tc>
          <w:tcPr>
            <w:tcW w:w="23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37</w:t>
      </w:r>
    </w:p>
    <w:p>
      <w:pPr>
        <w:sectPr>
          <w:pgSz w:w="11900" w:h="16838" w:orient="portrait"/>
          <w:cols w:equalWidth="0" w:num="1">
            <w:col w:w="11460"/>
          </w:cols>
          <w:pgMar w:left="220" w:top="129" w:right="219" w:bottom="1440" w:gutter="0" w:footer="0" w:header="0"/>
        </w:sectPr>
      </w:pPr>
    </w:p>
    <w:bookmarkStart w:id="47" w:name="page48"/>
    <w:bookmarkEnd w:id="47"/>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205"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(c)  Credit Risk Contingent Features (CenterPoint Energy and CERC)</w:t>
      </w:r>
    </w:p>
    <w:p>
      <w:pPr>
        <w:spacing w:after="0" w:line="184" w:lineRule="exact"/>
        <w:rPr>
          <w:sz w:val="20"/>
          <w:szCs w:val="20"/>
          <w:color w:val="auto"/>
        </w:rPr>
      </w:pPr>
    </w:p>
    <w:p>
      <w:pPr>
        <w:ind w:firstLine="259"/>
        <w:spacing w:after="0" w:line="288" w:lineRule="auto"/>
        <w:rPr>
          <w:sz w:val="20"/>
          <w:szCs w:val="20"/>
          <w:color w:val="auto"/>
        </w:rPr>
      </w:pPr>
      <w:r>
        <w:rPr>
          <w:rFonts w:ascii="Arial" w:cs="Arial" w:eastAsia="Arial" w:hAnsi="Arial"/>
          <w:sz w:val="14"/>
          <w:szCs w:val="14"/>
          <w:color w:val="auto"/>
        </w:rPr>
        <w:t>CenterPoint Energy and CERC enter into financial derivative contracts containing material adverse change provisions. These provisions could require CenterPoint Energy or CERC to post additional collateral if the S&amp;P or Moody’s credit ratings of CenterPoint Energy, Inc. or its subsidiaries, including CERC Corp., are downgraded.</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65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20" w:type="dxa"/>
            <w:vAlign w:val="bottom"/>
            <w:tcBorders>
              <w:bottom w:val="single" w:sz="8" w:color="auto"/>
            </w:tcBorders>
            <w:gridSpan w:val="2"/>
          </w:tcPr>
          <w:p>
            <w:pPr>
              <w:jc w:val="right"/>
              <w:ind w:right="343"/>
              <w:spacing w:after="0"/>
              <w:rPr>
                <w:sz w:val="20"/>
                <w:szCs w:val="20"/>
                <w:color w:val="auto"/>
              </w:rPr>
            </w:pPr>
            <w:r>
              <w:rPr>
                <w:rFonts w:ascii="Arial" w:cs="Arial" w:eastAsia="Arial" w:hAnsi="Arial"/>
                <w:sz w:val="11"/>
                <w:szCs w:val="11"/>
                <w:b w:val="1"/>
                <w:bCs w:val="1"/>
                <w:color w:val="auto"/>
              </w:rPr>
              <w:t>September 30, 2019</w:t>
            </w:r>
          </w:p>
        </w:tc>
        <w:tc>
          <w:tcPr>
            <w:tcW w:w="3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900" w:type="dxa"/>
            <w:vAlign w:val="bottom"/>
            <w:tcBorders>
              <w:bottom w:val="single" w:sz="8" w:color="auto"/>
            </w:tcBorders>
            <w:gridSpan w:val="3"/>
          </w:tcPr>
          <w:p>
            <w:pPr>
              <w:jc w:val="right"/>
              <w:ind w:right="643"/>
              <w:spacing w:after="0"/>
              <w:rPr>
                <w:sz w:val="20"/>
                <w:szCs w:val="20"/>
                <w:color w:val="auto"/>
              </w:rPr>
            </w:pPr>
            <w:r>
              <w:rPr>
                <w:rFonts w:ascii="Arial" w:cs="Arial" w:eastAsia="Arial" w:hAnsi="Arial"/>
                <w:sz w:val="11"/>
                <w:szCs w:val="11"/>
                <w:b w:val="1"/>
                <w:bCs w:val="1"/>
                <w:color w:val="auto"/>
              </w:rPr>
              <w:t>December 31, 2018</w:t>
            </w:r>
          </w:p>
        </w:tc>
      </w:tr>
      <w:tr>
        <w:trPr>
          <w:trHeight w:val="206"/>
        </w:trPr>
        <w:tc>
          <w:tcPr>
            <w:tcW w:w="654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b w:val="1"/>
                <w:bCs w:val="1"/>
                <w:color w:val="auto"/>
                <w:w w:val="95"/>
              </w:rPr>
              <w:t>CenterPoint Energy</w:t>
            </w:r>
          </w:p>
        </w:tc>
        <w:tc>
          <w:tcPr>
            <w:tcW w:w="920" w:type="dxa"/>
            <w:vAlign w:val="bottom"/>
            <w:tcBorders>
              <w:bottom w:val="single" w:sz="8" w:color="auto"/>
            </w:tcBorders>
          </w:tcPr>
          <w:p>
            <w:pPr>
              <w:jc w:val="right"/>
              <w:ind w:right="23"/>
              <w:spacing w:after="0"/>
              <w:rPr>
                <w:sz w:val="20"/>
                <w:szCs w:val="20"/>
                <w:color w:val="auto"/>
              </w:rPr>
            </w:pPr>
            <w:r>
              <w:rPr>
                <w:rFonts w:ascii="Arial" w:cs="Arial" w:eastAsia="Arial" w:hAnsi="Arial"/>
                <w:sz w:val="11"/>
                <w:szCs w:val="11"/>
                <w:b w:val="1"/>
                <w:bCs w:val="1"/>
                <w:color w:val="auto"/>
              </w:rPr>
              <w:t>CERC</w:t>
            </w:r>
          </w:p>
        </w:tc>
        <w:tc>
          <w:tcPr>
            <w:tcW w:w="3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2"/>
          </w:tcPr>
          <w:p>
            <w:pPr>
              <w:jc w:val="right"/>
              <w:ind w:right="63"/>
              <w:spacing w:after="0"/>
              <w:rPr>
                <w:sz w:val="20"/>
                <w:szCs w:val="20"/>
                <w:color w:val="auto"/>
              </w:rPr>
            </w:pPr>
            <w:r>
              <w:rPr>
                <w:rFonts w:ascii="Arial" w:cs="Arial" w:eastAsia="Arial" w:hAnsi="Arial"/>
                <w:sz w:val="11"/>
                <w:szCs w:val="11"/>
                <w:b w:val="1"/>
                <w:bCs w:val="1"/>
                <w:color w:val="auto"/>
                <w:w w:val="99"/>
              </w:rPr>
              <w:t>CenterPoint Energy</w:t>
            </w:r>
          </w:p>
        </w:tc>
        <w:tc>
          <w:tcPr>
            <w:tcW w:w="3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43"/>
              <w:spacing w:after="0"/>
              <w:rPr>
                <w:sz w:val="20"/>
                <w:szCs w:val="20"/>
                <w:color w:val="auto"/>
              </w:rPr>
            </w:pPr>
            <w:r>
              <w:rPr>
                <w:rFonts w:ascii="Arial" w:cs="Arial" w:eastAsia="Arial" w:hAnsi="Arial"/>
                <w:sz w:val="11"/>
                <w:szCs w:val="11"/>
                <w:b w:val="1"/>
                <w:bCs w:val="1"/>
                <w:color w:val="auto"/>
              </w:rPr>
              <w:t>CERC</w:t>
            </w:r>
          </w:p>
        </w:tc>
      </w:tr>
      <w:tr>
        <w:trPr>
          <w:trHeight w:val="196"/>
        </w:trPr>
        <w:tc>
          <w:tcPr>
            <w:tcW w:w="6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gridSpan w:val="3"/>
          </w:tcPr>
          <w:p>
            <w:pPr>
              <w:jc w:val="right"/>
              <w:ind w:right="203"/>
              <w:spacing w:after="0"/>
              <w:rPr>
                <w:sz w:val="20"/>
                <w:szCs w:val="20"/>
                <w:color w:val="auto"/>
              </w:rPr>
            </w:pPr>
            <w:r>
              <w:rPr>
                <w:rFonts w:ascii="Arial" w:cs="Arial" w:eastAsia="Arial" w:hAnsi="Arial"/>
                <w:sz w:val="11"/>
                <w:szCs w:val="11"/>
                <w:b w:val="1"/>
                <w:bCs w:val="1"/>
                <w:color w:val="auto"/>
              </w:rPr>
              <w:t>(in millions)</w:t>
            </w:r>
          </w:p>
        </w:tc>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20"/>
        </w:trPr>
        <w:tc>
          <w:tcPr>
            <w:tcW w:w="6540" w:type="dxa"/>
            <w:vAlign w:val="bottom"/>
            <w:shd w:val="clear" w:color="auto" w:fill="CCEEFF"/>
          </w:tcPr>
          <w:p>
            <w:pPr>
              <w:ind w:left="20"/>
              <w:spacing w:after="0"/>
              <w:rPr>
                <w:sz w:val="20"/>
                <w:szCs w:val="20"/>
                <w:color w:val="auto"/>
              </w:rPr>
            </w:pPr>
            <w:r>
              <w:rPr>
                <w:rFonts w:ascii="Arial" w:cs="Arial" w:eastAsia="Arial" w:hAnsi="Arial"/>
                <w:sz w:val="11"/>
                <w:szCs w:val="11"/>
                <w:color w:val="auto"/>
              </w:rPr>
              <w:t>Aggregate fair value of derivatives containing material adverse change provisions in a net liability position</w:t>
            </w:r>
          </w:p>
        </w:tc>
        <w:tc>
          <w:tcPr>
            <w:tcW w:w="8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10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1</w:t>
            </w:r>
          </w:p>
        </w:tc>
        <w:tc>
          <w:tcPr>
            <w:tcW w:w="920" w:type="dxa"/>
            <w:vAlign w:val="bottom"/>
            <w:shd w:val="clear" w:color="auto" w:fill="CCEEFF"/>
          </w:tcPr>
          <w:p>
            <w:pPr>
              <w:jc w:val="right"/>
              <w:ind w:right="683"/>
              <w:spacing w:after="0"/>
              <w:rPr>
                <w:sz w:val="20"/>
                <w:szCs w:val="20"/>
                <w:color w:val="auto"/>
              </w:rPr>
            </w:pPr>
            <w:r>
              <w:rPr>
                <w:rFonts w:ascii="Arial" w:cs="Arial" w:eastAsia="Arial" w:hAnsi="Arial"/>
                <w:sz w:val="11"/>
                <w:szCs w:val="11"/>
                <w:color w:val="auto"/>
              </w:rPr>
              <w:t>$</w:t>
            </w:r>
          </w:p>
        </w:tc>
        <w:tc>
          <w:tcPr>
            <w:tcW w:w="34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1</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323"/>
              <w:spacing w:after="0"/>
              <w:rPr>
                <w:sz w:val="20"/>
                <w:szCs w:val="20"/>
                <w:color w:val="auto"/>
              </w:rPr>
            </w:pPr>
            <w:r>
              <w:rPr>
                <w:rFonts w:ascii="Arial" w:cs="Arial" w:eastAsia="Arial" w:hAnsi="Arial"/>
                <w:sz w:val="11"/>
                <w:szCs w:val="11"/>
                <w:color w:val="auto"/>
                <w:w w:val="97"/>
              </w:rPr>
              <w:t>$</w:t>
            </w:r>
          </w:p>
        </w:tc>
        <w:tc>
          <w:tcPr>
            <w:tcW w:w="70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1</w:t>
            </w:r>
          </w:p>
        </w:tc>
        <w:tc>
          <w:tcPr>
            <w:tcW w:w="320" w:type="dxa"/>
            <w:vAlign w:val="bottom"/>
            <w:shd w:val="clear" w:color="auto" w:fill="CCEEFF"/>
          </w:tcPr>
          <w:p>
            <w:pPr>
              <w:jc w:val="right"/>
              <w:ind w:right="123"/>
              <w:spacing w:after="0"/>
              <w:rPr>
                <w:sz w:val="20"/>
                <w:szCs w:val="20"/>
                <w:color w:val="auto"/>
              </w:rPr>
            </w:pPr>
            <w:r>
              <w:rPr>
                <w:rFonts w:ascii="Arial" w:cs="Arial" w:eastAsia="Arial" w:hAnsi="Arial"/>
                <w:sz w:val="11"/>
                <w:szCs w:val="11"/>
                <w:color w:val="auto"/>
              </w:rPr>
              <w:t>$</w:t>
            </w:r>
          </w:p>
        </w:tc>
        <w:tc>
          <w:tcPr>
            <w:tcW w:w="88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1</w:t>
            </w:r>
          </w:p>
        </w:tc>
      </w:tr>
      <w:tr>
        <w:trPr>
          <w:trHeight w:val="211"/>
        </w:trPr>
        <w:tc>
          <w:tcPr>
            <w:tcW w:w="6540" w:type="dxa"/>
            <w:vAlign w:val="bottom"/>
          </w:tcPr>
          <w:p>
            <w:pPr>
              <w:ind w:left="20"/>
              <w:spacing w:after="0"/>
              <w:rPr>
                <w:sz w:val="20"/>
                <w:szCs w:val="20"/>
                <w:color w:val="auto"/>
              </w:rPr>
            </w:pPr>
            <w:r>
              <w:rPr>
                <w:rFonts w:ascii="Arial" w:cs="Arial" w:eastAsia="Arial" w:hAnsi="Arial"/>
                <w:sz w:val="11"/>
                <w:szCs w:val="11"/>
                <w:color w:val="auto"/>
              </w:rPr>
              <w:t>Fair value of collateral already posted</w:t>
            </w:r>
          </w:p>
        </w:tc>
        <w:tc>
          <w:tcPr>
            <w:tcW w:w="80" w:type="dxa"/>
            <w:vAlign w:val="bottom"/>
          </w:tcPr>
          <w:p>
            <w:pPr>
              <w:spacing w:after="0"/>
              <w:rPr>
                <w:sz w:val="18"/>
                <w:szCs w:val="18"/>
                <w:color w:val="auto"/>
              </w:rPr>
            </w:pPr>
          </w:p>
        </w:tc>
        <w:tc>
          <w:tcPr>
            <w:tcW w:w="1100" w:type="dxa"/>
            <w:vAlign w:val="bottom"/>
          </w:tcPr>
          <w:p>
            <w:pPr>
              <w:jc w:val="right"/>
              <w:ind w:right="83"/>
              <w:spacing w:after="0"/>
              <w:rPr>
                <w:sz w:val="20"/>
                <w:szCs w:val="20"/>
                <w:color w:val="auto"/>
              </w:rPr>
            </w:pPr>
            <w:r>
              <w:rPr>
                <w:rFonts w:ascii="Arial" w:cs="Arial" w:eastAsia="Arial" w:hAnsi="Arial"/>
                <w:sz w:val="11"/>
                <w:szCs w:val="11"/>
                <w:color w:val="auto"/>
              </w:rPr>
              <w:t>—</w:t>
            </w:r>
          </w:p>
        </w:tc>
        <w:tc>
          <w:tcPr>
            <w:tcW w:w="920" w:type="dxa"/>
            <w:vAlign w:val="bottom"/>
          </w:tcPr>
          <w:p>
            <w:pPr>
              <w:spacing w:after="0"/>
              <w:rPr>
                <w:sz w:val="18"/>
                <w:szCs w:val="18"/>
                <w:color w:val="auto"/>
              </w:rPr>
            </w:pPr>
          </w:p>
        </w:tc>
        <w:tc>
          <w:tcPr>
            <w:tcW w:w="4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460" w:type="dxa"/>
            <w:vAlign w:val="bottom"/>
          </w:tcPr>
          <w:p>
            <w:pPr>
              <w:spacing w:after="0"/>
              <w:rPr>
                <w:sz w:val="18"/>
                <w:szCs w:val="18"/>
                <w:color w:val="auto"/>
              </w:rPr>
            </w:pPr>
          </w:p>
        </w:tc>
        <w:tc>
          <w:tcPr>
            <w:tcW w:w="700" w:type="dxa"/>
            <w:vAlign w:val="bottom"/>
          </w:tcPr>
          <w:p>
            <w:pPr>
              <w:jc w:val="right"/>
              <w:ind w:right="83"/>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18"/>
                <w:szCs w:val="18"/>
                <w:color w:val="auto"/>
              </w:rPr>
            </w:pPr>
          </w:p>
        </w:tc>
        <w:tc>
          <w:tcPr>
            <w:tcW w:w="880" w:type="dxa"/>
            <w:vAlign w:val="bottom"/>
          </w:tcPr>
          <w:p>
            <w:pPr>
              <w:jc w:val="right"/>
              <w:ind w:right="43"/>
              <w:spacing w:after="0"/>
              <w:rPr>
                <w:sz w:val="20"/>
                <w:szCs w:val="20"/>
                <w:color w:val="auto"/>
              </w:rPr>
            </w:pPr>
            <w:r>
              <w:rPr>
                <w:rFonts w:ascii="Arial" w:cs="Arial" w:eastAsia="Arial" w:hAnsi="Arial"/>
                <w:sz w:val="11"/>
                <w:szCs w:val="11"/>
                <w:color w:val="auto"/>
              </w:rPr>
              <w:t>—</w:t>
            </w:r>
          </w:p>
        </w:tc>
      </w:tr>
      <w:tr>
        <w:trPr>
          <w:trHeight w:val="220"/>
        </w:trPr>
        <w:tc>
          <w:tcPr>
            <w:tcW w:w="6540" w:type="dxa"/>
            <w:vAlign w:val="bottom"/>
            <w:shd w:val="clear" w:color="auto" w:fill="CCEEFF"/>
          </w:tcPr>
          <w:p>
            <w:pPr>
              <w:ind w:left="20"/>
              <w:spacing w:after="0"/>
              <w:rPr>
                <w:sz w:val="20"/>
                <w:szCs w:val="20"/>
                <w:color w:val="auto"/>
              </w:rPr>
            </w:pPr>
            <w:r>
              <w:rPr>
                <w:rFonts w:ascii="Arial" w:cs="Arial" w:eastAsia="Arial" w:hAnsi="Arial"/>
                <w:sz w:val="11"/>
                <w:szCs w:val="11"/>
                <w:color w:val="auto"/>
              </w:rPr>
              <w:t>Additional collateral required to be posted if credit risk contingent features triggered</w:t>
            </w: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1</w:t>
            </w:r>
          </w:p>
        </w:tc>
        <w:tc>
          <w:tcPr>
            <w:tcW w:w="9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1</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w:t>
            </w: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w:t>
            </w:r>
          </w:p>
        </w:tc>
      </w:tr>
    </w:tbl>
    <w:p>
      <w:pPr>
        <w:spacing w:after="0" w:line="33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(8) Fair Value Measurements</w:t>
      </w:r>
    </w:p>
    <w:p>
      <w:pPr>
        <w:spacing w:after="0" w:line="188" w:lineRule="exact"/>
        <w:rPr>
          <w:sz w:val="20"/>
          <w:szCs w:val="20"/>
          <w:color w:val="auto"/>
        </w:rPr>
      </w:pPr>
    </w:p>
    <w:p>
      <w:pPr>
        <w:jc w:val="both"/>
        <w:ind w:firstLine="259"/>
        <w:spacing w:after="0" w:line="328" w:lineRule="auto"/>
        <w:rPr>
          <w:sz w:val="20"/>
          <w:szCs w:val="20"/>
          <w:color w:val="auto"/>
        </w:rPr>
      </w:pPr>
      <w:r>
        <w:rPr>
          <w:rFonts w:ascii="Arial" w:cs="Arial" w:eastAsia="Arial" w:hAnsi="Arial"/>
          <w:sz w:val="13"/>
          <w:szCs w:val="13"/>
          <w:color w:val="auto"/>
        </w:rPr>
        <w:t>Assets and liabilities that are recorded at fair value in the Registrants’ Condensed Consolidated Balance Sheets are categorized based upon the level of judgment associated with the inputs used to measure their value. Hierarchical levels, as defined below and directly related to the amount of subjectivity associated with the inputs to fair valuations of these assets and liabilities, are as follows:</w:t>
      </w:r>
    </w:p>
    <w:p>
      <w:pPr>
        <w:spacing w:after="0" w:line="109" w:lineRule="exact"/>
        <w:rPr>
          <w:sz w:val="20"/>
          <w:szCs w:val="20"/>
          <w:color w:val="auto"/>
        </w:rPr>
      </w:pPr>
    </w:p>
    <w:p>
      <w:pPr>
        <w:jc w:val="both"/>
        <w:ind w:left="260"/>
        <w:spacing w:after="0" w:line="288" w:lineRule="auto"/>
        <w:rPr>
          <w:sz w:val="20"/>
          <w:szCs w:val="20"/>
          <w:color w:val="auto"/>
        </w:rPr>
      </w:pPr>
      <w:r>
        <w:rPr>
          <w:rFonts w:ascii="Arial" w:cs="Arial" w:eastAsia="Arial" w:hAnsi="Arial"/>
          <w:sz w:val="14"/>
          <w:szCs w:val="14"/>
          <w:color w:val="auto"/>
        </w:rPr>
        <w:t>Level 1: Inputs are unadjusted quoted prices in active markets for identical assets or liabilities at the measurement date. The types of assets carried at Level 1 fair value generally are exchange-traded derivatives and equity securities, as well as natural gas inventory that has been designated as the hedged item in a fair value hedge.</w:t>
      </w:r>
    </w:p>
    <w:p>
      <w:pPr>
        <w:spacing w:after="0" w:line="131" w:lineRule="exact"/>
        <w:rPr>
          <w:sz w:val="20"/>
          <w:szCs w:val="20"/>
          <w:color w:val="auto"/>
        </w:rPr>
      </w:pPr>
    </w:p>
    <w:p>
      <w:pPr>
        <w:jc w:val="both"/>
        <w:ind w:left="260"/>
        <w:spacing w:after="0" w:line="263" w:lineRule="auto"/>
        <w:rPr>
          <w:sz w:val="20"/>
          <w:szCs w:val="20"/>
          <w:color w:val="auto"/>
        </w:rPr>
      </w:pPr>
      <w:r>
        <w:rPr>
          <w:rFonts w:ascii="Arial" w:cs="Arial" w:eastAsia="Arial" w:hAnsi="Arial"/>
          <w:sz w:val="14"/>
          <w:szCs w:val="14"/>
          <w:color w:val="auto"/>
        </w:rPr>
        <w:t>Level 2: Inputs, other than quoted prices included in Level 1, are observable for the asset or liability, either directly or indirectly. Level 2 inputs include quoted prices for similar instruments in active markets, quoted prices for identical or similar assets or liabilities in inactive markets, inputs other than quoted prices that are observable for the asset or liability and inputs that are derived principally from or corroborated by observable market data by correlation or other means. Fair value assets and liabilities that are generally included in this category are derivatives with fair values based on inputs from actively quoted markets. A market approach is utilized to value the Registrants’ Level 2 natural gas derivative assets or liabilities. CenterPoint Energy’s Level 2 indexed debt securities derivative is valued using an option model and a discounted cash flow model, which uses projected dividends on the ZENS-Related Securities and a discount rate as observable inputs.</w:t>
      </w:r>
    </w:p>
    <w:p>
      <w:pPr>
        <w:spacing w:after="0" w:line="148" w:lineRule="exact"/>
        <w:rPr>
          <w:sz w:val="20"/>
          <w:szCs w:val="20"/>
          <w:color w:val="auto"/>
        </w:rPr>
      </w:pPr>
    </w:p>
    <w:p>
      <w:pPr>
        <w:jc w:val="both"/>
        <w:ind w:left="260"/>
        <w:spacing w:after="0" w:line="261" w:lineRule="auto"/>
        <w:rPr>
          <w:sz w:val="20"/>
          <w:szCs w:val="20"/>
          <w:color w:val="auto"/>
        </w:rPr>
      </w:pPr>
      <w:r>
        <w:rPr>
          <w:rFonts w:ascii="Arial" w:cs="Arial" w:eastAsia="Arial" w:hAnsi="Arial"/>
          <w:sz w:val="14"/>
          <w:szCs w:val="14"/>
          <w:color w:val="auto"/>
        </w:rPr>
        <w:t>Level 3: Inputs are unobservable for the asset or liability, and include situations where there is little, if any, market activity for the asset or liability. Unobservable inputs reflect the Registrants’ judgments about the assumptions market participants would use in pricing the asset or liability since limited market data exists. The Registrants develop these inputs based on the best information available, including the Registrants’ own data. A market approach is utilized to value the Registrants’ Level 3 assets or liabilities. As of September 30, 2019, CenterPoint Energy’s and CERC’s Level 3 assets and liabilities are comprised of physical natural gas forward contracts and options. Level 3 physical natural gas forward contracts and options are valued using a discounted cash flow model which includes illiquid forward price curve locations (ranging from $1.38 to $6.09 per MMBtu for CenterPoint Energy and from $1.38 to $6.09 per MMBtu for CERC) as an unobservable input. CenterPoint Energy’s and CERC’s Level 3 physical natural gas forward contracts and options derivative assets and liabilities consist of both long and short positions (forwards and options). Forward price decreases (increases) as of September 30, 2019 would have resulted in lower (higher) values, respectively, for long forwards and options and higher (lower) values, respectively, for short forwards and options.</w:t>
      </w:r>
    </w:p>
    <w:p>
      <w:pPr>
        <w:spacing w:after="0" w:line="151" w:lineRule="exact"/>
        <w:rPr>
          <w:sz w:val="20"/>
          <w:szCs w:val="20"/>
          <w:color w:val="auto"/>
        </w:rPr>
      </w:pPr>
    </w:p>
    <w:p>
      <w:pPr>
        <w:ind w:firstLine="259"/>
        <w:spacing w:after="0" w:line="288" w:lineRule="auto"/>
        <w:rPr>
          <w:sz w:val="20"/>
          <w:szCs w:val="20"/>
          <w:color w:val="auto"/>
        </w:rPr>
      </w:pPr>
      <w:r>
        <w:rPr>
          <w:rFonts w:ascii="Arial" w:cs="Arial" w:eastAsia="Arial" w:hAnsi="Arial"/>
          <w:sz w:val="14"/>
          <w:szCs w:val="14"/>
          <w:color w:val="auto"/>
        </w:rPr>
        <w:t>The Registrants determine the appropriate level for each financial asset and liability on a quarterly basis. The Registrants also recognize purchases of Level 3 financial assets and liabilities at their fair market value at the end of the reporting period.</w:t>
      </w: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38</w:t>
      </w:r>
    </w:p>
    <w:p>
      <w:pPr>
        <w:sectPr>
          <w:pgSz w:w="11900" w:h="16838" w:orient="portrait"/>
          <w:cols w:equalWidth="0" w:num="1">
            <w:col w:w="11460"/>
          </w:cols>
          <w:pgMar w:left="220" w:top="129" w:right="219" w:bottom="1440" w:gutter="0" w:footer="0" w:header="0"/>
        </w:sectPr>
      </w:pPr>
    </w:p>
    <w:bookmarkStart w:id="48" w:name="page49"/>
    <w:bookmarkEnd w:id="48"/>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205" w:lineRule="exact"/>
        <w:rPr>
          <w:sz w:val="20"/>
          <w:szCs w:val="20"/>
          <w:color w:val="auto"/>
        </w:rPr>
      </w:pPr>
    </w:p>
    <w:p>
      <w:pPr>
        <w:ind w:firstLine="259"/>
        <w:spacing w:after="0" w:line="288" w:lineRule="auto"/>
        <w:rPr>
          <w:sz w:val="20"/>
          <w:szCs w:val="20"/>
          <w:color w:val="auto"/>
        </w:rPr>
      </w:pPr>
      <w:r>
        <w:rPr>
          <w:rFonts w:ascii="Arial" w:cs="Arial" w:eastAsia="Arial" w:hAnsi="Arial"/>
          <w:sz w:val="14"/>
          <w:szCs w:val="14"/>
          <w:color w:val="auto"/>
        </w:rPr>
        <w:t>The following tables present information about the Registrants’ assets and liabilities (including derivatives that are presented net) measured at fair value on a recurring basis as of September 30, 2019 and December 31, 2018 and indicate the fair value hierarchy of the valuation techniques utilized by the Registrants to determine such fair value.</w:t>
      </w:r>
    </w:p>
    <w:p>
      <w:pPr>
        <w:spacing w:after="0" w:line="12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CenterPoint Energy</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4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gridSpan w:val="4"/>
          </w:tcPr>
          <w:p>
            <w:pPr>
              <w:ind w:left="60"/>
              <w:spacing w:after="0"/>
              <w:rPr>
                <w:sz w:val="20"/>
                <w:szCs w:val="20"/>
                <w:color w:val="auto"/>
              </w:rPr>
            </w:pPr>
            <w:r>
              <w:rPr>
                <w:rFonts w:ascii="Arial" w:cs="Arial" w:eastAsia="Arial" w:hAnsi="Arial"/>
                <w:sz w:val="11"/>
                <w:szCs w:val="11"/>
                <w:b w:val="1"/>
                <w:bCs w:val="1"/>
                <w:color w:val="auto"/>
                <w:w w:val="95"/>
              </w:rPr>
              <w:t>September 30, 2019</w:t>
            </w:r>
          </w:p>
        </w:tc>
        <w:tc>
          <w:tcPr>
            <w:tcW w:w="1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gridSpan w:val="4"/>
          </w:tcPr>
          <w:p>
            <w:pPr>
              <w:ind w:left="40"/>
              <w:spacing w:after="0"/>
              <w:rPr>
                <w:sz w:val="20"/>
                <w:szCs w:val="20"/>
                <w:color w:val="auto"/>
              </w:rPr>
            </w:pPr>
            <w:r>
              <w:rPr>
                <w:rFonts w:ascii="Arial" w:cs="Arial" w:eastAsia="Arial" w:hAnsi="Arial"/>
                <w:sz w:val="11"/>
                <w:szCs w:val="11"/>
                <w:b w:val="1"/>
                <w:bCs w:val="1"/>
                <w:color w:val="auto"/>
                <w:w w:val="94"/>
              </w:rPr>
              <w:t>December 31, 2018</w:t>
            </w:r>
          </w:p>
        </w:tc>
        <w:tc>
          <w:tcPr>
            <w:tcW w:w="1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1"/>
        </w:trPr>
        <w:tc>
          <w:tcPr>
            <w:tcW w:w="2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gridSpan w:val="2"/>
          </w:tcPr>
          <w:p>
            <w:pPr>
              <w:ind w:left="80"/>
              <w:spacing w:after="0" w:line="112" w:lineRule="exact"/>
              <w:rPr>
                <w:sz w:val="20"/>
                <w:szCs w:val="20"/>
                <w:color w:val="auto"/>
              </w:rPr>
            </w:pPr>
            <w:r>
              <w:rPr>
                <w:rFonts w:ascii="Arial" w:cs="Arial" w:eastAsia="Arial" w:hAnsi="Arial"/>
                <w:sz w:val="10"/>
                <w:szCs w:val="10"/>
                <w:b w:val="1"/>
                <w:bCs w:val="1"/>
                <w:color w:val="auto"/>
              </w:rPr>
              <w:t>Netting</w:t>
            </w: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gridSpan w:val="2"/>
          </w:tcPr>
          <w:p>
            <w:pPr>
              <w:ind w:left="80"/>
              <w:spacing w:after="0" w:line="112" w:lineRule="exact"/>
              <w:rPr>
                <w:sz w:val="20"/>
                <w:szCs w:val="20"/>
                <w:color w:val="auto"/>
              </w:rPr>
            </w:pPr>
            <w:r>
              <w:rPr>
                <w:rFonts w:ascii="Arial" w:cs="Arial" w:eastAsia="Arial" w:hAnsi="Arial"/>
                <w:sz w:val="10"/>
                <w:szCs w:val="10"/>
                <w:b w:val="1"/>
                <w:bCs w:val="1"/>
                <w:color w:val="auto"/>
              </w:rPr>
              <w:t>Netting</w:t>
            </w: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24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gridSpan w:val="2"/>
          </w:tcPr>
          <w:p>
            <w:pPr>
              <w:ind w:left="100"/>
              <w:spacing w:after="0"/>
              <w:rPr>
                <w:sz w:val="20"/>
                <w:szCs w:val="20"/>
                <w:color w:val="auto"/>
              </w:rPr>
            </w:pPr>
            <w:r>
              <w:rPr>
                <w:rFonts w:ascii="Arial" w:cs="Arial" w:eastAsia="Arial" w:hAnsi="Arial"/>
                <w:sz w:val="10"/>
                <w:szCs w:val="10"/>
                <w:b w:val="1"/>
                <w:bCs w:val="1"/>
                <w:color w:val="auto"/>
              </w:rPr>
              <w:t>Level 1</w:t>
            </w:r>
          </w:p>
        </w:tc>
        <w:tc>
          <w:tcPr>
            <w:tcW w:w="16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203"/>
              <w:spacing w:after="0"/>
              <w:rPr>
                <w:sz w:val="20"/>
                <w:szCs w:val="20"/>
                <w:color w:val="auto"/>
              </w:rPr>
            </w:pPr>
            <w:r>
              <w:rPr>
                <w:rFonts w:ascii="Arial" w:cs="Arial" w:eastAsia="Arial" w:hAnsi="Arial"/>
                <w:sz w:val="10"/>
                <w:szCs w:val="10"/>
                <w:b w:val="1"/>
                <w:bCs w:val="1"/>
                <w:color w:val="auto"/>
              </w:rPr>
              <w:t>Level 2</w:t>
            </w:r>
          </w:p>
        </w:tc>
        <w:tc>
          <w:tcPr>
            <w:tcW w:w="1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gridSpan w:val="2"/>
          </w:tcPr>
          <w:p>
            <w:pPr>
              <w:ind w:left="100"/>
              <w:spacing w:after="0"/>
              <w:rPr>
                <w:sz w:val="20"/>
                <w:szCs w:val="20"/>
                <w:color w:val="auto"/>
              </w:rPr>
            </w:pPr>
            <w:r>
              <w:rPr>
                <w:rFonts w:ascii="Arial" w:cs="Arial" w:eastAsia="Arial" w:hAnsi="Arial"/>
                <w:sz w:val="10"/>
                <w:szCs w:val="10"/>
                <w:b w:val="1"/>
                <w:bCs w:val="1"/>
                <w:color w:val="auto"/>
              </w:rPr>
              <w:t>Level 3</w:t>
            </w:r>
          </w:p>
        </w:tc>
        <w:tc>
          <w:tcPr>
            <w:tcW w:w="16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304"/>
              <w:spacing w:after="0"/>
              <w:rPr>
                <w:sz w:val="20"/>
                <w:szCs w:val="20"/>
                <w:color w:val="auto"/>
              </w:rPr>
            </w:pPr>
            <w:r>
              <w:rPr>
                <w:rFonts w:ascii="Arial" w:cs="Arial" w:eastAsia="Arial" w:hAnsi="Arial"/>
                <w:sz w:val="10"/>
                <w:szCs w:val="10"/>
                <w:b w:val="1"/>
                <w:bCs w:val="1"/>
                <w:color w:val="auto"/>
              </w:rPr>
              <w:t>(1)</w:t>
            </w:r>
          </w:p>
        </w:tc>
        <w:tc>
          <w:tcPr>
            <w:tcW w:w="1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gridSpan w:val="2"/>
          </w:tcPr>
          <w:p>
            <w:pPr>
              <w:ind w:left="120"/>
              <w:spacing w:after="0"/>
              <w:rPr>
                <w:sz w:val="20"/>
                <w:szCs w:val="20"/>
                <w:color w:val="auto"/>
              </w:rPr>
            </w:pPr>
            <w:r>
              <w:rPr>
                <w:rFonts w:ascii="Arial" w:cs="Arial" w:eastAsia="Arial" w:hAnsi="Arial"/>
                <w:sz w:val="10"/>
                <w:szCs w:val="10"/>
                <w:b w:val="1"/>
                <w:bCs w:val="1"/>
                <w:color w:val="auto"/>
              </w:rPr>
              <w:t>Total</w:t>
            </w:r>
          </w:p>
        </w:tc>
        <w:tc>
          <w:tcPr>
            <w:tcW w:w="2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gridSpan w:val="2"/>
          </w:tcPr>
          <w:p>
            <w:pPr>
              <w:ind w:left="40"/>
              <w:spacing w:after="0"/>
              <w:rPr>
                <w:sz w:val="20"/>
                <w:szCs w:val="20"/>
                <w:color w:val="auto"/>
              </w:rPr>
            </w:pPr>
            <w:r>
              <w:rPr>
                <w:rFonts w:ascii="Arial" w:cs="Arial" w:eastAsia="Arial" w:hAnsi="Arial"/>
                <w:sz w:val="10"/>
                <w:szCs w:val="10"/>
                <w:b w:val="1"/>
                <w:bCs w:val="1"/>
                <w:color w:val="auto"/>
              </w:rPr>
              <w:t>Level 1</w:t>
            </w:r>
          </w:p>
        </w:tc>
        <w:tc>
          <w:tcPr>
            <w:tcW w:w="16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ind w:right="183"/>
              <w:spacing w:after="0"/>
              <w:rPr>
                <w:sz w:val="20"/>
                <w:szCs w:val="20"/>
                <w:color w:val="auto"/>
              </w:rPr>
            </w:pPr>
            <w:r>
              <w:rPr>
                <w:rFonts w:ascii="Arial" w:cs="Arial" w:eastAsia="Arial" w:hAnsi="Arial"/>
                <w:sz w:val="10"/>
                <w:szCs w:val="10"/>
                <w:b w:val="1"/>
                <w:bCs w:val="1"/>
                <w:color w:val="auto"/>
              </w:rPr>
              <w:t>Level 2</w:t>
            </w:r>
          </w:p>
        </w:tc>
        <w:tc>
          <w:tcPr>
            <w:tcW w:w="1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gridSpan w:val="2"/>
          </w:tcPr>
          <w:p>
            <w:pPr>
              <w:ind w:left="80"/>
              <w:spacing w:after="0"/>
              <w:rPr>
                <w:sz w:val="20"/>
                <w:szCs w:val="20"/>
                <w:color w:val="auto"/>
              </w:rPr>
            </w:pPr>
            <w:r>
              <w:rPr>
                <w:rFonts w:ascii="Arial" w:cs="Arial" w:eastAsia="Arial" w:hAnsi="Arial"/>
                <w:sz w:val="10"/>
                <w:szCs w:val="10"/>
                <w:b w:val="1"/>
                <w:bCs w:val="1"/>
                <w:color w:val="auto"/>
              </w:rPr>
              <w:t>Level 3</w:t>
            </w:r>
          </w:p>
        </w:tc>
        <w:tc>
          <w:tcPr>
            <w:tcW w:w="16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ind w:right="264"/>
              <w:spacing w:after="0"/>
              <w:rPr>
                <w:sz w:val="20"/>
                <w:szCs w:val="20"/>
                <w:color w:val="auto"/>
              </w:rPr>
            </w:pPr>
            <w:r>
              <w:rPr>
                <w:rFonts w:ascii="Arial" w:cs="Arial" w:eastAsia="Arial" w:hAnsi="Arial"/>
                <w:sz w:val="10"/>
                <w:szCs w:val="10"/>
                <w:b w:val="1"/>
                <w:bCs w:val="1"/>
                <w:color w:val="auto"/>
              </w:rPr>
              <w:t>(1)</w:t>
            </w:r>
          </w:p>
        </w:tc>
        <w:tc>
          <w:tcPr>
            <w:tcW w:w="1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ind w:right="223"/>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89"/>
        </w:trPr>
        <w:tc>
          <w:tcPr>
            <w:tcW w:w="2420" w:type="dxa"/>
            <w:vAlign w:val="bottom"/>
          </w:tcPr>
          <w:p>
            <w:pPr>
              <w:ind w:left="20"/>
              <w:spacing w:after="0"/>
              <w:rPr>
                <w:sz w:val="20"/>
                <w:szCs w:val="20"/>
                <w:color w:val="auto"/>
              </w:rPr>
            </w:pPr>
            <w:r>
              <w:rPr>
                <w:rFonts w:ascii="Arial" w:cs="Arial" w:eastAsia="Arial" w:hAnsi="Arial"/>
                <w:sz w:val="13"/>
                <w:szCs w:val="13"/>
                <w:b w:val="1"/>
                <w:bCs w:val="1"/>
                <w:color w:val="auto"/>
              </w:rPr>
              <w:t>Assets</w:t>
            </w: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gridSpan w:val="3"/>
          </w:tcPr>
          <w:p>
            <w:pPr>
              <w:jc w:val="right"/>
              <w:ind w:right="3"/>
              <w:spacing w:after="0"/>
              <w:rPr>
                <w:sz w:val="20"/>
                <w:szCs w:val="20"/>
                <w:color w:val="auto"/>
              </w:rPr>
            </w:pPr>
            <w:r>
              <w:rPr>
                <w:rFonts w:ascii="Arial" w:cs="Arial" w:eastAsia="Arial" w:hAnsi="Arial"/>
                <w:sz w:val="11"/>
                <w:szCs w:val="11"/>
                <w:b w:val="1"/>
                <w:bCs w:val="1"/>
                <w:color w:val="auto"/>
              </w:rPr>
              <w:t>(in millions)</w:t>
            </w: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420" w:type="dxa"/>
            <w:vAlign w:val="bottom"/>
            <w:shd w:val="clear" w:color="auto" w:fill="CCEEFF"/>
          </w:tcPr>
          <w:p>
            <w:pPr>
              <w:ind w:left="140"/>
              <w:spacing w:after="0"/>
              <w:rPr>
                <w:sz w:val="20"/>
                <w:szCs w:val="20"/>
                <w:color w:val="auto"/>
              </w:rPr>
            </w:pPr>
            <w:r>
              <w:rPr>
                <w:rFonts w:ascii="Arial" w:cs="Arial" w:eastAsia="Arial" w:hAnsi="Arial"/>
                <w:sz w:val="11"/>
                <w:szCs w:val="11"/>
                <w:color w:val="auto"/>
              </w:rPr>
              <w:t>Corporate equities</w:t>
            </w:r>
          </w:p>
        </w:tc>
        <w:tc>
          <w:tcPr>
            <w:tcW w:w="16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w w:val="97"/>
              </w:rPr>
              <w:t>$</w:t>
            </w:r>
          </w:p>
        </w:tc>
        <w:tc>
          <w:tcPr>
            <w:tcW w:w="66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748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w w:val="97"/>
              </w:rPr>
              <w:t>$</w:t>
            </w:r>
          </w:p>
        </w:tc>
        <w:tc>
          <w:tcPr>
            <w:tcW w:w="66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780" w:type="dxa"/>
            <w:vAlign w:val="bottom"/>
            <w:gridSpan w:val="2"/>
            <w:shd w:val="clear" w:color="auto" w:fill="CCEEFF"/>
          </w:tcPr>
          <w:p>
            <w:pPr>
              <w:ind w:left="42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w w:val="97"/>
              </w:rPr>
              <w:t>$</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jc w:val="right"/>
              <w:ind w:right="68"/>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748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w w:val="97"/>
              </w:rPr>
              <w:t>$</w:t>
            </w:r>
          </w:p>
        </w:tc>
        <w:tc>
          <w:tcPr>
            <w:tcW w:w="58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542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w w:val="97"/>
              </w:rPr>
              <w:t>$</w:t>
            </w:r>
          </w:p>
        </w:tc>
        <w:tc>
          <w:tcPr>
            <w:tcW w:w="62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740" w:type="dxa"/>
            <w:vAlign w:val="bottom"/>
            <w:gridSpan w:val="2"/>
            <w:shd w:val="clear" w:color="auto" w:fill="CCEEFF"/>
          </w:tcPr>
          <w:p>
            <w:pPr>
              <w:ind w:left="42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w w:val="97"/>
              </w:rPr>
              <w:t>$</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w w:val="97"/>
              </w:rPr>
              <w:t>$</w:t>
            </w:r>
          </w:p>
        </w:tc>
        <w:tc>
          <w:tcPr>
            <w:tcW w:w="60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542</w:t>
            </w:r>
          </w:p>
        </w:tc>
        <w:tc>
          <w:tcPr>
            <w:tcW w:w="0" w:type="dxa"/>
            <w:vAlign w:val="bottom"/>
          </w:tcPr>
          <w:p>
            <w:pPr>
              <w:spacing w:after="0"/>
              <w:rPr>
                <w:sz w:val="1"/>
                <w:szCs w:val="1"/>
                <w:color w:val="auto"/>
              </w:rPr>
            </w:pPr>
          </w:p>
        </w:tc>
      </w:tr>
      <w:tr>
        <w:trPr>
          <w:trHeight w:val="211"/>
        </w:trPr>
        <w:tc>
          <w:tcPr>
            <w:tcW w:w="2420" w:type="dxa"/>
            <w:vAlign w:val="bottom"/>
          </w:tcPr>
          <w:p>
            <w:pPr>
              <w:ind w:left="140"/>
              <w:spacing w:after="0"/>
              <w:rPr>
                <w:sz w:val="20"/>
                <w:szCs w:val="20"/>
                <w:color w:val="auto"/>
              </w:rPr>
            </w:pPr>
            <w:r>
              <w:rPr>
                <w:rFonts w:ascii="Arial" w:cs="Arial" w:eastAsia="Arial" w:hAnsi="Arial"/>
                <w:sz w:val="11"/>
                <w:szCs w:val="11"/>
                <w:color w:val="auto"/>
                <w:w w:val="99"/>
              </w:rPr>
              <w:t>Investments, including money market funds (2)</w:t>
            </w:r>
          </w:p>
        </w:tc>
        <w:tc>
          <w:tcPr>
            <w:tcW w:w="160" w:type="dxa"/>
            <w:vAlign w:val="bottom"/>
          </w:tcPr>
          <w:p>
            <w:pPr>
              <w:spacing w:after="0"/>
              <w:rPr>
                <w:sz w:val="18"/>
                <w:szCs w:val="18"/>
                <w:color w:val="auto"/>
              </w:rPr>
            </w:pPr>
          </w:p>
        </w:tc>
        <w:tc>
          <w:tcPr>
            <w:tcW w:w="660" w:type="dxa"/>
            <w:vAlign w:val="bottom"/>
          </w:tcPr>
          <w:p>
            <w:pPr>
              <w:jc w:val="right"/>
              <w:ind w:right="63"/>
              <w:spacing w:after="0"/>
              <w:rPr>
                <w:sz w:val="20"/>
                <w:szCs w:val="20"/>
                <w:color w:val="auto"/>
              </w:rPr>
            </w:pPr>
            <w:r>
              <w:rPr>
                <w:rFonts w:ascii="Arial" w:cs="Arial" w:eastAsia="Arial" w:hAnsi="Arial"/>
                <w:sz w:val="11"/>
                <w:szCs w:val="11"/>
                <w:color w:val="auto"/>
              </w:rPr>
              <w:t>50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ind w:right="63"/>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ind w:left="4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8"/>
                <w:szCs w:val="18"/>
                <w:color w:val="auto"/>
              </w:rPr>
            </w:pPr>
          </w:p>
        </w:tc>
        <w:tc>
          <w:tcPr>
            <w:tcW w:w="620" w:type="dxa"/>
            <w:vAlign w:val="bottom"/>
          </w:tcPr>
          <w:p>
            <w:pPr>
              <w:jc w:val="right"/>
              <w:ind w:right="43"/>
              <w:spacing w:after="0"/>
              <w:rPr>
                <w:sz w:val="20"/>
                <w:szCs w:val="20"/>
                <w:color w:val="auto"/>
              </w:rPr>
            </w:pPr>
            <w:r>
              <w:rPr>
                <w:rFonts w:ascii="Arial" w:cs="Arial" w:eastAsia="Arial" w:hAnsi="Arial"/>
                <w:sz w:val="11"/>
                <w:szCs w:val="11"/>
                <w:color w:val="auto"/>
              </w:rPr>
              <w:t>50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jc w:val="right"/>
              <w:ind w:right="43"/>
              <w:spacing w:after="0"/>
              <w:rPr>
                <w:sz w:val="20"/>
                <w:szCs w:val="20"/>
                <w:color w:val="auto"/>
              </w:rPr>
            </w:pPr>
            <w:r>
              <w:rPr>
                <w:rFonts w:ascii="Arial" w:cs="Arial" w:eastAsia="Arial" w:hAnsi="Arial"/>
                <w:sz w:val="11"/>
                <w:szCs w:val="11"/>
                <w:color w:val="auto"/>
              </w:rPr>
              <w:t>66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ind w:right="43"/>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ind w:left="4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8"/>
                <w:szCs w:val="18"/>
                <w:color w:val="auto"/>
              </w:rPr>
            </w:pPr>
          </w:p>
        </w:tc>
        <w:tc>
          <w:tcPr>
            <w:tcW w:w="600" w:type="dxa"/>
            <w:vAlign w:val="bottom"/>
          </w:tcPr>
          <w:p>
            <w:pPr>
              <w:jc w:val="right"/>
              <w:ind w:right="43"/>
              <w:spacing w:after="0"/>
              <w:rPr>
                <w:sz w:val="20"/>
                <w:szCs w:val="20"/>
                <w:color w:val="auto"/>
              </w:rPr>
            </w:pPr>
            <w:r>
              <w:rPr>
                <w:rFonts w:ascii="Arial" w:cs="Arial" w:eastAsia="Arial" w:hAnsi="Arial"/>
                <w:sz w:val="11"/>
                <w:szCs w:val="11"/>
                <w:color w:val="auto"/>
              </w:rPr>
              <w:t>66</w:t>
            </w:r>
          </w:p>
        </w:tc>
        <w:tc>
          <w:tcPr>
            <w:tcW w:w="0" w:type="dxa"/>
            <w:vAlign w:val="bottom"/>
          </w:tcPr>
          <w:p>
            <w:pPr>
              <w:spacing w:after="0"/>
              <w:rPr>
                <w:sz w:val="1"/>
                <w:szCs w:val="1"/>
                <w:color w:val="auto"/>
              </w:rPr>
            </w:pPr>
          </w:p>
        </w:tc>
      </w:tr>
      <w:tr>
        <w:trPr>
          <w:trHeight w:val="220"/>
        </w:trPr>
        <w:tc>
          <w:tcPr>
            <w:tcW w:w="2420" w:type="dxa"/>
            <w:vAlign w:val="bottom"/>
            <w:shd w:val="clear" w:color="auto" w:fill="CCEEFF"/>
          </w:tcPr>
          <w:p>
            <w:pPr>
              <w:ind w:left="140"/>
              <w:spacing w:after="0"/>
              <w:rPr>
                <w:sz w:val="20"/>
                <w:szCs w:val="20"/>
                <w:color w:val="auto"/>
              </w:rPr>
            </w:pPr>
            <w:r>
              <w:rPr>
                <w:rFonts w:ascii="Arial" w:cs="Arial" w:eastAsia="Arial" w:hAnsi="Arial"/>
                <w:sz w:val="11"/>
                <w:szCs w:val="11"/>
                <w:color w:val="auto"/>
              </w:rPr>
              <w:t>Natural gas derivatives (3)(4)</w:t>
            </w:r>
          </w:p>
        </w:tc>
        <w:tc>
          <w:tcPr>
            <w:tcW w:w="16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234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ind w:left="420"/>
              <w:spacing w:after="0"/>
              <w:rPr>
                <w:sz w:val="20"/>
                <w:szCs w:val="20"/>
                <w:color w:val="auto"/>
              </w:rPr>
            </w:pPr>
            <w:r>
              <w:rPr>
                <w:rFonts w:ascii="Arial" w:cs="Arial" w:eastAsia="Arial" w:hAnsi="Arial"/>
                <w:sz w:val="11"/>
                <w:szCs w:val="11"/>
                <w:color w:val="auto"/>
              </w:rPr>
              <w:t>43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24"/>
              <w:spacing w:after="0"/>
              <w:rPr>
                <w:sz w:val="20"/>
                <w:szCs w:val="20"/>
                <w:color w:val="auto"/>
              </w:rPr>
            </w:pPr>
            <w:r>
              <w:rPr>
                <w:rFonts w:ascii="Arial" w:cs="Arial" w:eastAsia="Arial" w:hAnsi="Arial"/>
                <w:sz w:val="11"/>
                <w:szCs w:val="11"/>
                <w:color w:val="auto"/>
              </w:rPr>
              <w:t>(93)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184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173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ind w:left="420"/>
              <w:spacing w:after="0"/>
              <w:rPr>
                <w:sz w:val="20"/>
                <w:szCs w:val="20"/>
                <w:color w:val="auto"/>
              </w:rPr>
            </w:pPr>
            <w:r>
              <w:rPr>
                <w:rFonts w:ascii="Arial" w:cs="Arial" w:eastAsia="Arial" w:hAnsi="Arial"/>
                <w:sz w:val="11"/>
                <w:szCs w:val="11"/>
                <w:color w:val="auto"/>
              </w:rPr>
              <w:t>47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(82)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138</w:t>
            </w:r>
          </w:p>
        </w:tc>
        <w:tc>
          <w:tcPr>
            <w:tcW w:w="0" w:type="dxa"/>
            <w:vAlign w:val="bottom"/>
          </w:tcPr>
          <w:p>
            <w:pPr>
              <w:spacing w:after="0"/>
              <w:rPr>
                <w:sz w:val="1"/>
                <w:szCs w:val="1"/>
                <w:color w:val="auto"/>
              </w:rPr>
            </w:pPr>
          </w:p>
        </w:tc>
      </w:tr>
      <w:tr>
        <w:trPr>
          <w:trHeight w:val="211"/>
        </w:trPr>
        <w:tc>
          <w:tcPr>
            <w:tcW w:w="2420" w:type="dxa"/>
            <w:vAlign w:val="bottom"/>
            <w:tcBorders>
              <w:bottom w:val="single" w:sz="8" w:color="CCEEFF"/>
            </w:tcBorders>
          </w:tcPr>
          <w:p>
            <w:pPr>
              <w:ind w:left="140"/>
              <w:spacing w:after="0"/>
              <w:rPr>
                <w:sz w:val="20"/>
                <w:szCs w:val="20"/>
                <w:color w:val="auto"/>
              </w:rPr>
            </w:pPr>
            <w:r>
              <w:rPr>
                <w:rFonts w:ascii="Arial" w:cs="Arial" w:eastAsia="Arial" w:hAnsi="Arial"/>
                <w:sz w:val="11"/>
                <w:szCs w:val="11"/>
                <w:color w:val="auto"/>
              </w:rPr>
              <w:t>Hedged portion of natural gas inventory</w:t>
            </w: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ind w:left="42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64"/>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auto"/>
              </w:rPr>
              <w:t>1</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ind w:left="4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44"/>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189"/>
        </w:trPr>
        <w:tc>
          <w:tcPr>
            <w:tcW w:w="2420" w:type="dxa"/>
            <w:vAlign w:val="bottom"/>
            <w:shd w:val="clear" w:color="auto" w:fill="CCEEFF"/>
          </w:tcPr>
          <w:p>
            <w:pPr>
              <w:ind w:left="300"/>
              <w:spacing w:after="0"/>
              <w:rPr>
                <w:sz w:val="20"/>
                <w:szCs w:val="20"/>
                <w:color w:val="auto"/>
              </w:rPr>
            </w:pPr>
            <w:r>
              <w:rPr>
                <w:rFonts w:ascii="Arial" w:cs="Arial" w:eastAsia="Arial" w:hAnsi="Arial"/>
                <w:sz w:val="11"/>
                <w:szCs w:val="11"/>
                <w:color w:val="auto"/>
              </w:rPr>
              <w:t>Total assets</w:t>
            </w:r>
          </w:p>
        </w:tc>
        <w:tc>
          <w:tcPr>
            <w:tcW w:w="16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w w:val="97"/>
              </w:rPr>
              <w:t>$</w:t>
            </w:r>
          </w:p>
        </w:tc>
        <w:tc>
          <w:tcPr>
            <w:tcW w:w="66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798</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w w:val="97"/>
              </w:rPr>
              <w:t>$</w:t>
            </w:r>
          </w:p>
        </w:tc>
        <w:tc>
          <w:tcPr>
            <w:tcW w:w="66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234</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EFF"/>
          </w:tcPr>
          <w:p>
            <w:pPr>
              <w:ind w:left="420"/>
              <w:spacing w:after="0"/>
              <w:rPr>
                <w:sz w:val="20"/>
                <w:szCs w:val="20"/>
                <w:color w:val="auto"/>
              </w:rPr>
            </w:pPr>
            <w:r>
              <w:rPr>
                <w:rFonts w:ascii="Arial" w:cs="Arial" w:eastAsia="Arial" w:hAnsi="Arial"/>
                <w:sz w:val="11"/>
                <w:szCs w:val="11"/>
                <w:color w:val="auto"/>
              </w:rPr>
              <w:t>43</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w w:val="97"/>
              </w:rPr>
              <w:t>$</w:t>
            </w:r>
          </w:p>
        </w:tc>
        <w:tc>
          <w:tcPr>
            <w:tcW w:w="660" w:type="dxa"/>
            <w:vAlign w:val="bottom"/>
            <w:shd w:val="clear" w:color="auto" w:fill="CCEEFF"/>
          </w:tcPr>
          <w:p>
            <w:pPr>
              <w:jc w:val="right"/>
              <w:ind w:right="24"/>
              <w:spacing w:after="0"/>
              <w:rPr>
                <w:sz w:val="20"/>
                <w:szCs w:val="20"/>
                <w:color w:val="auto"/>
              </w:rPr>
            </w:pPr>
            <w:r>
              <w:rPr>
                <w:rFonts w:ascii="Arial" w:cs="Arial" w:eastAsia="Arial" w:hAnsi="Arial"/>
                <w:sz w:val="11"/>
                <w:szCs w:val="11"/>
                <w:color w:val="auto"/>
              </w:rPr>
              <w:t>(93)</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68"/>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982</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w w:val="97"/>
              </w:rPr>
              <w:t>$</w:t>
            </w:r>
          </w:p>
        </w:tc>
        <w:tc>
          <w:tcPr>
            <w:tcW w:w="58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609</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w w:val="97"/>
              </w:rPr>
              <w:t>$</w:t>
            </w:r>
          </w:p>
        </w:tc>
        <w:tc>
          <w:tcPr>
            <w:tcW w:w="62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173</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640" w:type="dxa"/>
            <w:vAlign w:val="bottom"/>
            <w:shd w:val="clear" w:color="auto" w:fill="CCEEFF"/>
          </w:tcPr>
          <w:p>
            <w:pPr>
              <w:ind w:left="420"/>
              <w:spacing w:after="0"/>
              <w:rPr>
                <w:sz w:val="20"/>
                <w:szCs w:val="20"/>
                <w:color w:val="auto"/>
              </w:rPr>
            </w:pPr>
            <w:r>
              <w:rPr>
                <w:rFonts w:ascii="Arial" w:cs="Arial" w:eastAsia="Arial" w:hAnsi="Arial"/>
                <w:sz w:val="11"/>
                <w:szCs w:val="11"/>
                <w:color w:val="auto"/>
              </w:rPr>
              <w:t>47</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w w:val="97"/>
              </w:rPr>
              <w:t>$</w:t>
            </w:r>
          </w:p>
        </w:tc>
        <w:tc>
          <w:tcPr>
            <w:tcW w:w="62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(82)</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w w:val="97"/>
              </w:rPr>
              <w:t>$</w:t>
            </w:r>
          </w:p>
        </w:tc>
        <w:tc>
          <w:tcPr>
            <w:tcW w:w="60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747</w:t>
            </w:r>
          </w:p>
        </w:tc>
        <w:tc>
          <w:tcPr>
            <w:tcW w:w="0" w:type="dxa"/>
            <w:vAlign w:val="bottom"/>
          </w:tcPr>
          <w:p>
            <w:pPr>
              <w:spacing w:after="0"/>
              <w:rPr>
                <w:sz w:val="1"/>
                <w:szCs w:val="1"/>
                <w:color w:val="auto"/>
              </w:rPr>
            </w:pPr>
          </w:p>
        </w:tc>
      </w:tr>
      <w:tr>
        <w:trPr>
          <w:trHeight w:val="20"/>
        </w:trPr>
        <w:tc>
          <w:tcPr>
            <w:tcW w:w="24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3"/>
                <w:szCs w:val="13"/>
                <w:b w:val="1"/>
                <w:bCs w:val="1"/>
                <w:color w:val="auto"/>
              </w:rPr>
              <w:t>Liabilities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24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420" w:type="dxa"/>
            <w:vAlign w:val="bottom"/>
            <w:shd w:val="clear" w:color="auto" w:fill="CCEEFF"/>
          </w:tcPr>
          <w:p>
            <w:pPr>
              <w:ind w:left="140"/>
              <w:spacing w:after="0"/>
              <w:rPr>
                <w:sz w:val="20"/>
                <w:szCs w:val="20"/>
                <w:color w:val="auto"/>
              </w:rPr>
            </w:pPr>
            <w:r>
              <w:rPr>
                <w:rFonts w:ascii="Arial" w:cs="Arial" w:eastAsia="Arial" w:hAnsi="Arial"/>
                <w:sz w:val="11"/>
                <w:szCs w:val="11"/>
                <w:color w:val="auto"/>
              </w:rPr>
              <w:t>Indexed debt securities derivative</w:t>
            </w:r>
          </w:p>
        </w:tc>
        <w:tc>
          <w:tcPr>
            <w:tcW w:w="16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w w:val="97"/>
              </w:rPr>
              <w:t>$</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w w:val="97"/>
              </w:rPr>
              <w:t>$</w:t>
            </w:r>
          </w:p>
        </w:tc>
        <w:tc>
          <w:tcPr>
            <w:tcW w:w="66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817</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780" w:type="dxa"/>
            <w:vAlign w:val="bottom"/>
            <w:gridSpan w:val="2"/>
            <w:shd w:val="clear" w:color="auto" w:fill="CCEEFF"/>
          </w:tcPr>
          <w:p>
            <w:pPr>
              <w:ind w:left="42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w w:val="97"/>
              </w:rPr>
              <w:t>$</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jc w:val="right"/>
              <w:ind w:right="68"/>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817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w w:val="97"/>
              </w:rPr>
              <w: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w w:val="97"/>
              </w:rPr>
              <w:t>$</w:t>
            </w:r>
          </w:p>
        </w:tc>
        <w:tc>
          <w:tcPr>
            <w:tcW w:w="62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601</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740" w:type="dxa"/>
            <w:vAlign w:val="bottom"/>
            <w:gridSpan w:val="2"/>
            <w:shd w:val="clear" w:color="auto" w:fill="CCEEFF"/>
          </w:tcPr>
          <w:p>
            <w:pPr>
              <w:ind w:left="42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w w:val="97"/>
              </w:rPr>
              <w:t>$</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w w:val="97"/>
              </w:rPr>
              <w:t>$</w:t>
            </w:r>
          </w:p>
        </w:tc>
        <w:tc>
          <w:tcPr>
            <w:tcW w:w="60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601</w:t>
            </w:r>
          </w:p>
        </w:tc>
        <w:tc>
          <w:tcPr>
            <w:tcW w:w="0" w:type="dxa"/>
            <w:vAlign w:val="bottom"/>
          </w:tcPr>
          <w:p>
            <w:pPr>
              <w:spacing w:after="0"/>
              <w:rPr>
                <w:sz w:val="1"/>
                <w:szCs w:val="1"/>
                <w:color w:val="auto"/>
              </w:rPr>
            </w:pPr>
          </w:p>
        </w:tc>
      </w:tr>
      <w:tr>
        <w:trPr>
          <w:trHeight w:val="211"/>
        </w:trPr>
        <w:tc>
          <w:tcPr>
            <w:tcW w:w="2420" w:type="dxa"/>
            <w:vAlign w:val="bottom"/>
          </w:tcPr>
          <w:p>
            <w:pPr>
              <w:ind w:left="140"/>
              <w:spacing w:after="0"/>
              <w:rPr>
                <w:sz w:val="20"/>
                <w:szCs w:val="20"/>
                <w:color w:val="auto"/>
              </w:rPr>
            </w:pPr>
            <w:r>
              <w:rPr>
                <w:rFonts w:ascii="Arial" w:cs="Arial" w:eastAsia="Arial" w:hAnsi="Arial"/>
                <w:sz w:val="11"/>
                <w:szCs w:val="11"/>
                <w:color w:val="auto"/>
              </w:rPr>
              <w:t>Interest rate derivatives</w:t>
            </w:r>
          </w:p>
        </w:tc>
        <w:tc>
          <w:tcPr>
            <w:tcW w:w="16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8"/>
                <w:szCs w:val="18"/>
                <w:color w:val="auto"/>
              </w:rPr>
            </w:pPr>
          </w:p>
        </w:tc>
        <w:tc>
          <w:tcPr>
            <w:tcW w:w="660" w:type="dxa"/>
            <w:vAlign w:val="bottom"/>
          </w:tcPr>
          <w:p>
            <w:pPr>
              <w:jc w:val="right"/>
              <w:ind w:right="63"/>
              <w:spacing w:after="0"/>
              <w:rPr>
                <w:sz w:val="20"/>
                <w:szCs w:val="20"/>
                <w:color w:val="auto"/>
              </w:rPr>
            </w:pPr>
            <w:r>
              <w:rPr>
                <w:rFonts w:ascii="Arial" w:cs="Arial" w:eastAsia="Arial" w:hAnsi="Arial"/>
                <w:sz w:val="11"/>
                <w:szCs w:val="11"/>
                <w:color w:val="auto"/>
              </w:rPr>
              <w:t>15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ind w:left="4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8"/>
                <w:szCs w:val="18"/>
                <w:color w:val="auto"/>
              </w:rPr>
            </w:pPr>
          </w:p>
        </w:tc>
        <w:tc>
          <w:tcPr>
            <w:tcW w:w="620" w:type="dxa"/>
            <w:vAlign w:val="bottom"/>
          </w:tcPr>
          <w:p>
            <w:pPr>
              <w:jc w:val="right"/>
              <w:ind w:right="43"/>
              <w:spacing w:after="0"/>
              <w:rPr>
                <w:sz w:val="20"/>
                <w:szCs w:val="20"/>
                <w:color w:val="auto"/>
              </w:rPr>
            </w:pPr>
            <w:r>
              <w:rPr>
                <w:rFonts w:ascii="Arial" w:cs="Arial" w:eastAsia="Arial" w:hAnsi="Arial"/>
                <w:sz w:val="11"/>
                <w:szCs w:val="11"/>
                <w:color w:val="auto"/>
              </w:rPr>
              <w:t>15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jc w:val="right"/>
              <w:ind w:right="43"/>
              <w:spacing w:after="0"/>
              <w:rPr>
                <w:sz w:val="20"/>
                <w:szCs w:val="20"/>
                <w:color w:val="auto"/>
              </w:rPr>
            </w:pPr>
            <w:r>
              <w:rPr>
                <w:rFonts w:ascii="Arial" w:cs="Arial" w:eastAsia="Arial" w:hAnsi="Arial"/>
                <w:sz w:val="11"/>
                <w:szCs w:val="11"/>
                <w:color w:val="auto"/>
              </w:rPr>
              <w:t>24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ind w:right="43"/>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ind w:left="4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8"/>
                <w:szCs w:val="18"/>
                <w:color w:val="auto"/>
              </w:rPr>
            </w:pPr>
          </w:p>
        </w:tc>
        <w:tc>
          <w:tcPr>
            <w:tcW w:w="600" w:type="dxa"/>
            <w:vAlign w:val="bottom"/>
          </w:tcPr>
          <w:p>
            <w:pPr>
              <w:jc w:val="right"/>
              <w:ind w:right="43"/>
              <w:spacing w:after="0"/>
              <w:rPr>
                <w:sz w:val="20"/>
                <w:szCs w:val="20"/>
                <w:color w:val="auto"/>
              </w:rPr>
            </w:pPr>
            <w:r>
              <w:rPr>
                <w:rFonts w:ascii="Arial" w:cs="Arial" w:eastAsia="Arial" w:hAnsi="Arial"/>
                <w:sz w:val="11"/>
                <w:szCs w:val="11"/>
                <w:color w:val="auto"/>
              </w:rPr>
              <w:t>24</w:t>
            </w:r>
          </w:p>
        </w:tc>
        <w:tc>
          <w:tcPr>
            <w:tcW w:w="0" w:type="dxa"/>
            <w:vAlign w:val="bottom"/>
          </w:tcPr>
          <w:p>
            <w:pPr>
              <w:spacing w:after="0"/>
              <w:rPr>
                <w:sz w:val="1"/>
                <w:szCs w:val="1"/>
                <w:color w:val="auto"/>
              </w:rPr>
            </w:pPr>
          </w:p>
        </w:tc>
      </w:tr>
      <w:tr>
        <w:trPr>
          <w:trHeight w:val="220"/>
        </w:trPr>
        <w:tc>
          <w:tcPr>
            <w:tcW w:w="2420" w:type="dxa"/>
            <w:vAlign w:val="bottom"/>
            <w:shd w:val="clear" w:color="auto" w:fill="CCEEFF"/>
          </w:tcPr>
          <w:p>
            <w:pPr>
              <w:ind w:left="140"/>
              <w:spacing w:after="0"/>
              <w:rPr>
                <w:sz w:val="20"/>
                <w:szCs w:val="20"/>
                <w:color w:val="auto"/>
              </w:rPr>
            </w:pPr>
            <w:r>
              <w:rPr>
                <w:rFonts w:ascii="Arial" w:cs="Arial" w:eastAsia="Arial" w:hAnsi="Arial"/>
                <w:sz w:val="11"/>
                <w:szCs w:val="11"/>
                <w:color w:val="auto"/>
              </w:rPr>
              <w:t>Natural gas derivatives (3)(4)</w:t>
            </w:r>
          </w:p>
        </w:tc>
        <w:tc>
          <w:tcPr>
            <w:tcW w:w="16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203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ind w:left="420"/>
              <w:spacing w:after="0"/>
              <w:rPr>
                <w:sz w:val="20"/>
                <w:szCs w:val="20"/>
                <w:color w:val="auto"/>
              </w:rPr>
            </w:pPr>
            <w:r>
              <w:rPr>
                <w:rFonts w:ascii="Arial" w:cs="Arial" w:eastAsia="Arial" w:hAnsi="Arial"/>
                <w:sz w:val="11"/>
                <w:szCs w:val="11"/>
                <w:color w:val="auto"/>
              </w:rPr>
              <w:t>22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24"/>
              <w:spacing w:after="0"/>
              <w:rPr>
                <w:sz w:val="20"/>
                <w:szCs w:val="20"/>
                <w:color w:val="auto"/>
              </w:rPr>
            </w:pPr>
            <w:r>
              <w:rPr>
                <w:rFonts w:ascii="Arial" w:cs="Arial" w:eastAsia="Arial" w:hAnsi="Arial"/>
                <w:sz w:val="11"/>
                <w:szCs w:val="11"/>
                <w:color w:val="auto"/>
              </w:rPr>
              <w:t>(143)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82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191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ind w:left="420"/>
              <w:spacing w:after="0"/>
              <w:rPr>
                <w:sz w:val="20"/>
                <w:szCs w:val="20"/>
                <w:color w:val="auto"/>
              </w:rPr>
            </w:pPr>
            <w:r>
              <w:rPr>
                <w:rFonts w:ascii="Arial" w:cs="Arial" w:eastAsia="Arial" w:hAnsi="Arial"/>
                <w:sz w:val="11"/>
                <w:szCs w:val="11"/>
                <w:color w:val="auto"/>
              </w:rPr>
              <w:t>17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(101)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107</w:t>
            </w:r>
          </w:p>
        </w:tc>
        <w:tc>
          <w:tcPr>
            <w:tcW w:w="0" w:type="dxa"/>
            <w:vAlign w:val="bottom"/>
          </w:tcPr>
          <w:p>
            <w:pPr>
              <w:spacing w:after="0"/>
              <w:rPr>
                <w:sz w:val="1"/>
                <w:szCs w:val="1"/>
                <w:color w:val="auto"/>
              </w:rPr>
            </w:pPr>
          </w:p>
        </w:tc>
      </w:tr>
      <w:tr>
        <w:trPr>
          <w:trHeight w:val="211"/>
        </w:trPr>
        <w:tc>
          <w:tcPr>
            <w:tcW w:w="2420" w:type="dxa"/>
            <w:vAlign w:val="bottom"/>
            <w:tcBorders>
              <w:bottom w:val="single" w:sz="8" w:color="CCEEFF"/>
            </w:tcBorders>
          </w:tcPr>
          <w:p>
            <w:pPr>
              <w:ind w:left="140"/>
              <w:spacing w:after="0"/>
              <w:rPr>
                <w:sz w:val="20"/>
                <w:szCs w:val="20"/>
                <w:color w:val="auto"/>
              </w:rPr>
            </w:pPr>
            <w:r>
              <w:rPr>
                <w:rFonts w:ascii="Arial" w:cs="Arial" w:eastAsia="Arial" w:hAnsi="Arial"/>
                <w:sz w:val="11"/>
                <w:szCs w:val="11"/>
                <w:color w:val="auto"/>
              </w:rPr>
              <w:t>Hedged portion of natural gas inventory</w:t>
            </w: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color w:val="auto"/>
              </w:rPr>
              <w:t>7</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ind w:left="42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64"/>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auto"/>
              </w:rPr>
              <w:t>7</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ind w:left="4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44"/>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89"/>
        </w:trPr>
        <w:tc>
          <w:tcPr>
            <w:tcW w:w="2420" w:type="dxa"/>
            <w:vAlign w:val="bottom"/>
            <w:shd w:val="clear" w:color="auto" w:fill="CCEEFF"/>
          </w:tcPr>
          <w:p>
            <w:pPr>
              <w:ind w:left="300"/>
              <w:spacing w:after="0"/>
              <w:rPr>
                <w:sz w:val="20"/>
                <w:szCs w:val="20"/>
                <w:color w:val="auto"/>
              </w:rPr>
            </w:pPr>
            <w:r>
              <w:rPr>
                <w:rFonts w:ascii="Arial" w:cs="Arial" w:eastAsia="Arial" w:hAnsi="Arial"/>
                <w:sz w:val="11"/>
                <w:szCs w:val="11"/>
                <w:color w:val="auto"/>
              </w:rPr>
              <w:t>Total liabilities</w:t>
            </w:r>
          </w:p>
        </w:tc>
        <w:tc>
          <w:tcPr>
            <w:tcW w:w="16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w w:val="97"/>
              </w:rPr>
              <w:t>$</w:t>
            </w:r>
          </w:p>
        </w:tc>
        <w:tc>
          <w:tcPr>
            <w:tcW w:w="66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7</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w w:val="97"/>
              </w:rPr>
              <w:t>$</w:t>
            </w:r>
          </w:p>
        </w:tc>
        <w:tc>
          <w:tcPr>
            <w:tcW w:w="66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1,035</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EFF"/>
          </w:tcPr>
          <w:p>
            <w:pPr>
              <w:ind w:left="420"/>
              <w:spacing w:after="0"/>
              <w:rPr>
                <w:sz w:val="20"/>
                <w:szCs w:val="20"/>
                <w:color w:val="auto"/>
              </w:rPr>
            </w:pPr>
            <w:r>
              <w:rPr>
                <w:rFonts w:ascii="Arial" w:cs="Arial" w:eastAsia="Arial" w:hAnsi="Arial"/>
                <w:sz w:val="11"/>
                <w:szCs w:val="11"/>
                <w:color w:val="auto"/>
              </w:rPr>
              <w:t>22</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w w:val="97"/>
              </w:rPr>
              <w:t>$</w:t>
            </w:r>
          </w:p>
        </w:tc>
        <w:tc>
          <w:tcPr>
            <w:tcW w:w="660" w:type="dxa"/>
            <w:vAlign w:val="bottom"/>
            <w:shd w:val="clear" w:color="auto" w:fill="CCEEFF"/>
          </w:tcPr>
          <w:p>
            <w:pPr>
              <w:jc w:val="right"/>
              <w:ind w:right="24"/>
              <w:spacing w:after="0"/>
              <w:rPr>
                <w:sz w:val="20"/>
                <w:szCs w:val="20"/>
                <w:color w:val="auto"/>
              </w:rPr>
            </w:pPr>
            <w:r>
              <w:rPr>
                <w:rFonts w:ascii="Arial" w:cs="Arial" w:eastAsia="Arial" w:hAnsi="Arial"/>
                <w:sz w:val="11"/>
                <w:szCs w:val="11"/>
                <w:color w:val="auto"/>
              </w:rPr>
              <w:t>(143)</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68"/>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921</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w w:val="97"/>
              </w:rPr>
              <w:t>$</w:t>
            </w:r>
          </w:p>
        </w:tc>
        <w:tc>
          <w:tcPr>
            <w:tcW w:w="58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24</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w w:val="97"/>
              </w:rPr>
              <w:t>$</w:t>
            </w:r>
          </w:p>
        </w:tc>
        <w:tc>
          <w:tcPr>
            <w:tcW w:w="62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792</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640" w:type="dxa"/>
            <w:vAlign w:val="bottom"/>
            <w:shd w:val="clear" w:color="auto" w:fill="CCEEFF"/>
          </w:tcPr>
          <w:p>
            <w:pPr>
              <w:ind w:left="420"/>
              <w:spacing w:after="0"/>
              <w:rPr>
                <w:sz w:val="20"/>
                <w:szCs w:val="20"/>
                <w:color w:val="auto"/>
              </w:rPr>
            </w:pPr>
            <w:r>
              <w:rPr>
                <w:rFonts w:ascii="Arial" w:cs="Arial" w:eastAsia="Arial" w:hAnsi="Arial"/>
                <w:sz w:val="11"/>
                <w:szCs w:val="11"/>
                <w:color w:val="auto"/>
              </w:rPr>
              <w:t>17</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w w:val="97"/>
              </w:rPr>
              <w:t>$</w:t>
            </w:r>
          </w:p>
        </w:tc>
        <w:tc>
          <w:tcPr>
            <w:tcW w:w="62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(101)</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w w:val="97"/>
              </w:rPr>
              <w:t>$</w:t>
            </w:r>
          </w:p>
        </w:tc>
        <w:tc>
          <w:tcPr>
            <w:tcW w:w="60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732</w:t>
            </w:r>
          </w:p>
        </w:tc>
        <w:tc>
          <w:tcPr>
            <w:tcW w:w="0" w:type="dxa"/>
            <w:vAlign w:val="bottom"/>
          </w:tcPr>
          <w:p>
            <w:pPr>
              <w:spacing w:after="0"/>
              <w:rPr>
                <w:sz w:val="1"/>
                <w:szCs w:val="1"/>
                <w:color w:val="auto"/>
              </w:rPr>
            </w:pPr>
          </w:p>
        </w:tc>
      </w:tr>
      <w:tr>
        <w:trPr>
          <w:trHeight w:val="20"/>
        </w:trPr>
        <w:tc>
          <w:tcPr>
            <w:tcW w:w="24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Houston Electric</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4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gridSpan w:val="4"/>
          </w:tcPr>
          <w:p>
            <w:pPr>
              <w:ind w:left="60"/>
              <w:spacing w:after="0"/>
              <w:rPr>
                <w:sz w:val="20"/>
                <w:szCs w:val="20"/>
                <w:color w:val="auto"/>
              </w:rPr>
            </w:pPr>
            <w:r>
              <w:rPr>
                <w:rFonts w:ascii="Arial" w:cs="Arial" w:eastAsia="Arial" w:hAnsi="Arial"/>
                <w:sz w:val="11"/>
                <w:szCs w:val="11"/>
                <w:b w:val="1"/>
                <w:bCs w:val="1"/>
                <w:color w:val="auto"/>
                <w:w w:val="95"/>
              </w:rPr>
              <w:t>September 30, 2019</w:t>
            </w:r>
          </w:p>
        </w:tc>
        <w:tc>
          <w:tcPr>
            <w:tcW w:w="1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gridSpan w:val="4"/>
          </w:tcPr>
          <w:p>
            <w:pPr>
              <w:ind w:left="40"/>
              <w:spacing w:after="0"/>
              <w:rPr>
                <w:sz w:val="20"/>
                <w:szCs w:val="20"/>
                <w:color w:val="auto"/>
              </w:rPr>
            </w:pPr>
            <w:r>
              <w:rPr>
                <w:rFonts w:ascii="Arial" w:cs="Arial" w:eastAsia="Arial" w:hAnsi="Arial"/>
                <w:sz w:val="11"/>
                <w:szCs w:val="11"/>
                <w:b w:val="1"/>
                <w:bCs w:val="1"/>
                <w:color w:val="auto"/>
                <w:w w:val="94"/>
              </w:rPr>
              <w:t>December 31, 2018</w:t>
            </w:r>
          </w:p>
        </w:tc>
        <w:tc>
          <w:tcPr>
            <w:tcW w:w="1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r>
      <w:tr>
        <w:trPr>
          <w:trHeight w:val="245"/>
        </w:trPr>
        <w:tc>
          <w:tcPr>
            <w:tcW w:w="24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gridSpan w:val="2"/>
          </w:tcPr>
          <w:p>
            <w:pPr>
              <w:ind w:left="100"/>
              <w:spacing w:after="0"/>
              <w:rPr>
                <w:sz w:val="20"/>
                <w:szCs w:val="20"/>
                <w:color w:val="auto"/>
              </w:rPr>
            </w:pPr>
            <w:r>
              <w:rPr>
                <w:rFonts w:ascii="Arial" w:cs="Arial" w:eastAsia="Arial" w:hAnsi="Arial"/>
                <w:sz w:val="10"/>
                <w:szCs w:val="10"/>
                <w:b w:val="1"/>
                <w:bCs w:val="1"/>
                <w:color w:val="auto"/>
              </w:rPr>
              <w:t>Level 1</w:t>
            </w:r>
          </w:p>
        </w:tc>
        <w:tc>
          <w:tcPr>
            <w:tcW w:w="1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ind w:left="100"/>
              <w:spacing w:after="0"/>
              <w:rPr>
                <w:sz w:val="20"/>
                <w:szCs w:val="20"/>
                <w:color w:val="auto"/>
              </w:rPr>
            </w:pPr>
            <w:r>
              <w:rPr>
                <w:rFonts w:ascii="Arial" w:cs="Arial" w:eastAsia="Arial" w:hAnsi="Arial"/>
                <w:sz w:val="10"/>
                <w:szCs w:val="10"/>
                <w:b w:val="1"/>
                <w:bCs w:val="1"/>
                <w:color w:val="auto"/>
              </w:rPr>
              <w:t>Level 2</w:t>
            </w:r>
          </w:p>
        </w:tc>
        <w:tc>
          <w:tcPr>
            <w:tcW w:w="1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gridSpan w:val="2"/>
          </w:tcPr>
          <w:p>
            <w:pPr>
              <w:ind w:left="100"/>
              <w:spacing w:after="0"/>
              <w:rPr>
                <w:sz w:val="20"/>
                <w:szCs w:val="20"/>
                <w:color w:val="auto"/>
              </w:rPr>
            </w:pPr>
            <w:r>
              <w:rPr>
                <w:rFonts w:ascii="Arial" w:cs="Arial" w:eastAsia="Arial" w:hAnsi="Arial"/>
                <w:sz w:val="10"/>
                <w:szCs w:val="10"/>
                <w:b w:val="1"/>
                <w:bCs w:val="1"/>
                <w:color w:val="auto"/>
              </w:rPr>
              <w:t>Level 3</w:t>
            </w:r>
          </w:p>
        </w:tc>
        <w:tc>
          <w:tcPr>
            <w:tcW w:w="16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gridSpan w:val="2"/>
          </w:tcPr>
          <w:p>
            <w:pPr>
              <w:ind w:left="80"/>
              <w:spacing w:after="0"/>
              <w:rPr>
                <w:sz w:val="20"/>
                <w:szCs w:val="20"/>
                <w:color w:val="auto"/>
              </w:rPr>
            </w:pPr>
            <w:r>
              <w:rPr>
                <w:rFonts w:ascii="Arial" w:cs="Arial" w:eastAsia="Arial" w:hAnsi="Arial"/>
                <w:sz w:val="10"/>
                <w:szCs w:val="10"/>
                <w:b w:val="1"/>
                <w:bCs w:val="1"/>
                <w:color w:val="auto"/>
              </w:rPr>
              <w:t>Netting</w:t>
            </w:r>
          </w:p>
        </w:tc>
        <w:tc>
          <w:tcPr>
            <w:tcW w:w="18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gridSpan w:val="2"/>
          </w:tcPr>
          <w:p>
            <w:pPr>
              <w:ind w:left="120"/>
              <w:spacing w:after="0"/>
              <w:rPr>
                <w:sz w:val="20"/>
                <w:szCs w:val="20"/>
                <w:color w:val="auto"/>
              </w:rPr>
            </w:pPr>
            <w:r>
              <w:rPr>
                <w:rFonts w:ascii="Arial" w:cs="Arial" w:eastAsia="Arial" w:hAnsi="Arial"/>
                <w:sz w:val="10"/>
                <w:szCs w:val="10"/>
                <w:b w:val="1"/>
                <w:bCs w:val="1"/>
                <w:color w:val="auto"/>
              </w:rPr>
              <w:t>Total</w:t>
            </w:r>
          </w:p>
        </w:tc>
        <w:tc>
          <w:tcPr>
            <w:tcW w:w="2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gridSpan w:val="2"/>
          </w:tcPr>
          <w:p>
            <w:pPr>
              <w:ind w:left="40"/>
              <w:spacing w:after="0"/>
              <w:rPr>
                <w:sz w:val="20"/>
                <w:szCs w:val="20"/>
                <w:color w:val="auto"/>
              </w:rPr>
            </w:pPr>
            <w:r>
              <w:rPr>
                <w:rFonts w:ascii="Arial" w:cs="Arial" w:eastAsia="Arial" w:hAnsi="Arial"/>
                <w:sz w:val="10"/>
                <w:szCs w:val="10"/>
                <w:b w:val="1"/>
                <w:bCs w:val="1"/>
                <w:color w:val="auto"/>
              </w:rPr>
              <w:t>Level 1</w:t>
            </w:r>
          </w:p>
        </w:tc>
        <w:tc>
          <w:tcPr>
            <w:tcW w:w="16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ind w:left="80"/>
              <w:spacing w:after="0"/>
              <w:rPr>
                <w:sz w:val="20"/>
                <w:szCs w:val="20"/>
                <w:color w:val="auto"/>
              </w:rPr>
            </w:pPr>
            <w:r>
              <w:rPr>
                <w:rFonts w:ascii="Arial" w:cs="Arial" w:eastAsia="Arial" w:hAnsi="Arial"/>
                <w:sz w:val="10"/>
                <w:szCs w:val="10"/>
                <w:b w:val="1"/>
                <w:bCs w:val="1"/>
                <w:color w:val="auto"/>
              </w:rPr>
              <w:t>Level 2</w:t>
            </w:r>
          </w:p>
        </w:tc>
        <w:tc>
          <w:tcPr>
            <w:tcW w:w="1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gridSpan w:val="2"/>
          </w:tcPr>
          <w:p>
            <w:pPr>
              <w:ind w:left="80"/>
              <w:spacing w:after="0"/>
              <w:rPr>
                <w:sz w:val="20"/>
                <w:szCs w:val="20"/>
                <w:color w:val="auto"/>
              </w:rPr>
            </w:pPr>
            <w:r>
              <w:rPr>
                <w:rFonts w:ascii="Arial" w:cs="Arial" w:eastAsia="Arial" w:hAnsi="Arial"/>
                <w:sz w:val="10"/>
                <w:szCs w:val="10"/>
                <w:b w:val="1"/>
                <w:bCs w:val="1"/>
                <w:color w:val="auto"/>
              </w:rPr>
              <w:t>Level 3</w:t>
            </w:r>
          </w:p>
        </w:tc>
        <w:tc>
          <w:tcPr>
            <w:tcW w:w="16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gridSpan w:val="2"/>
          </w:tcPr>
          <w:p>
            <w:pPr>
              <w:ind w:left="80"/>
              <w:spacing w:after="0"/>
              <w:rPr>
                <w:sz w:val="20"/>
                <w:szCs w:val="20"/>
                <w:color w:val="auto"/>
              </w:rPr>
            </w:pPr>
            <w:r>
              <w:rPr>
                <w:rFonts w:ascii="Arial" w:cs="Arial" w:eastAsia="Arial" w:hAnsi="Arial"/>
                <w:sz w:val="10"/>
                <w:szCs w:val="10"/>
                <w:b w:val="1"/>
                <w:bCs w:val="1"/>
                <w:color w:val="auto"/>
              </w:rPr>
              <w:t>Netting</w:t>
            </w:r>
          </w:p>
        </w:tc>
        <w:tc>
          <w:tcPr>
            <w:tcW w:w="18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ind w:right="224"/>
              <w:spacing w:after="0"/>
              <w:rPr>
                <w:sz w:val="20"/>
                <w:szCs w:val="20"/>
                <w:color w:val="auto"/>
              </w:rPr>
            </w:pPr>
            <w:r>
              <w:rPr>
                <w:rFonts w:ascii="Arial" w:cs="Arial" w:eastAsia="Arial" w:hAnsi="Arial"/>
                <w:sz w:val="10"/>
                <w:szCs w:val="10"/>
                <w:b w:val="1"/>
                <w:bCs w:val="1"/>
                <w:color w:val="auto"/>
              </w:rPr>
              <w:t>Total</w:t>
            </w:r>
          </w:p>
        </w:tc>
      </w:tr>
      <w:tr>
        <w:trPr>
          <w:trHeight w:val="189"/>
        </w:trPr>
        <w:tc>
          <w:tcPr>
            <w:tcW w:w="2420" w:type="dxa"/>
            <w:vAlign w:val="bottom"/>
          </w:tcPr>
          <w:p>
            <w:pPr>
              <w:ind w:left="20"/>
              <w:spacing w:after="0"/>
              <w:rPr>
                <w:sz w:val="20"/>
                <w:szCs w:val="20"/>
                <w:color w:val="auto"/>
              </w:rPr>
            </w:pPr>
            <w:r>
              <w:rPr>
                <w:rFonts w:ascii="Arial" w:cs="Arial" w:eastAsia="Arial" w:hAnsi="Arial"/>
                <w:sz w:val="13"/>
                <w:szCs w:val="13"/>
                <w:b w:val="1"/>
                <w:bCs w:val="1"/>
                <w:color w:val="auto"/>
              </w:rPr>
              <w:t>Assets</w:t>
            </w: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gridSpan w:val="3"/>
          </w:tcPr>
          <w:p>
            <w:pPr>
              <w:jc w:val="right"/>
              <w:ind w:right="3"/>
              <w:spacing w:after="0"/>
              <w:rPr>
                <w:sz w:val="20"/>
                <w:szCs w:val="20"/>
                <w:color w:val="auto"/>
              </w:rPr>
            </w:pPr>
            <w:r>
              <w:rPr>
                <w:rFonts w:ascii="Arial" w:cs="Arial" w:eastAsia="Arial" w:hAnsi="Arial"/>
                <w:sz w:val="11"/>
                <w:szCs w:val="11"/>
                <w:b w:val="1"/>
                <w:bCs w:val="1"/>
                <w:color w:val="auto"/>
              </w:rPr>
              <w:t>(in millions)</w:t>
            </w: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216"/>
        </w:trPr>
        <w:tc>
          <w:tcPr>
            <w:tcW w:w="2420" w:type="dxa"/>
            <w:vAlign w:val="bottom"/>
            <w:shd w:val="clear" w:color="auto" w:fill="CCEEFF"/>
          </w:tcPr>
          <w:p>
            <w:pPr>
              <w:ind w:left="140"/>
              <w:spacing w:after="0"/>
              <w:rPr>
                <w:sz w:val="20"/>
                <w:szCs w:val="20"/>
                <w:color w:val="auto"/>
              </w:rPr>
            </w:pPr>
            <w:r>
              <w:rPr>
                <w:rFonts w:ascii="Arial" w:cs="Arial" w:eastAsia="Arial" w:hAnsi="Arial"/>
                <w:sz w:val="11"/>
                <w:szCs w:val="11"/>
                <w:color w:val="auto"/>
                <w:w w:val="99"/>
              </w:rPr>
              <w:t>Investments, including money market funds (2)</w:t>
            </w:r>
          </w:p>
        </w:tc>
        <w:tc>
          <w:tcPr>
            <w:tcW w:w="16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1"/>
                <w:szCs w:val="11"/>
                <w:color w:val="auto"/>
                <w:w w:val="97"/>
              </w:rPr>
              <w:t>$</w:t>
            </w:r>
          </w:p>
        </w:tc>
        <w:tc>
          <w:tcPr>
            <w:tcW w:w="66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1"/>
                <w:szCs w:val="11"/>
                <w:color w:val="auto"/>
              </w:rPr>
              <w:t>33</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1"/>
                <w:szCs w:val="11"/>
                <w:color w:val="auto"/>
                <w:w w:val="97"/>
              </w:rPr>
              <w:t>$</w:t>
            </w:r>
          </w:p>
        </w:tc>
        <w:tc>
          <w:tcPr>
            <w:tcW w:w="66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1"/>
                <w:szCs w:val="11"/>
                <w:color w:val="auto"/>
                <w:w w:val="97"/>
              </w:rPr>
              <w:t>$</w:t>
            </w:r>
          </w:p>
        </w:tc>
        <w:tc>
          <w:tcPr>
            <w:tcW w:w="66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1"/>
                <w:szCs w:val="11"/>
                <w:color w:val="auto"/>
                <w:w w:val="97"/>
              </w:rPr>
              <w:t>$</w:t>
            </w:r>
          </w:p>
        </w:tc>
        <w:tc>
          <w:tcPr>
            <w:tcW w:w="66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1"/>
                <w:szCs w:val="11"/>
                <w:color w:val="auto"/>
              </w:rPr>
              <w:t>33</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color w:val="auto"/>
                <w:w w:val="97"/>
              </w:rPr>
              <w:t>$</w:t>
            </w:r>
          </w:p>
        </w:tc>
        <w:tc>
          <w:tcPr>
            <w:tcW w:w="58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1"/>
                <w:szCs w:val="11"/>
                <w:color w:val="auto"/>
              </w:rPr>
              <w:t>48</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1"/>
                <w:szCs w:val="11"/>
                <w:color w:val="auto"/>
                <w:w w:val="97"/>
              </w:rPr>
              <w:t>$</w:t>
            </w:r>
          </w:p>
        </w:tc>
        <w:tc>
          <w:tcPr>
            <w:tcW w:w="62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1"/>
                <w:szCs w:val="11"/>
                <w:color w:val="auto"/>
                <w:w w:val="97"/>
              </w:rPr>
              <w:t>$</w:t>
            </w:r>
          </w:p>
        </w:tc>
        <w:tc>
          <w:tcPr>
            <w:tcW w:w="64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1"/>
                <w:szCs w:val="11"/>
                <w:color w:val="auto"/>
                <w:w w:val="97"/>
              </w:rPr>
              <w:t>$</w:t>
            </w:r>
          </w:p>
        </w:tc>
        <w:tc>
          <w:tcPr>
            <w:tcW w:w="62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1"/>
                <w:szCs w:val="11"/>
                <w:color w:val="auto"/>
                <w:w w:val="97"/>
              </w:rPr>
              <w:t>$</w:t>
            </w:r>
          </w:p>
        </w:tc>
        <w:tc>
          <w:tcPr>
            <w:tcW w:w="60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1"/>
                <w:szCs w:val="11"/>
                <w:color w:val="auto"/>
              </w:rPr>
              <w:t>48</w:t>
            </w:r>
          </w:p>
        </w:tc>
      </w:tr>
      <w:tr>
        <w:trPr>
          <w:trHeight w:val="229"/>
        </w:trPr>
        <w:tc>
          <w:tcPr>
            <w:tcW w:w="2420" w:type="dxa"/>
            <w:vAlign w:val="bottom"/>
          </w:tcPr>
          <w:p>
            <w:pPr>
              <w:ind w:left="300"/>
              <w:spacing w:after="0"/>
              <w:rPr>
                <w:sz w:val="20"/>
                <w:szCs w:val="20"/>
                <w:color w:val="auto"/>
              </w:rPr>
            </w:pPr>
            <w:r>
              <w:rPr>
                <w:rFonts w:ascii="Arial" w:cs="Arial" w:eastAsia="Arial" w:hAnsi="Arial"/>
                <w:sz w:val="11"/>
                <w:szCs w:val="11"/>
                <w:color w:val="auto"/>
              </w:rPr>
              <w:t>Total assets</w:t>
            </w:r>
          </w:p>
        </w:tc>
        <w:tc>
          <w:tcPr>
            <w:tcW w:w="160" w:type="dxa"/>
            <w:vAlign w:val="bottom"/>
          </w:tcPr>
          <w:p>
            <w:pPr>
              <w:jc w:val="right"/>
              <w:ind w:right="23"/>
              <w:spacing w:after="0"/>
              <w:rPr>
                <w:sz w:val="20"/>
                <w:szCs w:val="20"/>
                <w:color w:val="auto"/>
              </w:rPr>
            </w:pPr>
            <w:r>
              <w:rPr>
                <w:rFonts w:ascii="Arial" w:cs="Arial" w:eastAsia="Arial" w:hAnsi="Arial"/>
                <w:sz w:val="11"/>
                <w:szCs w:val="11"/>
                <w:color w:val="auto"/>
                <w:w w:val="97"/>
              </w:rPr>
              <w:t>$</w:t>
            </w:r>
          </w:p>
        </w:tc>
        <w:tc>
          <w:tcPr>
            <w:tcW w:w="660" w:type="dxa"/>
            <w:vAlign w:val="bottom"/>
          </w:tcPr>
          <w:p>
            <w:pPr>
              <w:jc w:val="right"/>
              <w:ind w:right="64"/>
              <w:spacing w:after="0"/>
              <w:rPr>
                <w:sz w:val="20"/>
                <w:szCs w:val="20"/>
                <w:color w:val="auto"/>
              </w:rPr>
            </w:pPr>
            <w:r>
              <w:rPr>
                <w:rFonts w:ascii="Arial" w:cs="Arial" w:eastAsia="Arial" w:hAnsi="Arial"/>
                <w:sz w:val="11"/>
                <w:szCs w:val="11"/>
                <w:color w:val="auto"/>
              </w:rPr>
              <w:t>33</w:t>
            </w:r>
          </w:p>
        </w:tc>
        <w:tc>
          <w:tcPr>
            <w:tcW w:w="120" w:type="dxa"/>
            <w:vAlign w:val="bottom"/>
          </w:tcPr>
          <w:p>
            <w:pPr>
              <w:spacing w:after="0"/>
              <w:rPr>
                <w:sz w:val="19"/>
                <w:szCs w:val="19"/>
                <w:color w:val="auto"/>
              </w:rPr>
            </w:pPr>
          </w:p>
        </w:tc>
        <w:tc>
          <w:tcPr>
            <w:tcW w:w="160" w:type="dxa"/>
            <w:vAlign w:val="bottom"/>
          </w:tcPr>
          <w:p>
            <w:pPr>
              <w:jc w:val="right"/>
              <w:ind w:right="23"/>
              <w:spacing w:after="0"/>
              <w:rPr>
                <w:sz w:val="20"/>
                <w:szCs w:val="20"/>
                <w:color w:val="auto"/>
              </w:rPr>
            </w:pPr>
            <w:r>
              <w:rPr>
                <w:rFonts w:ascii="Arial" w:cs="Arial" w:eastAsia="Arial" w:hAnsi="Arial"/>
                <w:sz w:val="11"/>
                <w:szCs w:val="11"/>
                <w:color w:val="auto"/>
                <w:w w:val="97"/>
              </w:rPr>
              <w:t>$</w:t>
            </w:r>
          </w:p>
        </w:tc>
        <w:tc>
          <w:tcPr>
            <w:tcW w:w="660" w:type="dxa"/>
            <w:vAlign w:val="bottom"/>
          </w:tcPr>
          <w:p>
            <w:pPr>
              <w:ind w:left="420"/>
              <w:spacing w:after="0"/>
              <w:rPr>
                <w:sz w:val="20"/>
                <w:szCs w:val="20"/>
                <w:color w:val="auto"/>
              </w:rPr>
            </w:pPr>
            <w:r>
              <w:rPr>
                <w:rFonts w:ascii="Arial" w:cs="Arial" w:eastAsia="Arial" w:hAnsi="Arial"/>
                <w:sz w:val="11"/>
                <w:szCs w:val="11"/>
                <w:color w:val="auto"/>
              </w:rPr>
              <w:t>—</w:t>
            </w:r>
          </w:p>
        </w:tc>
        <w:tc>
          <w:tcPr>
            <w:tcW w:w="280" w:type="dxa"/>
            <w:vAlign w:val="bottom"/>
            <w:gridSpan w:val="2"/>
          </w:tcPr>
          <w:p>
            <w:pPr>
              <w:jc w:val="right"/>
              <w:ind w:right="23"/>
              <w:spacing w:after="0"/>
              <w:rPr>
                <w:sz w:val="20"/>
                <w:szCs w:val="20"/>
                <w:color w:val="auto"/>
              </w:rPr>
            </w:pPr>
            <w:r>
              <w:rPr>
                <w:rFonts w:ascii="Arial" w:cs="Arial" w:eastAsia="Arial" w:hAnsi="Arial"/>
                <w:sz w:val="11"/>
                <w:szCs w:val="11"/>
                <w:color w:val="auto"/>
              </w:rPr>
              <w:t>$</w:t>
            </w:r>
          </w:p>
        </w:tc>
        <w:tc>
          <w:tcPr>
            <w:tcW w:w="780" w:type="dxa"/>
            <w:vAlign w:val="bottom"/>
            <w:gridSpan w:val="2"/>
          </w:tcPr>
          <w:p>
            <w:pPr>
              <w:ind w:left="420"/>
              <w:spacing w:after="0"/>
              <w:rPr>
                <w:sz w:val="20"/>
                <w:szCs w:val="20"/>
                <w:color w:val="auto"/>
              </w:rPr>
            </w:pPr>
            <w:r>
              <w:rPr>
                <w:rFonts w:ascii="Arial" w:cs="Arial" w:eastAsia="Arial" w:hAnsi="Arial"/>
                <w:sz w:val="11"/>
                <w:szCs w:val="11"/>
                <w:color w:val="auto"/>
              </w:rPr>
              <w:t>—</w:t>
            </w:r>
          </w:p>
        </w:tc>
        <w:tc>
          <w:tcPr>
            <w:tcW w:w="160" w:type="dxa"/>
            <w:vAlign w:val="bottom"/>
          </w:tcPr>
          <w:p>
            <w:pPr>
              <w:jc w:val="right"/>
              <w:ind w:right="23"/>
              <w:spacing w:after="0"/>
              <w:rPr>
                <w:sz w:val="20"/>
                <w:szCs w:val="20"/>
                <w:color w:val="auto"/>
              </w:rPr>
            </w:pPr>
            <w:r>
              <w:rPr>
                <w:rFonts w:ascii="Arial" w:cs="Arial" w:eastAsia="Arial" w:hAnsi="Arial"/>
                <w:sz w:val="11"/>
                <w:szCs w:val="11"/>
                <w:color w:val="auto"/>
                <w:w w:val="97"/>
              </w:rPr>
              <w:t>$</w:t>
            </w:r>
          </w:p>
        </w:tc>
        <w:tc>
          <w:tcPr>
            <w:tcW w:w="780" w:type="dxa"/>
            <w:vAlign w:val="bottom"/>
            <w:gridSpan w:val="2"/>
          </w:tcPr>
          <w:p>
            <w:pPr>
              <w:ind w:left="420"/>
              <w:spacing w:after="0"/>
              <w:rPr>
                <w:sz w:val="20"/>
                <w:szCs w:val="20"/>
                <w:color w:val="auto"/>
              </w:rPr>
            </w:pPr>
            <w:r>
              <w:rPr>
                <w:rFonts w:ascii="Arial" w:cs="Arial" w:eastAsia="Arial" w:hAnsi="Arial"/>
                <w:sz w:val="11"/>
                <w:szCs w:val="11"/>
                <w:color w:val="auto"/>
              </w:rPr>
              <w:t>—</w:t>
            </w:r>
          </w:p>
        </w:tc>
        <w:tc>
          <w:tcPr>
            <w:tcW w:w="180" w:type="dxa"/>
            <w:vAlign w:val="bottom"/>
          </w:tcPr>
          <w:p>
            <w:pPr>
              <w:jc w:val="right"/>
              <w:ind w:right="68"/>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ind w:right="44"/>
              <w:spacing w:after="0"/>
              <w:rPr>
                <w:sz w:val="20"/>
                <w:szCs w:val="20"/>
                <w:color w:val="auto"/>
              </w:rPr>
            </w:pPr>
            <w:r>
              <w:rPr>
                <w:rFonts w:ascii="Arial" w:cs="Arial" w:eastAsia="Arial" w:hAnsi="Arial"/>
                <w:sz w:val="11"/>
                <w:szCs w:val="11"/>
                <w:color w:val="auto"/>
              </w:rPr>
              <w:t>33</w:t>
            </w:r>
          </w:p>
        </w:tc>
        <w:tc>
          <w:tcPr>
            <w:tcW w:w="120" w:type="dxa"/>
            <w:vAlign w:val="bottom"/>
          </w:tcPr>
          <w:p>
            <w:pPr>
              <w:spacing w:after="0"/>
              <w:rPr>
                <w:sz w:val="19"/>
                <w:szCs w:val="19"/>
                <w:color w:val="auto"/>
              </w:rPr>
            </w:pPr>
          </w:p>
        </w:tc>
        <w:tc>
          <w:tcPr>
            <w:tcW w:w="200" w:type="dxa"/>
            <w:vAlign w:val="bottom"/>
          </w:tcPr>
          <w:p>
            <w:pPr>
              <w:jc w:val="right"/>
              <w:ind w:right="63"/>
              <w:spacing w:after="0"/>
              <w:rPr>
                <w:sz w:val="20"/>
                <w:szCs w:val="20"/>
                <w:color w:val="auto"/>
              </w:rPr>
            </w:pPr>
            <w:r>
              <w:rPr>
                <w:rFonts w:ascii="Arial" w:cs="Arial" w:eastAsia="Arial" w:hAnsi="Arial"/>
                <w:sz w:val="11"/>
                <w:szCs w:val="11"/>
                <w:color w:val="auto"/>
                <w:w w:val="97"/>
              </w:rPr>
              <w:t>$</w:t>
            </w:r>
          </w:p>
        </w:tc>
        <w:tc>
          <w:tcPr>
            <w:tcW w:w="580" w:type="dxa"/>
            <w:vAlign w:val="bottom"/>
          </w:tcPr>
          <w:p>
            <w:pPr>
              <w:jc w:val="right"/>
              <w:ind w:right="44"/>
              <w:spacing w:after="0"/>
              <w:rPr>
                <w:sz w:val="20"/>
                <w:szCs w:val="20"/>
                <w:color w:val="auto"/>
              </w:rPr>
            </w:pPr>
            <w:r>
              <w:rPr>
                <w:rFonts w:ascii="Arial" w:cs="Arial" w:eastAsia="Arial" w:hAnsi="Arial"/>
                <w:sz w:val="11"/>
                <w:szCs w:val="11"/>
                <w:color w:val="auto"/>
              </w:rPr>
              <w:t>48</w:t>
            </w:r>
          </w:p>
        </w:tc>
        <w:tc>
          <w:tcPr>
            <w:tcW w:w="120" w:type="dxa"/>
            <w:vAlign w:val="bottom"/>
          </w:tcPr>
          <w:p>
            <w:pPr>
              <w:spacing w:after="0"/>
              <w:rPr>
                <w:sz w:val="19"/>
                <w:szCs w:val="19"/>
                <w:color w:val="auto"/>
              </w:rPr>
            </w:pPr>
          </w:p>
        </w:tc>
        <w:tc>
          <w:tcPr>
            <w:tcW w:w="160" w:type="dxa"/>
            <w:vAlign w:val="bottom"/>
          </w:tcPr>
          <w:p>
            <w:pPr>
              <w:jc w:val="right"/>
              <w:ind w:right="23"/>
              <w:spacing w:after="0"/>
              <w:rPr>
                <w:sz w:val="20"/>
                <w:szCs w:val="20"/>
                <w:color w:val="auto"/>
              </w:rPr>
            </w:pPr>
            <w:r>
              <w:rPr>
                <w:rFonts w:ascii="Arial" w:cs="Arial" w:eastAsia="Arial" w:hAnsi="Arial"/>
                <w:sz w:val="11"/>
                <w:szCs w:val="11"/>
                <w:color w:val="auto"/>
                <w:w w:val="97"/>
              </w:rPr>
              <w:t>$</w:t>
            </w:r>
          </w:p>
        </w:tc>
        <w:tc>
          <w:tcPr>
            <w:tcW w:w="620" w:type="dxa"/>
            <w:vAlign w:val="bottom"/>
          </w:tcPr>
          <w:p>
            <w:pPr>
              <w:ind w:left="400"/>
              <w:spacing w:after="0"/>
              <w:rPr>
                <w:sz w:val="20"/>
                <w:szCs w:val="20"/>
                <w:color w:val="auto"/>
              </w:rPr>
            </w:pPr>
            <w:r>
              <w:rPr>
                <w:rFonts w:ascii="Arial" w:cs="Arial" w:eastAsia="Arial" w:hAnsi="Arial"/>
                <w:sz w:val="11"/>
                <w:szCs w:val="11"/>
                <w:color w:val="auto"/>
              </w:rPr>
              <w:t>—</w:t>
            </w:r>
          </w:p>
        </w:tc>
        <w:tc>
          <w:tcPr>
            <w:tcW w:w="260" w:type="dxa"/>
            <w:vAlign w:val="bottom"/>
            <w:gridSpan w:val="2"/>
          </w:tcPr>
          <w:p>
            <w:pPr>
              <w:jc w:val="right"/>
              <w:ind w:right="23"/>
              <w:spacing w:after="0"/>
              <w:rPr>
                <w:sz w:val="20"/>
                <w:szCs w:val="20"/>
                <w:color w:val="auto"/>
              </w:rPr>
            </w:pPr>
            <w:r>
              <w:rPr>
                <w:rFonts w:ascii="Arial" w:cs="Arial" w:eastAsia="Arial" w:hAnsi="Arial"/>
                <w:sz w:val="11"/>
                <w:szCs w:val="11"/>
                <w:color w:val="auto"/>
              </w:rPr>
              <w:t>$</w:t>
            </w:r>
          </w:p>
        </w:tc>
        <w:tc>
          <w:tcPr>
            <w:tcW w:w="740" w:type="dxa"/>
            <w:vAlign w:val="bottom"/>
            <w:gridSpan w:val="2"/>
          </w:tcPr>
          <w:p>
            <w:pPr>
              <w:ind w:left="420"/>
              <w:spacing w:after="0"/>
              <w:rPr>
                <w:sz w:val="20"/>
                <w:szCs w:val="20"/>
                <w:color w:val="auto"/>
              </w:rPr>
            </w:pPr>
            <w:r>
              <w:rPr>
                <w:rFonts w:ascii="Arial" w:cs="Arial" w:eastAsia="Arial" w:hAnsi="Arial"/>
                <w:sz w:val="11"/>
                <w:szCs w:val="11"/>
                <w:color w:val="auto"/>
              </w:rPr>
              <w:t>—</w:t>
            </w:r>
          </w:p>
        </w:tc>
        <w:tc>
          <w:tcPr>
            <w:tcW w:w="160" w:type="dxa"/>
            <w:vAlign w:val="bottom"/>
          </w:tcPr>
          <w:p>
            <w:pPr>
              <w:jc w:val="right"/>
              <w:ind w:right="23"/>
              <w:spacing w:after="0"/>
              <w:rPr>
                <w:sz w:val="20"/>
                <w:szCs w:val="20"/>
                <w:color w:val="auto"/>
              </w:rPr>
            </w:pPr>
            <w:r>
              <w:rPr>
                <w:rFonts w:ascii="Arial" w:cs="Arial" w:eastAsia="Arial" w:hAnsi="Arial"/>
                <w:sz w:val="11"/>
                <w:szCs w:val="11"/>
                <w:color w:val="auto"/>
                <w:w w:val="97"/>
              </w:rPr>
              <w:t>$</w:t>
            </w:r>
          </w:p>
        </w:tc>
        <w:tc>
          <w:tcPr>
            <w:tcW w:w="740" w:type="dxa"/>
            <w:vAlign w:val="bottom"/>
            <w:gridSpan w:val="2"/>
          </w:tcPr>
          <w:p>
            <w:pPr>
              <w:ind w:left="400"/>
              <w:spacing w:after="0"/>
              <w:rPr>
                <w:sz w:val="20"/>
                <w:szCs w:val="20"/>
                <w:color w:val="auto"/>
              </w:rPr>
            </w:pPr>
            <w:r>
              <w:rPr>
                <w:rFonts w:ascii="Arial" w:cs="Arial" w:eastAsia="Arial" w:hAnsi="Arial"/>
                <w:sz w:val="11"/>
                <w:szCs w:val="11"/>
                <w:color w:val="auto"/>
              </w:rPr>
              <w:t>—</w:t>
            </w:r>
          </w:p>
        </w:tc>
        <w:tc>
          <w:tcPr>
            <w:tcW w:w="180" w:type="dxa"/>
            <w:vAlign w:val="bottom"/>
          </w:tcPr>
          <w:p>
            <w:pPr>
              <w:jc w:val="right"/>
              <w:ind w:right="43"/>
              <w:spacing w:after="0"/>
              <w:rPr>
                <w:sz w:val="20"/>
                <w:szCs w:val="20"/>
                <w:color w:val="auto"/>
              </w:rPr>
            </w:pPr>
            <w:r>
              <w:rPr>
                <w:rFonts w:ascii="Arial" w:cs="Arial" w:eastAsia="Arial" w:hAnsi="Arial"/>
                <w:sz w:val="11"/>
                <w:szCs w:val="11"/>
                <w:color w:val="auto"/>
                <w:w w:val="97"/>
              </w:rPr>
              <w:t>$</w:t>
            </w:r>
          </w:p>
        </w:tc>
        <w:tc>
          <w:tcPr>
            <w:tcW w:w="600" w:type="dxa"/>
            <w:vAlign w:val="bottom"/>
          </w:tcPr>
          <w:p>
            <w:pPr>
              <w:jc w:val="right"/>
              <w:ind w:right="44"/>
              <w:spacing w:after="0"/>
              <w:rPr>
                <w:sz w:val="20"/>
                <w:szCs w:val="20"/>
                <w:color w:val="auto"/>
              </w:rPr>
            </w:pPr>
            <w:r>
              <w:rPr>
                <w:rFonts w:ascii="Arial" w:cs="Arial" w:eastAsia="Arial" w:hAnsi="Arial"/>
                <w:sz w:val="11"/>
                <w:szCs w:val="11"/>
                <w:color w:val="auto"/>
              </w:rPr>
              <w:t>48</w:t>
            </w:r>
          </w:p>
        </w:tc>
      </w:tr>
      <w:tr>
        <w:trPr>
          <w:trHeight w:val="168"/>
        </w:trPr>
        <w:tc>
          <w:tcPr>
            <w:tcW w:w="24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Liabilities</w:t>
            </w:r>
          </w:p>
        </w:tc>
        <w:tc>
          <w:tcPr>
            <w:tcW w:w="160" w:type="dxa"/>
            <w:vAlign w:val="bottom"/>
            <w:tcBorders>
              <w:top w:val="single" w:sz="8" w:color="auto"/>
              <w:bottom w:val="single" w:sz="8" w:color="CCEEFF"/>
            </w:tcBorders>
            <w:shd w:val="clear" w:color="auto" w:fill="CCEEFF"/>
          </w:tcPr>
          <w:p>
            <w:pPr>
              <w:spacing w:after="0"/>
              <w:rPr>
                <w:sz w:val="14"/>
                <w:szCs w:val="14"/>
                <w:color w:val="auto"/>
              </w:rPr>
            </w:pPr>
          </w:p>
        </w:tc>
        <w:tc>
          <w:tcPr>
            <w:tcW w:w="660" w:type="dxa"/>
            <w:vAlign w:val="bottom"/>
            <w:tcBorders>
              <w:top w:val="single" w:sz="8" w:color="auto"/>
              <w:bottom w:val="single" w:sz="8" w:color="CCEEFF"/>
            </w:tcBorders>
            <w:shd w:val="clear" w:color="auto" w:fill="CCEEFF"/>
          </w:tcPr>
          <w:p>
            <w:pPr>
              <w:spacing w:after="0"/>
              <w:rPr>
                <w:sz w:val="14"/>
                <w:szCs w:val="14"/>
                <w:color w:val="auto"/>
              </w:rPr>
            </w:pP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CCEEFF"/>
            </w:tcBorders>
            <w:shd w:val="clear" w:color="auto" w:fill="CCEEFF"/>
          </w:tcPr>
          <w:p>
            <w:pPr>
              <w:spacing w:after="0"/>
              <w:rPr>
                <w:sz w:val="14"/>
                <w:szCs w:val="14"/>
                <w:color w:val="auto"/>
              </w:rPr>
            </w:pPr>
          </w:p>
        </w:tc>
        <w:tc>
          <w:tcPr>
            <w:tcW w:w="660" w:type="dxa"/>
            <w:vAlign w:val="bottom"/>
            <w:tcBorders>
              <w:top w:val="single" w:sz="8" w:color="auto"/>
              <w:bottom w:val="single" w:sz="8" w:color="CCEEFF"/>
            </w:tcBorders>
            <w:shd w:val="clear" w:color="auto" w:fill="CCEEFF"/>
          </w:tcPr>
          <w:p>
            <w:pPr>
              <w:spacing w:after="0"/>
              <w:rPr>
                <w:sz w:val="14"/>
                <w:szCs w:val="14"/>
                <w:color w:val="auto"/>
              </w:rPr>
            </w:pP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CCEEFF"/>
            </w:tcBorders>
            <w:shd w:val="clear" w:color="auto" w:fill="CCEEFF"/>
          </w:tcPr>
          <w:p>
            <w:pPr>
              <w:spacing w:after="0"/>
              <w:rPr>
                <w:sz w:val="14"/>
                <w:szCs w:val="14"/>
                <w:color w:val="auto"/>
              </w:rPr>
            </w:pPr>
          </w:p>
        </w:tc>
        <w:tc>
          <w:tcPr>
            <w:tcW w:w="660" w:type="dxa"/>
            <w:vAlign w:val="bottom"/>
            <w:tcBorders>
              <w:top w:val="single" w:sz="8" w:color="auto"/>
              <w:bottom w:val="single" w:sz="8" w:color="CCEEFF"/>
            </w:tcBorders>
            <w:shd w:val="clear" w:color="auto" w:fill="CCEEFF"/>
          </w:tcPr>
          <w:p>
            <w:pPr>
              <w:spacing w:after="0"/>
              <w:rPr>
                <w:sz w:val="14"/>
                <w:szCs w:val="14"/>
                <w:color w:val="auto"/>
              </w:rPr>
            </w:pP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CCEEFF"/>
            </w:tcBorders>
            <w:shd w:val="clear" w:color="auto" w:fill="CCEEFF"/>
          </w:tcPr>
          <w:p>
            <w:pPr>
              <w:spacing w:after="0"/>
              <w:rPr>
                <w:sz w:val="14"/>
                <w:szCs w:val="14"/>
                <w:color w:val="auto"/>
              </w:rPr>
            </w:pPr>
          </w:p>
        </w:tc>
        <w:tc>
          <w:tcPr>
            <w:tcW w:w="660" w:type="dxa"/>
            <w:vAlign w:val="bottom"/>
            <w:tcBorders>
              <w:top w:val="single" w:sz="8" w:color="auto"/>
              <w:bottom w:val="single" w:sz="8" w:color="CCEEFF"/>
            </w:tcBorders>
            <w:shd w:val="clear" w:color="auto" w:fill="CCEEFF"/>
          </w:tcPr>
          <w:p>
            <w:pPr>
              <w:spacing w:after="0"/>
              <w:rPr>
                <w:sz w:val="14"/>
                <w:szCs w:val="14"/>
                <w:color w:val="auto"/>
              </w:rPr>
            </w:pP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CCEEFF"/>
            </w:tcBorders>
            <w:shd w:val="clear" w:color="auto" w:fill="CCEEFF"/>
          </w:tcPr>
          <w:p>
            <w:pPr>
              <w:spacing w:after="0"/>
              <w:rPr>
                <w:sz w:val="14"/>
                <w:szCs w:val="14"/>
                <w:color w:val="auto"/>
              </w:rPr>
            </w:pPr>
          </w:p>
        </w:tc>
        <w:tc>
          <w:tcPr>
            <w:tcW w:w="620" w:type="dxa"/>
            <w:vAlign w:val="bottom"/>
            <w:tcBorders>
              <w:top w:val="single" w:sz="8" w:color="auto"/>
              <w:bottom w:val="single" w:sz="8" w:color="CCEEFF"/>
            </w:tcBorders>
            <w:shd w:val="clear" w:color="auto" w:fill="CCEEFF"/>
          </w:tcPr>
          <w:p>
            <w:pPr>
              <w:spacing w:after="0"/>
              <w:rPr>
                <w:sz w:val="14"/>
                <w:szCs w:val="14"/>
                <w:color w:val="auto"/>
              </w:rPr>
            </w:pP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200" w:type="dxa"/>
            <w:vAlign w:val="bottom"/>
            <w:tcBorders>
              <w:top w:val="single" w:sz="8" w:color="auto"/>
              <w:bottom w:val="single" w:sz="8" w:color="CCEEFF"/>
            </w:tcBorders>
            <w:shd w:val="clear" w:color="auto" w:fill="CCEEFF"/>
          </w:tcPr>
          <w:p>
            <w:pPr>
              <w:spacing w:after="0"/>
              <w:rPr>
                <w:sz w:val="14"/>
                <w:szCs w:val="14"/>
                <w:color w:val="auto"/>
              </w:rPr>
            </w:pPr>
          </w:p>
        </w:tc>
        <w:tc>
          <w:tcPr>
            <w:tcW w:w="580" w:type="dxa"/>
            <w:vAlign w:val="bottom"/>
            <w:tcBorders>
              <w:top w:val="single" w:sz="8" w:color="auto"/>
              <w:bottom w:val="single" w:sz="8" w:color="CCEEFF"/>
            </w:tcBorders>
            <w:shd w:val="clear" w:color="auto" w:fill="CCEEFF"/>
          </w:tcPr>
          <w:p>
            <w:pPr>
              <w:spacing w:after="0"/>
              <w:rPr>
                <w:sz w:val="14"/>
                <w:szCs w:val="14"/>
                <w:color w:val="auto"/>
              </w:rPr>
            </w:pP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CCEEFF"/>
            </w:tcBorders>
            <w:shd w:val="clear" w:color="auto" w:fill="CCEEFF"/>
          </w:tcPr>
          <w:p>
            <w:pPr>
              <w:spacing w:after="0"/>
              <w:rPr>
                <w:sz w:val="14"/>
                <w:szCs w:val="14"/>
                <w:color w:val="auto"/>
              </w:rPr>
            </w:pPr>
          </w:p>
        </w:tc>
        <w:tc>
          <w:tcPr>
            <w:tcW w:w="620" w:type="dxa"/>
            <w:vAlign w:val="bottom"/>
            <w:tcBorders>
              <w:top w:val="single" w:sz="8" w:color="auto"/>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CCEEFF"/>
            </w:tcBorders>
            <w:shd w:val="clear" w:color="auto" w:fill="CCEEFF"/>
          </w:tcPr>
          <w:p>
            <w:pPr>
              <w:spacing w:after="0"/>
              <w:rPr>
                <w:sz w:val="14"/>
                <w:szCs w:val="14"/>
                <w:color w:val="auto"/>
              </w:rPr>
            </w:pPr>
          </w:p>
        </w:tc>
        <w:tc>
          <w:tcPr>
            <w:tcW w:w="640" w:type="dxa"/>
            <w:vAlign w:val="bottom"/>
            <w:tcBorders>
              <w:top w:val="single" w:sz="8" w:color="auto"/>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CCEEFF"/>
            </w:tcBorders>
            <w:shd w:val="clear" w:color="auto" w:fill="CCEEFF"/>
          </w:tcPr>
          <w:p>
            <w:pPr>
              <w:spacing w:after="0"/>
              <w:rPr>
                <w:sz w:val="14"/>
                <w:szCs w:val="14"/>
                <w:color w:val="auto"/>
              </w:rPr>
            </w:pPr>
          </w:p>
        </w:tc>
        <w:tc>
          <w:tcPr>
            <w:tcW w:w="620" w:type="dxa"/>
            <w:vAlign w:val="bottom"/>
            <w:tcBorders>
              <w:top w:val="single" w:sz="8" w:color="auto"/>
              <w:bottom w:val="single" w:sz="8" w:color="CCEEFF"/>
            </w:tcBorders>
            <w:shd w:val="clear" w:color="auto" w:fill="CCEEFF"/>
          </w:tcPr>
          <w:p>
            <w:pPr>
              <w:spacing w:after="0"/>
              <w:rPr>
                <w:sz w:val="14"/>
                <w:szCs w:val="14"/>
                <w:color w:val="auto"/>
              </w:rPr>
            </w:pP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CCEEFF"/>
            </w:tcBorders>
            <w:shd w:val="clear" w:color="auto" w:fill="CCEEFF"/>
          </w:tcPr>
          <w:p>
            <w:pPr>
              <w:spacing w:after="0"/>
              <w:rPr>
                <w:sz w:val="14"/>
                <w:szCs w:val="14"/>
                <w:color w:val="auto"/>
              </w:rPr>
            </w:pPr>
          </w:p>
        </w:tc>
        <w:tc>
          <w:tcPr>
            <w:tcW w:w="600" w:type="dxa"/>
            <w:vAlign w:val="bottom"/>
            <w:tcBorders>
              <w:top w:val="single" w:sz="8" w:color="auto"/>
              <w:bottom w:val="single" w:sz="8" w:color="CCEEFF"/>
            </w:tcBorders>
            <w:shd w:val="clear" w:color="auto" w:fill="CCEEFF"/>
          </w:tcPr>
          <w:p>
            <w:pPr>
              <w:spacing w:after="0"/>
              <w:rPr>
                <w:sz w:val="14"/>
                <w:szCs w:val="14"/>
                <w:color w:val="auto"/>
              </w:rPr>
            </w:pPr>
          </w:p>
        </w:tc>
      </w:tr>
      <w:tr>
        <w:trPr>
          <w:trHeight w:val="211"/>
        </w:trPr>
        <w:tc>
          <w:tcPr>
            <w:tcW w:w="2420" w:type="dxa"/>
            <w:vAlign w:val="bottom"/>
            <w:tcBorders>
              <w:bottom w:val="single" w:sz="8" w:color="CCEEFF"/>
            </w:tcBorders>
          </w:tcPr>
          <w:p>
            <w:pPr>
              <w:ind w:left="140"/>
              <w:spacing w:after="0"/>
              <w:rPr>
                <w:sz w:val="20"/>
                <w:szCs w:val="20"/>
                <w:color w:val="auto"/>
              </w:rPr>
            </w:pPr>
            <w:r>
              <w:rPr>
                <w:rFonts w:ascii="Arial" w:cs="Arial" w:eastAsia="Arial" w:hAnsi="Arial"/>
                <w:sz w:val="11"/>
                <w:szCs w:val="11"/>
                <w:color w:val="auto"/>
              </w:rPr>
              <w:t>Interest rate derivatives</w:t>
            </w:r>
          </w:p>
        </w:tc>
        <w:tc>
          <w:tcPr>
            <w:tcW w:w="160" w:type="dxa"/>
            <w:vAlign w:val="bottom"/>
            <w:tcBorders>
              <w:bottom w:val="single" w:sz="8" w:color="auto"/>
            </w:tcBorders>
          </w:tcPr>
          <w:p>
            <w:pPr>
              <w:jc w:val="right"/>
              <w:ind w:right="23"/>
              <w:spacing w:after="0"/>
              <w:rPr>
                <w:sz w:val="20"/>
                <w:szCs w:val="20"/>
                <w:color w:val="auto"/>
              </w:rPr>
            </w:pPr>
            <w:r>
              <w:rPr>
                <w:rFonts w:ascii="Arial" w:cs="Arial" w:eastAsia="Arial" w:hAnsi="Arial"/>
                <w:sz w:val="11"/>
                <w:szCs w:val="11"/>
                <w:color w:val="auto"/>
                <w:w w:val="97"/>
              </w:rPr>
              <w:t>$</w:t>
            </w:r>
          </w:p>
        </w:tc>
        <w:tc>
          <w:tcPr>
            <w:tcW w:w="660" w:type="dxa"/>
            <w:vAlign w:val="bottom"/>
            <w:tcBorders>
              <w:bottom w:val="single" w:sz="8" w:color="auto"/>
            </w:tcBorders>
          </w:tcPr>
          <w:p>
            <w:pPr>
              <w:jc w:val="right"/>
              <w:ind w:right="64"/>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jc w:val="right"/>
              <w:ind w:right="23"/>
              <w:spacing w:after="0"/>
              <w:rPr>
                <w:sz w:val="20"/>
                <w:szCs w:val="20"/>
                <w:color w:val="auto"/>
              </w:rPr>
            </w:pPr>
            <w:r>
              <w:rPr>
                <w:rFonts w:ascii="Arial" w:cs="Arial" w:eastAsia="Arial" w:hAnsi="Arial"/>
                <w:sz w:val="11"/>
                <w:szCs w:val="11"/>
                <w:color w:val="auto"/>
                <w:w w:val="97"/>
              </w:rPr>
              <w:t>$</w:t>
            </w:r>
          </w:p>
        </w:tc>
        <w:tc>
          <w:tcPr>
            <w:tcW w:w="660" w:type="dxa"/>
            <w:vAlign w:val="bottom"/>
            <w:tcBorders>
              <w:bottom w:val="single" w:sz="8" w:color="auto"/>
            </w:tcBorders>
          </w:tcPr>
          <w:p>
            <w:pPr>
              <w:ind w:left="42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jc w:val="right"/>
              <w:ind w:right="23"/>
              <w:spacing w:after="0"/>
              <w:rPr>
                <w:sz w:val="20"/>
                <w:szCs w:val="20"/>
                <w:color w:val="auto"/>
              </w:rPr>
            </w:pPr>
            <w:r>
              <w:rPr>
                <w:rFonts w:ascii="Arial" w:cs="Arial" w:eastAsia="Arial" w:hAnsi="Arial"/>
                <w:sz w:val="11"/>
                <w:szCs w:val="11"/>
                <w:color w:val="auto"/>
                <w:w w:val="97"/>
              </w:rPr>
              <w:t>$</w:t>
            </w:r>
          </w:p>
        </w:tc>
        <w:tc>
          <w:tcPr>
            <w:tcW w:w="660" w:type="dxa"/>
            <w:vAlign w:val="bottom"/>
            <w:tcBorders>
              <w:bottom w:val="single" w:sz="8" w:color="auto"/>
            </w:tcBorders>
          </w:tcPr>
          <w:p>
            <w:pPr>
              <w:ind w:left="42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jc w:val="right"/>
              <w:ind w:right="23"/>
              <w:spacing w:after="0"/>
              <w:rPr>
                <w:sz w:val="20"/>
                <w:szCs w:val="20"/>
                <w:color w:val="auto"/>
              </w:rPr>
            </w:pPr>
            <w:r>
              <w:rPr>
                <w:rFonts w:ascii="Arial" w:cs="Arial" w:eastAsia="Arial" w:hAnsi="Arial"/>
                <w:sz w:val="11"/>
                <w:szCs w:val="11"/>
                <w:color w:val="auto"/>
                <w:w w:val="97"/>
              </w:rPr>
              <w:t>$</w:t>
            </w:r>
          </w:p>
        </w:tc>
        <w:tc>
          <w:tcPr>
            <w:tcW w:w="660" w:type="dxa"/>
            <w:vAlign w:val="bottom"/>
            <w:tcBorders>
              <w:bottom w:val="single" w:sz="8" w:color="auto"/>
            </w:tcBorders>
          </w:tcPr>
          <w:p>
            <w:pPr>
              <w:ind w:left="42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jc w:val="right"/>
              <w:ind w:right="68"/>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auto"/>
            </w:tcBorders>
          </w:tcPr>
          <w:p>
            <w:pPr>
              <w:jc w:val="right"/>
              <w:ind w:right="44"/>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color w:val="auto"/>
                <w:w w:val="97"/>
              </w:rPr>
              <w:t>$</w:t>
            </w:r>
          </w:p>
        </w:tc>
        <w:tc>
          <w:tcPr>
            <w:tcW w:w="580" w:type="dxa"/>
            <w:vAlign w:val="bottom"/>
            <w:tcBorders>
              <w:bottom w:val="single" w:sz="8" w:color="auto"/>
            </w:tcBorders>
          </w:tcPr>
          <w:p>
            <w:pPr>
              <w:jc w:val="right"/>
              <w:ind w:right="44"/>
              <w:spacing w:after="0"/>
              <w:rPr>
                <w:sz w:val="20"/>
                <w:szCs w:val="20"/>
                <w:color w:val="auto"/>
              </w:rPr>
            </w:pPr>
            <w:r>
              <w:rPr>
                <w:rFonts w:ascii="Arial" w:cs="Arial" w:eastAsia="Arial" w:hAnsi="Arial"/>
                <w:sz w:val="11"/>
                <w:szCs w:val="11"/>
                <w:color w:val="auto"/>
              </w:rPr>
              <w:t>24</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jc w:val="right"/>
              <w:ind w:right="23"/>
              <w:spacing w:after="0"/>
              <w:rPr>
                <w:sz w:val="20"/>
                <w:szCs w:val="20"/>
                <w:color w:val="auto"/>
              </w:rPr>
            </w:pPr>
            <w:r>
              <w:rPr>
                <w:rFonts w:ascii="Arial" w:cs="Arial" w:eastAsia="Arial" w:hAnsi="Arial"/>
                <w:sz w:val="11"/>
                <w:szCs w:val="11"/>
                <w:color w:val="auto"/>
                <w:w w:val="97"/>
              </w:rPr>
              <w:t>$</w:t>
            </w:r>
          </w:p>
        </w:tc>
        <w:tc>
          <w:tcPr>
            <w:tcW w:w="620" w:type="dxa"/>
            <w:vAlign w:val="bottom"/>
            <w:tcBorders>
              <w:bottom w:val="single" w:sz="8" w:color="auto"/>
            </w:tcBorders>
          </w:tcPr>
          <w:p>
            <w:pPr>
              <w:ind w:left="40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jc w:val="right"/>
              <w:ind w:right="23"/>
              <w:spacing w:after="0"/>
              <w:rPr>
                <w:sz w:val="20"/>
                <w:szCs w:val="20"/>
                <w:color w:val="auto"/>
              </w:rPr>
            </w:pPr>
            <w:r>
              <w:rPr>
                <w:rFonts w:ascii="Arial" w:cs="Arial" w:eastAsia="Arial" w:hAnsi="Arial"/>
                <w:sz w:val="11"/>
                <w:szCs w:val="11"/>
                <w:color w:val="auto"/>
                <w:w w:val="97"/>
              </w:rPr>
              <w:t>$</w:t>
            </w:r>
          </w:p>
        </w:tc>
        <w:tc>
          <w:tcPr>
            <w:tcW w:w="640" w:type="dxa"/>
            <w:vAlign w:val="bottom"/>
            <w:tcBorders>
              <w:bottom w:val="single" w:sz="8" w:color="auto"/>
            </w:tcBorders>
          </w:tcPr>
          <w:p>
            <w:pPr>
              <w:ind w:left="4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jc w:val="right"/>
              <w:ind w:right="23"/>
              <w:spacing w:after="0"/>
              <w:rPr>
                <w:sz w:val="20"/>
                <w:szCs w:val="20"/>
                <w:color w:val="auto"/>
              </w:rPr>
            </w:pPr>
            <w:r>
              <w:rPr>
                <w:rFonts w:ascii="Arial" w:cs="Arial" w:eastAsia="Arial" w:hAnsi="Arial"/>
                <w:sz w:val="11"/>
                <w:szCs w:val="11"/>
                <w:color w:val="auto"/>
                <w:w w:val="97"/>
              </w:rPr>
              <w:t>$</w:t>
            </w:r>
          </w:p>
        </w:tc>
        <w:tc>
          <w:tcPr>
            <w:tcW w:w="620" w:type="dxa"/>
            <w:vAlign w:val="bottom"/>
            <w:tcBorders>
              <w:bottom w:val="single" w:sz="8" w:color="auto"/>
            </w:tcBorders>
          </w:tcPr>
          <w:p>
            <w:pPr>
              <w:ind w:left="4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auto"/>
                <w:w w:val="97"/>
              </w:rPr>
              <w:t>$</w:t>
            </w:r>
          </w:p>
        </w:tc>
        <w:tc>
          <w:tcPr>
            <w:tcW w:w="600" w:type="dxa"/>
            <w:vAlign w:val="bottom"/>
            <w:tcBorders>
              <w:bottom w:val="single" w:sz="8" w:color="auto"/>
            </w:tcBorders>
          </w:tcPr>
          <w:p>
            <w:pPr>
              <w:jc w:val="right"/>
              <w:ind w:right="44"/>
              <w:spacing w:after="0"/>
              <w:rPr>
                <w:sz w:val="20"/>
                <w:szCs w:val="20"/>
                <w:color w:val="auto"/>
              </w:rPr>
            </w:pPr>
            <w:r>
              <w:rPr>
                <w:rFonts w:ascii="Arial" w:cs="Arial" w:eastAsia="Arial" w:hAnsi="Arial"/>
                <w:sz w:val="11"/>
                <w:szCs w:val="11"/>
                <w:color w:val="auto"/>
              </w:rPr>
              <w:t>24</w:t>
            </w:r>
          </w:p>
        </w:tc>
      </w:tr>
      <w:tr>
        <w:trPr>
          <w:trHeight w:val="189"/>
        </w:trPr>
        <w:tc>
          <w:tcPr>
            <w:tcW w:w="2420" w:type="dxa"/>
            <w:vAlign w:val="bottom"/>
            <w:shd w:val="clear" w:color="auto" w:fill="CCEEFF"/>
          </w:tcPr>
          <w:p>
            <w:pPr>
              <w:ind w:left="300"/>
              <w:spacing w:after="0"/>
              <w:rPr>
                <w:sz w:val="20"/>
                <w:szCs w:val="20"/>
                <w:color w:val="auto"/>
              </w:rPr>
            </w:pPr>
            <w:r>
              <w:rPr>
                <w:rFonts w:ascii="Arial" w:cs="Arial" w:eastAsia="Arial" w:hAnsi="Arial"/>
                <w:sz w:val="11"/>
                <w:szCs w:val="11"/>
                <w:color w:val="auto"/>
              </w:rPr>
              <w:t>Total liabilities</w:t>
            </w:r>
          </w:p>
        </w:tc>
        <w:tc>
          <w:tcPr>
            <w:tcW w:w="16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w w:val="97"/>
              </w:rPr>
              <w:t>$</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w w:val="97"/>
              </w:rPr>
              <w:t>$</w:t>
            </w:r>
          </w:p>
        </w:tc>
        <w:tc>
          <w:tcPr>
            <w:tcW w:w="660" w:type="dxa"/>
            <w:vAlign w:val="bottom"/>
            <w:shd w:val="clear" w:color="auto" w:fill="CCEEFF"/>
          </w:tcPr>
          <w:p>
            <w:pPr>
              <w:ind w:left="420"/>
              <w:spacing w:after="0"/>
              <w:rPr>
                <w:sz w:val="20"/>
                <w:szCs w:val="20"/>
                <w:color w:val="auto"/>
              </w:rPr>
            </w:pPr>
            <w:r>
              <w:rPr>
                <w:rFonts w:ascii="Arial" w:cs="Arial" w:eastAsia="Arial" w:hAnsi="Arial"/>
                <w:sz w:val="11"/>
                <w:szCs w:val="11"/>
                <w:color w:val="auto"/>
              </w:rPr>
              <w:t>—</w:t>
            </w:r>
          </w:p>
        </w:tc>
        <w:tc>
          <w:tcPr>
            <w:tcW w:w="280" w:type="dxa"/>
            <w:vAlign w:val="bottom"/>
            <w:gridSpan w:val="2"/>
            <w:shd w:val="clear" w:color="auto" w:fill="CCEEFF"/>
          </w:tcPr>
          <w:p>
            <w:pPr>
              <w:jc w:val="right"/>
              <w:ind w:right="23"/>
              <w:spacing w:after="0"/>
              <w:rPr>
                <w:sz w:val="20"/>
                <w:szCs w:val="20"/>
                <w:color w:val="auto"/>
              </w:rPr>
            </w:pPr>
            <w:r>
              <w:rPr>
                <w:rFonts w:ascii="Arial" w:cs="Arial" w:eastAsia="Arial" w:hAnsi="Arial"/>
                <w:sz w:val="11"/>
                <w:szCs w:val="11"/>
                <w:color w:val="auto"/>
              </w:rPr>
              <w:t>$</w:t>
            </w:r>
          </w:p>
        </w:tc>
        <w:tc>
          <w:tcPr>
            <w:tcW w:w="780" w:type="dxa"/>
            <w:vAlign w:val="bottom"/>
            <w:gridSpan w:val="2"/>
            <w:shd w:val="clear" w:color="auto" w:fill="CCEEFF"/>
          </w:tcPr>
          <w:p>
            <w:pPr>
              <w:ind w:left="42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w w:val="97"/>
              </w:rPr>
              <w:t>$</w:t>
            </w:r>
          </w:p>
        </w:tc>
        <w:tc>
          <w:tcPr>
            <w:tcW w:w="780" w:type="dxa"/>
            <w:vAlign w:val="bottom"/>
            <w:gridSpan w:val="2"/>
            <w:shd w:val="clear" w:color="auto" w:fill="CCEEFF"/>
          </w:tcPr>
          <w:p>
            <w:pPr>
              <w:ind w:left="42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jc w:val="right"/>
              <w:ind w:right="68"/>
              <w:spacing w:after="0"/>
              <w:rPr>
                <w:sz w:val="20"/>
                <w:szCs w:val="20"/>
                <w:color w:val="auto"/>
              </w:rPr>
            </w:pPr>
            <w:r>
              <w:rPr>
                <w:rFonts w:ascii="Arial" w:cs="Arial" w:eastAsia="Arial" w:hAnsi="Arial"/>
                <w:sz w:val="10"/>
                <w:szCs w:val="10"/>
                <w:color w:val="auto"/>
                <w:w w:val="71"/>
              </w:rPr>
              <w:t>$</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w w:val="97"/>
              </w:rPr>
              <w:t>$</w:t>
            </w:r>
          </w:p>
        </w:tc>
        <w:tc>
          <w:tcPr>
            <w:tcW w:w="580" w:type="dxa"/>
            <w:vAlign w:val="bottom"/>
            <w:shd w:val="clear" w:color="auto" w:fill="CCEEFF"/>
          </w:tcPr>
          <w:p>
            <w:pPr>
              <w:jc w:val="right"/>
              <w:ind w:right="44"/>
              <w:spacing w:after="0"/>
              <w:rPr>
                <w:sz w:val="20"/>
                <w:szCs w:val="20"/>
                <w:color w:val="auto"/>
              </w:rPr>
            </w:pPr>
            <w:r>
              <w:rPr>
                <w:rFonts w:ascii="Arial" w:cs="Arial" w:eastAsia="Arial" w:hAnsi="Arial"/>
                <w:sz w:val="11"/>
                <w:szCs w:val="11"/>
                <w:color w:val="auto"/>
              </w:rPr>
              <w:t>24</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w w:val="97"/>
              </w:rPr>
              <w:t>$</w:t>
            </w:r>
          </w:p>
        </w:tc>
        <w:tc>
          <w:tcPr>
            <w:tcW w:w="620" w:type="dxa"/>
            <w:vAlign w:val="bottom"/>
            <w:shd w:val="clear" w:color="auto" w:fill="CCEEFF"/>
          </w:tcPr>
          <w:p>
            <w:pPr>
              <w:ind w:left="400"/>
              <w:spacing w:after="0"/>
              <w:rPr>
                <w:sz w:val="20"/>
                <w:szCs w:val="20"/>
                <w:color w:val="auto"/>
              </w:rPr>
            </w:pPr>
            <w:r>
              <w:rPr>
                <w:rFonts w:ascii="Arial" w:cs="Arial" w:eastAsia="Arial" w:hAnsi="Arial"/>
                <w:sz w:val="11"/>
                <w:szCs w:val="11"/>
                <w:color w:val="auto"/>
              </w:rPr>
              <w:t>—</w:t>
            </w:r>
          </w:p>
        </w:tc>
        <w:tc>
          <w:tcPr>
            <w:tcW w:w="260" w:type="dxa"/>
            <w:vAlign w:val="bottom"/>
            <w:gridSpan w:val="2"/>
            <w:shd w:val="clear" w:color="auto" w:fill="CCEEFF"/>
          </w:tcPr>
          <w:p>
            <w:pPr>
              <w:jc w:val="right"/>
              <w:ind w:right="23"/>
              <w:spacing w:after="0"/>
              <w:rPr>
                <w:sz w:val="20"/>
                <w:szCs w:val="20"/>
                <w:color w:val="auto"/>
              </w:rPr>
            </w:pPr>
            <w:r>
              <w:rPr>
                <w:rFonts w:ascii="Arial" w:cs="Arial" w:eastAsia="Arial" w:hAnsi="Arial"/>
                <w:sz w:val="11"/>
                <w:szCs w:val="11"/>
                <w:color w:val="auto"/>
              </w:rPr>
              <w:t>$</w:t>
            </w:r>
          </w:p>
        </w:tc>
        <w:tc>
          <w:tcPr>
            <w:tcW w:w="740" w:type="dxa"/>
            <w:vAlign w:val="bottom"/>
            <w:gridSpan w:val="2"/>
            <w:shd w:val="clear" w:color="auto" w:fill="CCEEFF"/>
          </w:tcPr>
          <w:p>
            <w:pPr>
              <w:ind w:left="42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w w:val="97"/>
              </w:rPr>
              <w:t>$</w:t>
            </w:r>
          </w:p>
        </w:tc>
        <w:tc>
          <w:tcPr>
            <w:tcW w:w="740" w:type="dxa"/>
            <w:vAlign w:val="bottom"/>
            <w:gridSpan w:val="2"/>
            <w:shd w:val="clear" w:color="auto" w:fill="CCEEFF"/>
          </w:tcPr>
          <w:p>
            <w:pPr>
              <w:ind w:left="40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w w:val="97"/>
              </w:rPr>
              <w:t>$</w:t>
            </w:r>
          </w:p>
        </w:tc>
        <w:tc>
          <w:tcPr>
            <w:tcW w:w="600" w:type="dxa"/>
            <w:vAlign w:val="bottom"/>
            <w:shd w:val="clear" w:color="auto" w:fill="CCEEFF"/>
          </w:tcPr>
          <w:p>
            <w:pPr>
              <w:jc w:val="right"/>
              <w:ind w:right="44"/>
              <w:spacing w:after="0"/>
              <w:rPr>
                <w:sz w:val="20"/>
                <w:szCs w:val="20"/>
                <w:color w:val="auto"/>
              </w:rPr>
            </w:pPr>
            <w:r>
              <w:rPr>
                <w:rFonts w:ascii="Arial" w:cs="Arial" w:eastAsia="Arial" w:hAnsi="Arial"/>
                <w:sz w:val="11"/>
                <w:szCs w:val="11"/>
                <w:color w:val="auto"/>
              </w:rPr>
              <w:t>24</w:t>
            </w:r>
          </w:p>
        </w:tc>
      </w:tr>
      <w:tr>
        <w:trPr>
          <w:trHeight w:val="20"/>
        </w:trPr>
        <w:tc>
          <w:tcPr>
            <w:tcW w:w="24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r>
    </w:tbl>
    <w:p>
      <w:pPr>
        <w:spacing w:after="0" w:line="15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CERC</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4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gridSpan w:val="5"/>
          </w:tcPr>
          <w:p>
            <w:pPr>
              <w:ind w:left="20"/>
              <w:spacing w:after="0"/>
              <w:rPr>
                <w:sz w:val="20"/>
                <w:szCs w:val="20"/>
                <w:color w:val="auto"/>
              </w:rPr>
            </w:pPr>
            <w:r>
              <w:rPr>
                <w:rFonts w:ascii="Arial" w:cs="Arial" w:eastAsia="Arial" w:hAnsi="Arial"/>
                <w:sz w:val="11"/>
                <w:szCs w:val="11"/>
                <w:b w:val="1"/>
                <w:bCs w:val="1"/>
                <w:color w:val="auto"/>
              </w:rPr>
              <w:t>September 30, 2019</w:t>
            </w:r>
          </w:p>
        </w:tc>
        <w:tc>
          <w:tcPr>
            <w:tcW w:w="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gridSpan w:val="4"/>
          </w:tcPr>
          <w:p>
            <w:pPr>
              <w:ind w:left="40"/>
              <w:spacing w:after="0"/>
              <w:rPr>
                <w:sz w:val="20"/>
                <w:szCs w:val="20"/>
                <w:color w:val="auto"/>
              </w:rPr>
            </w:pPr>
            <w:r>
              <w:rPr>
                <w:rFonts w:ascii="Arial" w:cs="Arial" w:eastAsia="Arial" w:hAnsi="Arial"/>
                <w:sz w:val="11"/>
                <w:szCs w:val="11"/>
                <w:b w:val="1"/>
                <w:bCs w:val="1"/>
                <w:color w:val="auto"/>
                <w:w w:val="94"/>
              </w:rPr>
              <w:t>December 31, 2018</w:t>
            </w:r>
          </w:p>
        </w:tc>
        <w:tc>
          <w:tcPr>
            <w:tcW w:w="1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1"/>
        </w:trPr>
        <w:tc>
          <w:tcPr>
            <w:tcW w:w="2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gridSpan w:val="2"/>
          </w:tcPr>
          <w:p>
            <w:pPr>
              <w:ind w:left="80"/>
              <w:spacing w:after="0" w:line="112" w:lineRule="exact"/>
              <w:rPr>
                <w:sz w:val="20"/>
                <w:szCs w:val="20"/>
                <w:color w:val="auto"/>
              </w:rPr>
            </w:pPr>
            <w:r>
              <w:rPr>
                <w:rFonts w:ascii="Arial" w:cs="Arial" w:eastAsia="Arial" w:hAnsi="Arial"/>
                <w:sz w:val="10"/>
                <w:szCs w:val="10"/>
                <w:b w:val="1"/>
                <w:bCs w:val="1"/>
                <w:color w:val="auto"/>
              </w:rPr>
              <w:t>Netting</w:t>
            </w: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gridSpan w:val="2"/>
          </w:tcPr>
          <w:p>
            <w:pPr>
              <w:ind w:left="80"/>
              <w:spacing w:after="0" w:line="112" w:lineRule="exact"/>
              <w:rPr>
                <w:sz w:val="20"/>
                <w:szCs w:val="20"/>
                <w:color w:val="auto"/>
              </w:rPr>
            </w:pPr>
            <w:r>
              <w:rPr>
                <w:rFonts w:ascii="Arial" w:cs="Arial" w:eastAsia="Arial" w:hAnsi="Arial"/>
                <w:sz w:val="10"/>
                <w:szCs w:val="10"/>
                <w:b w:val="1"/>
                <w:bCs w:val="1"/>
                <w:color w:val="auto"/>
              </w:rPr>
              <w:t>Netting</w:t>
            </w: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24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gridSpan w:val="2"/>
          </w:tcPr>
          <w:p>
            <w:pPr>
              <w:ind w:left="100"/>
              <w:spacing w:after="0"/>
              <w:rPr>
                <w:sz w:val="20"/>
                <w:szCs w:val="20"/>
                <w:color w:val="auto"/>
              </w:rPr>
            </w:pPr>
            <w:r>
              <w:rPr>
                <w:rFonts w:ascii="Arial" w:cs="Arial" w:eastAsia="Arial" w:hAnsi="Arial"/>
                <w:sz w:val="10"/>
                <w:szCs w:val="10"/>
                <w:b w:val="1"/>
                <w:bCs w:val="1"/>
                <w:color w:val="auto"/>
              </w:rPr>
              <w:t>Level 1</w:t>
            </w:r>
          </w:p>
        </w:tc>
        <w:tc>
          <w:tcPr>
            <w:tcW w:w="16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ind w:right="103"/>
              <w:spacing w:after="0"/>
              <w:rPr>
                <w:sz w:val="20"/>
                <w:szCs w:val="20"/>
                <w:color w:val="auto"/>
              </w:rPr>
            </w:pPr>
            <w:r>
              <w:rPr>
                <w:rFonts w:ascii="Arial" w:cs="Arial" w:eastAsia="Arial" w:hAnsi="Arial"/>
                <w:sz w:val="10"/>
                <w:szCs w:val="10"/>
                <w:b w:val="1"/>
                <w:bCs w:val="1"/>
                <w:color w:val="auto"/>
              </w:rPr>
              <w:t>Level 2</w:t>
            </w:r>
          </w:p>
        </w:tc>
        <w:tc>
          <w:tcPr>
            <w:tcW w:w="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gridSpan w:val="2"/>
          </w:tcPr>
          <w:p>
            <w:pPr>
              <w:ind w:left="80"/>
              <w:spacing w:after="0"/>
              <w:rPr>
                <w:sz w:val="20"/>
                <w:szCs w:val="20"/>
                <w:color w:val="auto"/>
              </w:rPr>
            </w:pPr>
            <w:r>
              <w:rPr>
                <w:rFonts w:ascii="Arial" w:cs="Arial" w:eastAsia="Arial" w:hAnsi="Arial"/>
                <w:sz w:val="10"/>
                <w:szCs w:val="10"/>
                <w:b w:val="1"/>
                <w:bCs w:val="1"/>
                <w:color w:val="auto"/>
              </w:rPr>
              <w:t>Level 3</w:t>
            </w:r>
          </w:p>
        </w:tc>
        <w:tc>
          <w:tcPr>
            <w:tcW w:w="1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ind w:right="284"/>
              <w:spacing w:after="0"/>
              <w:rPr>
                <w:sz w:val="20"/>
                <w:szCs w:val="20"/>
                <w:color w:val="auto"/>
              </w:rPr>
            </w:pPr>
            <w:r>
              <w:rPr>
                <w:rFonts w:ascii="Arial" w:cs="Arial" w:eastAsia="Arial" w:hAnsi="Arial"/>
                <w:sz w:val="10"/>
                <w:szCs w:val="10"/>
                <w:b w:val="1"/>
                <w:bCs w:val="1"/>
                <w:color w:val="auto"/>
              </w:rPr>
              <w:t>(1)</w:t>
            </w:r>
          </w:p>
        </w:tc>
        <w:tc>
          <w:tcPr>
            <w:tcW w:w="1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gridSpan w:val="2"/>
          </w:tcPr>
          <w:p>
            <w:pPr>
              <w:ind w:left="100"/>
              <w:spacing w:after="0"/>
              <w:rPr>
                <w:sz w:val="20"/>
                <w:szCs w:val="20"/>
                <w:color w:val="auto"/>
              </w:rPr>
            </w:pPr>
            <w:r>
              <w:rPr>
                <w:rFonts w:ascii="Arial" w:cs="Arial" w:eastAsia="Arial" w:hAnsi="Arial"/>
                <w:sz w:val="10"/>
                <w:szCs w:val="10"/>
                <w:b w:val="1"/>
                <w:bCs w:val="1"/>
                <w:color w:val="auto"/>
              </w:rPr>
              <w:t>Total</w:t>
            </w:r>
          </w:p>
        </w:tc>
        <w:tc>
          <w:tcPr>
            <w:tcW w:w="2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gridSpan w:val="2"/>
          </w:tcPr>
          <w:p>
            <w:pPr>
              <w:ind w:left="40"/>
              <w:spacing w:after="0"/>
              <w:rPr>
                <w:sz w:val="20"/>
                <w:szCs w:val="20"/>
                <w:color w:val="auto"/>
              </w:rPr>
            </w:pPr>
            <w:r>
              <w:rPr>
                <w:rFonts w:ascii="Arial" w:cs="Arial" w:eastAsia="Arial" w:hAnsi="Arial"/>
                <w:sz w:val="10"/>
                <w:szCs w:val="10"/>
                <w:b w:val="1"/>
                <w:bCs w:val="1"/>
                <w:color w:val="auto"/>
              </w:rPr>
              <w:t>Level 1</w:t>
            </w:r>
          </w:p>
        </w:tc>
        <w:tc>
          <w:tcPr>
            <w:tcW w:w="16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ind w:right="183"/>
              <w:spacing w:after="0"/>
              <w:rPr>
                <w:sz w:val="20"/>
                <w:szCs w:val="20"/>
                <w:color w:val="auto"/>
              </w:rPr>
            </w:pPr>
            <w:r>
              <w:rPr>
                <w:rFonts w:ascii="Arial" w:cs="Arial" w:eastAsia="Arial" w:hAnsi="Arial"/>
                <w:sz w:val="10"/>
                <w:szCs w:val="10"/>
                <w:b w:val="1"/>
                <w:bCs w:val="1"/>
                <w:color w:val="auto"/>
              </w:rPr>
              <w:t>Level 2</w:t>
            </w:r>
          </w:p>
        </w:tc>
        <w:tc>
          <w:tcPr>
            <w:tcW w:w="1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gridSpan w:val="2"/>
          </w:tcPr>
          <w:p>
            <w:pPr>
              <w:ind w:left="80"/>
              <w:spacing w:after="0"/>
              <w:rPr>
                <w:sz w:val="20"/>
                <w:szCs w:val="20"/>
                <w:color w:val="auto"/>
              </w:rPr>
            </w:pPr>
            <w:r>
              <w:rPr>
                <w:rFonts w:ascii="Arial" w:cs="Arial" w:eastAsia="Arial" w:hAnsi="Arial"/>
                <w:sz w:val="10"/>
                <w:szCs w:val="10"/>
                <w:b w:val="1"/>
                <w:bCs w:val="1"/>
                <w:color w:val="auto"/>
              </w:rPr>
              <w:t>Level 3</w:t>
            </w:r>
          </w:p>
        </w:tc>
        <w:tc>
          <w:tcPr>
            <w:tcW w:w="16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ind w:right="264"/>
              <w:spacing w:after="0"/>
              <w:rPr>
                <w:sz w:val="20"/>
                <w:szCs w:val="20"/>
                <w:color w:val="auto"/>
              </w:rPr>
            </w:pPr>
            <w:r>
              <w:rPr>
                <w:rFonts w:ascii="Arial" w:cs="Arial" w:eastAsia="Arial" w:hAnsi="Arial"/>
                <w:sz w:val="10"/>
                <w:szCs w:val="10"/>
                <w:b w:val="1"/>
                <w:bCs w:val="1"/>
                <w:color w:val="auto"/>
              </w:rPr>
              <w:t>(1)</w:t>
            </w:r>
          </w:p>
        </w:tc>
        <w:tc>
          <w:tcPr>
            <w:tcW w:w="1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ind w:right="223"/>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89"/>
        </w:trPr>
        <w:tc>
          <w:tcPr>
            <w:tcW w:w="2420" w:type="dxa"/>
            <w:vAlign w:val="bottom"/>
          </w:tcPr>
          <w:p>
            <w:pPr>
              <w:ind w:left="20"/>
              <w:spacing w:after="0"/>
              <w:rPr>
                <w:sz w:val="20"/>
                <w:szCs w:val="20"/>
                <w:color w:val="auto"/>
              </w:rPr>
            </w:pPr>
            <w:r>
              <w:rPr>
                <w:rFonts w:ascii="Arial" w:cs="Arial" w:eastAsia="Arial" w:hAnsi="Arial"/>
                <w:sz w:val="13"/>
                <w:szCs w:val="13"/>
                <w:b w:val="1"/>
                <w:bCs w:val="1"/>
                <w:color w:val="auto"/>
              </w:rPr>
              <w:t>Assets</w:t>
            </w: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gridSpan w:val="3"/>
          </w:tcPr>
          <w:p>
            <w:pPr>
              <w:jc w:val="right"/>
              <w:ind w:right="3"/>
              <w:spacing w:after="0"/>
              <w:rPr>
                <w:sz w:val="20"/>
                <w:szCs w:val="20"/>
                <w:color w:val="auto"/>
              </w:rPr>
            </w:pPr>
            <w:r>
              <w:rPr>
                <w:rFonts w:ascii="Arial" w:cs="Arial" w:eastAsia="Arial" w:hAnsi="Arial"/>
                <w:sz w:val="11"/>
                <w:szCs w:val="11"/>
                <w:b w:val="1"/>
                <w:bCs w:val="1"/>
                <w:color w:val="auto"/>
              </w:rPr>
              <w:t>(in millions)</w:t>
            </w: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420" w:type="dxa"/>
            <w:vAlign w:val="bottom"/>
            <w:shd w:val="clear" w:color="auto" w:fill="CCEEFF"/>
          </w:tcPr>
          <w:p>
            <w:pPr>
              <w:ind w:left="140"/>
              <w:spacing w:after="0"/>
              <w:rPr>
                <w:sz w:val="20"/>
                <w:szCs w:val="20"/>
                <w:color w:val="auto"/>
              </w:rPr>
            </w:pPr>
            <w:r>
              <w:rPr>
                <w:rFonts w:ascii="Arial" w:cs="Arial" w:eastAsia="Arial" w:hAnsi="Arial"/>
                <w:sz w:val="11"/>
                <w:szCs w:val="11"/>
                <w:color w:val="auto"/>
              </w:rPr>
              <w:t>Corporate equities</w:t>
            </w:r>
          </w:p>
        </w:tc>
        <w:tc>
          <w:tcPr>
            <w:tcW w:w="16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w w:val="97"/>
              </w:rPr>
              <w:t>$</w:t>
            </w:r>
          </w:p>
        </w:tc>
        <w:tc>
          <w:tcPr>
            <w:tcW w:w="66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2</w:t>
            </w:r>
          </w:p>
        </w:tc>
        <w:tc>
          <w:tcPr>
            <w:tcW w:w="280" w:type="dxa"/>
            <w:vAlign w:val="bottom"/>
            <w:shd w:val="clear" w:color="auto" w:fill="CCEEFF"/>
          </w:tcPr>
          <w:p>
            <w:pPr>
              <w:spacing w:after="0"/>
              <w:rPr>
                <w:sz w:val="19"/>
                <w:szCs w:val="19"/>
                <w:color w:val="auto"/>
              </w:rPr>
            </w:pPr>
          </w:p>
        </w:tc>
        <w:tc>
          <w:tcPr>
            <w:tcW w:w="16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w w:val="97"/>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360" w:type="dxa"/>
            <w:vAlign w:val="bottom"/>
            <w:gridSpan w:val="3"/>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720" w:type="dxa"/>
            <w:vAlign w:val="bottom"/>
            <w:gridSpan w:val="2"/>
            <w:shd w:val="clear" w:color="auto" w:fill="CCEEFF"/>
          </w:tcPr>
          <w:p>
            <w:pPr>
              <w:ind w:left="40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w w:val="97"/>
              </w:rPr>
              <w:t>$</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w w:val="97"/>
              </w:rPr>
              <w:t>$</w:t>
            </w:r>
          </w:p>
        </w:tc>
        <w:tc>
          <w:tcPr>
            <w:tcW w:w="60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w w:val="97"/>
              </w:rPr>
              <w:t>$</w:t>
            </w:r>
          </w:p>
        </w:tc>
        <w:tc>
          <w:tcPr>
            <w:tcW w:w="58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w w:val="97"/>
              </w:rPr>
              <w:t>$</w:t>
            </w:r>
          </w:p>
        </w:tc>
        <w:tc>
          <w:tcPr>
            <w:tcW w:w="62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740" w:type="dxa"/>
            <w:vAlign w:val="bottom"/>
            <w:gridSpan w:val="2"/>
            <w:shd w:val="clear" w:color="auto" w:fill="CCEEFF"/>
          </w:tcPr>
          <w:p>
            <w:pPr>
              <w:ind w:left="42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w w:val="97"/>
              </w:rPr>
              <w:t>$</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w w:val="97"/>
              </w:rPr>
              <w:t>$</w:t>
            </w:r>
          </w:p>
        </w:tc>
        <w:tc>
          <w:tcPr>
            <w:tcW w:w="60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211"/>
        </w:trPr>
        <w:tc>
          <w:tcPr>
            <w:tcW w:w="2420" w:type="dxa"/>
            <w:vAlign w:val="bottom"/>
          </w:tcPr>
          <w:p>
            <w:pPr>
              <w:ind w:left="140"/>
              <w:spacing w:after="0"/>
              <w:rPr>
                <w:sz w:val="20"/>
                <w:szCs w:val="20"/>
                <w:color w:val="auto"/>
              </w:rPr>
            </w:pPr>
            <w:r>
              <w:rPr>
                <w:rFonts w:ascii="Arial" w:cs="Arial" w:eastAsia="Arial" w:hAnsi="Arial"/>
                <w:sz w:val="11"/>
                <w:szCs w:val="11"/>
                <w:color w:val="auto"/>
                <w:w w:val="99"/>
              </w:rPr>
              <w:t>Investments, including money market funds (2)</w:t>
            </w:r>
          </w:p>
        </w:tc>
        <w:tc>
          <w:tcPr>
            <w:tcW w:w="160" w:type="dxa"/>
            <w:vAlign w:val="bottom"/>
          </w:tcPr>
          <w:p>
            <w:pPr>
              <w:spacing w:after="0"/>
              <w:rPr>
                <w:sz w:val="18"/>
                <w:szCs w:val="18"/>
                <w:color w:val="auto"/>
              </w:rPr>
            </w:pPr>
          </w:p>
        </w:tc>
        <w:tc>
          <w:tcPr>
            <w:tcW w:w="660" w:type="dxa"/>
            <w:vAlign w:val="bottom"/>
          </w:tcPr>
          <w:p>
            <w:pPr>
              <w:jc w:val="right"/>
              <w:ind w:right="63"/>
              <w:spacing w:after="0"/>
              <w:rPr>
                <w:sz w:val="20"/>
                <w:szCs w:val="20"/>
                <w:color w:val="auto"/>
              </w:rPr>
            </w:pPr>
            <w:r>
              <w:rPr>
                <w:rFonts w:ascii="Arial" w:cs="Arial" w:eastAsia="Arial" w:hAnsi="Arial"/>
                <w:sz w:val="11"/>
                <w:szCs w:val="11"/>
                <w:color w:val="auto"/>
              </w:rPr>
              <w:t>11</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ind w:left="40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8"/>
                <w:szCs w:val="18"/>
                <w:color w:val="auto"/>
              </w:rPr>
            </w:pPr>
          </w:p>
        </w:tc>
        <w:tc>
          <w:tcPr>
            <w:tcW w:w="600" w:type="dxa"/>
            <w:vAlign w:val="bottom"/>
          </w:tcPr>
          <w:p>
            <w:pPr>
              <w:jc w:val="right"/>
              <w:ind w:right="43"/>
              <w:spacing w:after="0"/>
              <w:rPr>
                <w:sz w:val="20"/>
                <w:szCs w:val="20"/>
                <w:color w:val="auto"/>
              </w:rPr>
            </w:pPr>
            <w:r>
              <w:rPr>
                <w:rFonts w:ascii="Arial" w:cs="Arial" w:eastAsia="Arial" w:hAnsi="Arial"/>
                <w:sz w:val="11"/>
                <w:szCs w:val="11"/>
                <w:color w:val="auto"/>
              </w:rPr>
              <w:t>11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jc w:val="right"/>
              <w:ind w:right="43"/>
              <w:spacing w:after="0"/>
              <w:rPr>
                <w:sz w:val="20"/>
                <w:szCs w:val="20"/>
                <w:color w:val="auto"/>
              </w:rPr>
            </w:pPr>
            <w:r>
              <w:rPr>
                <w:rFonts w:ascii="Arial" w:cs="Arial" w:eastAsia="Arial" w:hAnsi="Arial"/>
                <w:sz w:val="11"/>
                <w:szCs w:val="11"/>
                <w:color w:val="auto"/>
              </w:rPr>
              <w:t>11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ind w:right="43"/>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ind w:left="4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8"/>
                <w:szCs w:val="18"/>
                <w:color w:val="auto"/>
              </w:rPr>
            </w:pPr>
          </w:p>
        </w:tc>
        <w:tc>
          <w:tcPr>
            <w:tcW w:w="600" w:type="dxa"/>
            <w:vAlign w:val="bottom"/>
          </w:tcPr>
          <w:p>
            <w:pPr>
              <w:jc w:val="right"/>
              <w:ind w:right="43"/>
              <w:spacing w:after="0"/>
              <w:rPr>
                <w:sz w:val="20"/>
                <w:szCs w:val="20"/>
                <w:color w:val="auto"/>
              </w:rPr>
            </w:pPr>
            <w:r>
              <w:rPr>
                <w:rFonts w:ascii="Arial" w:cs="Arial" w:eastAsia="Arial" w:hAnsi="Arial"/>
                <w:sz w:val="11"/>
                <w:szCs w:val="11"/>
                <w:color w:val="auto"/>
              </w:rPr>
              <w:t>11</w:t>
            </w:r>
          </w:p>
        </w:tc>
        <w:tc>
          <w:tcPr>
            <w:tcW w:w="0" w:type="dxa"/>
            <w:vAlign w:val="bottom"/>
          </w:tcPr>
          <w:p>
            <w:pPr>
              <w:spacing w:after="0"/>
              <w:rPr>
                <w:sz w:val="1"/>
                <w:szCs w:val="1"/>
                <w:color w:val="auto"/>
              </w:rPr>
            </w:pPr>
          </w:p>
        </w:tc>
      </w:tr>
      <w:tr>
        <w:trPr>
          <w:trHeight w:val="220"/>
        </w:trPr>
        <w:tc>
          <w:tcPr>
            <w:tcW w:w="2420" w:type="dxa"/>
            <w:vAlign w:val="bottom"/>
            <w:shd w:val="clear" w:color="auto" w:fill="CCEEFF"/>
          </w:tcPr>
          <w:p>
            <w:pPr>
              <w:ind w:left="140"/>
              <w:spacing w:after="0"/>
              <w:rPr>
                <w:sz w:val="20"/>
                <w:szCs w:val="20"/>
                <w:color w:val="auto"/>
              </w:rPr>
            </w:pPr>
            <w:r>
              <w:rPr>
                <w:rFonts w:ascii="Arial" w:cs="Arial" w:eastAsia="Arial" w:hAnsi="Arial"/>
                <w:sz w:val="11"/>
                <w:szCs w:val="11"/>
                <w:color w:val="auto"/>
              </w:rPr>
              <w:t>Natural gas derivatives (3)(4)</w:t>
            </w: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234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ind w:left="400"/>
              <w:spacing w:after="0"/>
              <w:rPr>
                <w:sz w:val="20"/>
                <w:szCs w:val="20"/>
                <w:color w:val="auto"/>
              </w:rPr>
            </w:pPr>
            <w:r>
              <w:rPr>
                <w:rFonts w:ascii="Arial" w:cs="Arial" w:eastAsia="Arial" w:hAnsi="Arial"/>
                <w:sz w:val="11"/>
                <w:szCs w:val="11"/>
                <w:color w:val="auto"/>
              </w:rPr>
              <w:t>43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24"/>
              <w:spacing w:after="0"/>
              <w:rPr>
                <w:sz w:val="20"/>
                <w:szCs w:val="20"/>
                <w:color w:val="auto"/>
              </w:rPr>
            </w:pPr>
            <w:r>
              <w:rPr>
                <w:rFonts w:ascii="Arial" w:cs="Arial" w:eastAsia="Arial" w:hAnsi="Arial"/>
                <w:sz w:val="11"/>
                <w:szCs w:val="11"/>
                <w:color w:val="auto"/>
              </w:rPr>
              <w:t>(93)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184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173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ind w:left="420"/>
              <w:spacing w:after="0"/>
              <w:rPr>
                <w:sz w:val="20"/>
                <w:szCs w:val="20"/>
                <w:color w:val="auto"/>
              </w:rPr>
            </w:pPr>
            <w:r>
              <w:rPr>
                <w:rFonts w:ascii="Arial" w:cs="Arial" w:eastAsia="Arial" w:hAnsi="Arial"/>
                <w:sz w:val="11"/>
                <w:szCs w:val="11"/>
                <w:color w:val="auto"/>
              </w:rPr>
              <w:t>47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(82)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138</w:t>
            </w:r>
          </w:p>
        </w:tc>
        <w:tc>
          <w:tcPr>
            <w:tcW w:w="0" w:type="dxa"/>
            <w:vAlign w:val="bottom"/>
          </w:tcPr>
          <w:p>
            <w:pPr>
              <w:spacing w:after="0"/>
              <w:rPr>
                <w:sz w:val="1"/>
                <w:szCs w:val="1"/>
                <w:color w:val="auto"/>
              </w:rPr>
            </w:pPr>
          </w:p>
        </w:tc>
      </w:tr>
      <w:tr>
        <w:trPr>
          <w:trHeight w:val="211"/>
        </w:trPr>
        <w:tc>
          <w:tcPr>
            <w:tcW w:w="2420" w:type="dxa"/>
            <w:vAlign w:val="bottom"/>
            <w:tcBorders>
              <w:bottom w:val="single" w:sz="8" w:color="CCEEFF"/>
            </w:tcBorders>
          </w:tcPr>
          <w:p>
            <w:pPr>
              <w:ind w:left="140"/>
              <w:spacing w:after="0"/>
              <w:rPr>
                <w:sz w:val="20"/>
                <w:szCs w:val="20"/>
                <w:color w:val="auto"/>
              </w:rPr>
            </w:pPr>
            <w:r>
              <w:rPr>
                <w:rFonts w:ascii="Arial" w:cs="Arial" w:eastAsia="Arial" w:hAnsi="Arial"/>
                <w:sz w:val="11"/>
                <w:szCs w:val="11"/>
                <w:color w:val="auto"/>
              </w:rPr>
              <w:t>Hedged portion of natural gas inventory</w:t>
            </w: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color w:val="auto"/>
              </w:rPr>
              <w:t>—</w:t>
            </w:r>
          </w:p>
        </w:tc>
        <w:tc>
          <w:tcPr>
            <w:tcW w:w="2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ind w:left="40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64"/>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auto"/>
              </w:rPr>
              <w:t>1</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ind w:left="4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44"/>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189"/>
        </w:trPr>
        <w:tc>
          <w:tcPr>
            <w:tcW w:w="2420" w:type="dxa"/>
            <w:vAlign w:val="bottom"/>
            <w:shd w:val="clear" w:color="auto" w:fill="CCEEFF"/>
          </w:tcPr>
          <w:p>
            <w:pPr>
              <w:ind w:left="300"/>
              <w:spacing w:after="0"/>
              <w:rPr>
                <w:sz w:val="20"/>
                <w:szCs w:val="20"/>
                <w:color w:val="auto"/>
              </w:rPr>
            </w:pPr>
            <w:r>
              <w:rPr>
                <w:rFonts w:ascii="Arial" w:cs="Arial" w:eastAsia="Arial" w:hAnsi="Arial"/>
                <w:sz w:val="11"/>
                <w:szCs w:val="11"/>
                <w:color w:val="auto"/>
              </w:rPr>
              <w:t>Total assets</w:t>
            </w:r>
          </w:p>
        </w:tc>
        <w:tc>
          <w:tcPr>
            <w:tcW w:w="16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w w:val="97"/>
              </w:rPr>
              <w:t>$</w:t>
            </w:r>
          </w:p>
        </w:tc>
        <w:tc>
          <w:tcPr>
            <w:tcW w:w="66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13</w:t>
            </w:r>
          </w:p>
        </w:tc>
        <w:tc>
          <w:tcPr>
            <w:tcW w:w="28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w w:val="97"/>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234</w:t>
            </w:r>
          </w:p>
        </w:tc>
        <w:tc>
          <w:tcPr>
            <w:tcW w:w="360" w:type="dxa"/>
            <w:vAlign w:val="bottom"/>
            <w:gridSpan w:val="3"/>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620" w:type="dxa"/>
            <w:vAlign w:val="bottom"/>
            <w:shd w:val="clear" w:color="auto" w:fill="CCEEFF"/>
          </w:tcPr>
          <w:p>
            <w:pPr>
              <w:ind w:left="400"/>
              <w:spacing w:after="0"/>
              <w:rPr>
                <w:sz w:val="20"/>
                <w:szCs w:val="20"/>
                <w:color w:val="auto"/>
              </w:rPr>
            </w:pPr>
            <w:r>
              <w:rPr>
                <w:rFonts w:ascii="Arial" w:cs="Arial" w:eastAsia="Arial" w:hAnsi="Arial"/>
                <w:sz w:val="11"/>
                <w:szCs w:val="11"/>
                <w:color w:val="auto"/>
              </w:rPr>
              <w:t>43</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w w:val="97"/>
              </w:rPr>
              <w:t>$</w:t>
            </w:r>
          </w:p>
        </w:tc>
        <w:tc>
          <w:tcPr>
            <w:tcW w:w="640" w:type="dxa"/>
            <w:vAlign w:val="bottom"/>
            <w:shd w:val="clear" w:color="auto" w:fill="CCEEFF"/>
          </w:tcPr>
          <w:p>
            <w:pPr>
              <w:jc w:val="right"/>
              <w:ind w:right="24"/>
              <w:spacing w:after="0"/>
              <w:rPr>
                <w:sz w:val="20"/>
                <w:szCs w:val="20"/>
                <w:color w:val="auto"/>
              </w:rPr>
            </w:pPr>
            <w:r>
              <w:rPr>
                <w:rFonts w:ascii="Arial" w:cs="Arial" w:eastAsia="Arial" w:hAnsi="Arial"/>
                <w:sz w:val="11"/>
                <w:szCs w:val="11"/>
                <w:color w:val="auto"/>
              </w:rPr>
              <w:t>(93)</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w w:val="97"/>
              </w:rPr>
              <w:t>$</w:t>
            </w:r>
          </w:p>
        </w:tc>
        <w:tc>
          <w:tcPr>
            <w:tcW w:w="60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197</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w w:val="97"/>
              </w:rPr>
              <w:t>$</w:t>
            </w:r>
          </w:p>
        </w:tc>
        <w:tc>
          <w:tcPr>
            <w:tcW w:w="58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14</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w w:val="97"/>
              </w:rPr>
              <w:t>$</w:t>
            </w:r>
          </w:p>
        </w:tc>
        <w:tc>
          <w:tcPr>
            <w:tcW w:w="62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173</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640" w:type="dxa"/>
            <w:vAlign w:val="bottom"/>
            <w:shd w:val="clear" w:color="auto" w:fill="CCEEFF"/>
          </w:tcPr>
          <w:p>
            <w:pPr>
              <w:ind w:left="420"/>
              <w:spacing w:after="0"/>
              <w:rPr>
                <w:sz w:val="20"/>
                <w:szCs w:val="20"/>
                <w:color w:val="auto"/>
              </w:rPr>
            </w:pPr>
            <w:r>
              <w:rPr>
                <w:rFonts w:ascii="Arial" w:cs="Arial" w:eastAsia="Arial" w:hAnsi="Arial"/>
                <w:sz w:val="11"/>
                <w:szCs w:val="11"/>
                <w:color w:val="auto"/>
              </w:rPr>
              <w:t>47</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w w:val="97"/>
              </w:rPr>
              <w:t>$</w:t>
            </w:r>
          </w:p>
        </w:tc>
        <w:tc>
          <w:tcPr>
            <w:tcW w:w="62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(82)</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w w:val="97"/>
              </w:rPr>
              <w:t>$</w:t>
            </w:r>
          </w:p>
        </w:tc>
        <w:tc>
          <w:tcPr>
            <w:tcW w:w="60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152</w:t>
            </w:r>
          </w:p>
        </w:tc>
        <w:tc>
          <w:tcPr>
            <w:tcW w:w="0" w:type="dxa"/>
            <w:vAlign w:val="bottom"/>
          </w:tcPr>
          <w:p>
            <w:pPr>
              <w:spacing w:after="0"/>
              <w:rPr>
                <w:sz w:val="1"/>
                <w:szCs w:val="1"/>
                <w:color w:val="auto"/>
              </w:rPr>
            </w:pPr>
          </w:p>
        </w:tc>
      </w:tr>
      <w:tr>
        <w:trPr>
          <w:trHeight w:val="20"/>
        </w:trPr>
        <w:tc>
          <w:tcPr>
            <w:tcW w:w="24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3"/>
                <w:szCs w:val="13"/>
                <w:b w:val="1"/>
                <w:bCs w:val="1"/>
                <w:color w:val="auto"/>
              </w:rPr>
              <w:t>Liabilities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24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420" w:type="dxa"/>
            <w:vAlign w:val="bottom"/>
            <w:shd w:val="clear" w:color="auto" w:fill="CCEEFF"/>
          </w:tcPr>
          <w:p>
            <w:pPr>
              <w:ind w:left="140"/>
              <w:spacing w:after="0"/>
              <w:rPr>
                <w:sz w:val="20"/>
                <w:szCs w:val="20"/>
                <w:color w:val="auto"/>
              </w:rPr>
            </w:pPr>
            <w:r>
              <w:rPr>
                <w:rFonts w:ascii="Arial" w:cs="Arial" w:eastAsia="Arial" w:hAnsi="Arial"/>
                <w:sz w:val="11"/>
                <w:szCs w:val="11"/>
                <w:color w:val="auto"/>
              </w:rPr>
              <w:t>Natural gas derivatives (3)(4)</w:t>
            </w:r>
          </w:p>
        </w:tc>
        <w:tc>
          <w:tcPr>
            <w:tcW w:w="16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w w:val="97"/>
              </w:rPr>
              <w:t>$</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w w:val="97"/>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183</w:t>
            </w:r>
          </w:p>
        </w:tc>
        <w:tc>
          <w:tcPr>
            <w:tcW w:w="360" w:type="dxa"/>
            <w:vAlign w:val="bottom"/>
            <w:gridSpan w:val="3"/>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620" w:type="dxa"/>
            <w:vAlign w:val="bottom"/>
            <w:shd w:val="clear" w:color="auto" w:fill="CCEEFF"/>
          </w:tcPr>
          <w:p>
            <w:pPr>
              <w:ind w:left="400"/>
              <w:spacing w:after="0"/>
              <w:rPr>
                <w:sz w:val="20"/>
                <w:szCs w:val="20"/>
                <w:color w:val="auto"/>
              </w:rPr>
            </w:pPr>
            <w:r>
              <w:rPr>
                <w:rFonts w:ascii="Arial" w:cs="Arial" w:eastAsia="Arial" w:hAnsi="Arial"/>
                <w:sz w:val="11"/>
                <w:szCs w:val="11"/>
                <w:color w:val="auto"/>
              </w:rPr>
              <w:t>22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w w:val="97"/>
              </w:rPr>
              <w:t>$</w:t>
            </w:r>
          </w:p>
        </w:tc>
        <w:tc>
          <w:tcPr>
            <w:tcW w:w="640" w:type="dxa"/>
            <w:vAlign w:val="bottom"/>
            <w:shd w:val="clear" w:color="auto" w:fill="CCEEFF"/>
          </w:tcPr>
          <w:p>
            <w:pPr>
              <w:jc w:val="right"/>
              <w:ind w:right="24"/>
              <w:spacing w:after="0"/>
              <w:rPr>
                <w:sz w:val="20"/>
                <w:szCs w:val="20"/>
                <w:color w:val="auto"/>
              </w:rPr>
            </w:pPr>
            <w:r>
              <w:rPr>
                <w:rFonts w:ascii="Arial" w:cs="Arial" w:eastAsia="Arial" w:hAnsi="Arial"/>
                <w:sz w:val="11"/>
                <w:szCs w:val="11"/>
                <w:color w:val="auto"/>
              </w:rPr>
              <w:t>(143)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w w:val="97"/>
              </w:rPr>
              <w:t>$</w:t>
            </w:r>
          </w:p>
        </w:tc>
        <w:tc>
          <w:tcPr>
            <w:tcW w:w="60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62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w w:val="97"/>
              </w:rPr>
              <w: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w w:val="97"/>
              </w:rPr>
              <w:t>$</w:t>
            </w:r>
          </w:p>
        </w:tc>
        <w:tc>
          <w:tcPr>
            <w:tcW w:w="62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191</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640" w:type="dxa"/>
            <w:vAlign w:val="bottom"/>
            <w:shd w:val="clear" w:color="auto" w:fill="CCEEFF"/>
          </w:tcPr>
          <w:p>
            <w:pPr>
              <w:ind w:left="420"/>
              <w:spacing w:after="0"/>
              <w:rPr>
                <w:sz w:val="20"/>
                <w:szCs w:val="20"/>
                <w:color w:val="auto"/>
              </w:rPr>
            </w:pPr>
            <w:r>
              <w:rPr>
                <w:rFonts w:ascii="Arial" w:cs="Arial" w:eastAsia="Arial" w:hAnsi="Arial"/>
                <w:sz w:val="11"/>
                <w:szCs w:val="11"/>
                <w:color w:val="auto"/>
              </w:rPr>
              <w:t>17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w w:val="97"/>
              </w:rPr>
              <w:t>$</w:t>
            </w:r>
          </w:p>
        </w:tc>
        <w:tc>
          <w:tcPr>
            <w:tcW w:w="62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(101)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w w:val="97"/>
              </w:rPr>
              <w:t>$</w:t>
            </w:r>
          </w:p>
        </w:tc>
        <w:tc>
          <w:tcPr>
            <w:tcW w:w="60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107</w:t>
            </w:r>
          </w:p>
        </w:tc>
        <w:tc>
          <w:tcPr>
            <w:tcW w:w="0" w:type="dxa"/>
            <w:vAlign w:val="bottom"/>
          </w:tcPr>
          <w:p>
            <w:pPr>
              <w:spacing w:after="0"/>
              <w:rPr>
                <w:sz w:val="1"/>
                <w:szCs w:val="1"/>
                <w:color w:val="auto"/>
              </w:rPr>
            </w:pPr>
          </w:p>
        </w:tc>
      </w:tr>
      <w:tr>
        <w:trPr>
          <w:trHeight w:val="211"/>
        </w:trPr>
        <w:tc>
          <w:tcPr>
            <w:tcW w:w="2420" w:type="dxa"/>
            <w:vAlign w:val="bottom"/>
            <w:tcBorders>
              <w:bottom w:val="single" w:sz="8" w:color="CCEEFF"/>
            </w:tcBorders>
          </w:tcPr>
          <w:p>
            <w:pPr>
              <w:ind w:left="140"/>
              <w:spacing w:after="0"/>
              <w:rPr>
                <w:sz w:val="20"/>
                <w:szCs w:val="20"/>
                <w:color w:val="auto"/>
              </w:rPr>
            </w:pPr>
            <w:r>
              <w:rPr>
                <w:rFonts w:ascii="Arial" w:cs="Arial" w:eastAsia="Arial" w:hAnsi="Arial"/>
                <w:sz w:val="11"/>
                <w:szCs w:val="11"/>
                <w:color w:val="auto"/>
              </w:rPr>
              <w:t>Hedged portion of natural gas inventory</w:t>
            </w: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color w:val="auto"/>
              </w:rPr>
              <w:t>7</w:t>
            </w:r>
          </w:p>
        </w:tc>
        <w:tc>
          <w:tcPr>
            <w:tcW w:w="2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ind w:left="40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64"/>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auto"/>
              </w:rPr>
              <w:t>7</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ind w:left="4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44"/>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89"/>
        </w:trPr>
        <w:tc>
          <w:tcPr>
            <w:tcW w:w="2420" w:type="dxa"/>
            <w:vAlign w:val="bottom"/>
            <w:shd w:val="clear" w:color="auto" w:fill="CCEEFF"/>
          </w:tcPr>
          <w:p>
            <w:pPr>
              <w:ind w:left="300"/>
              <w:spacing w:after="0"/>
              <w:rPr>
                <w:sz w:val="20"/>
                <w:szCs w:val="20"/>
                <w:color w:val="auto"/>
              </w:rPr>
            </w:pPr>
            <w:r>
              <w:rPr>
                <w:rFonts w:ascii="Arial" w:cs="Arial" w:eastAsia="Arial" w:hAnsi="Arial"/>
                <w:sz w:val="11"/>
                <w:szCs w:val="11"/>
                <w:color w:val="auto"/>
              </w:rPr>
              <w:t>Total liabilities</w:t>
            </w:r>
          </w:p>
        </w:tc>
        <w:tc>
          <w:tcPr>
            <w:tcW w:w="16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w w:val="97"/>
              </w:rPr>
              <w:t>$</w:t>
            </w:r>
          </w:p>
        </w:tc>
        <w:tc>
          <w:tcPr>
            <w:tcW w:w="66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7</w:t>
            </w:r>
          </w:p>
        </w:tc>
        <w:tc>
          <w:tcPr>
            <w:tcW w:w="28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w w:val="97"/>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183</w:t>
            </w:r>
          </w:p>
        </w:tc>
        <w:tc>
          <w:tcPr>
            <w:tcW w:w="360" w:type="dxa"/>
            <w:vAlign w:val="bottom"/>
            <w:gridSpan w:val="3"/>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620" w:type="dxa"/>
            <w:vAlign w:val="bottom"/>
            <w:shd w:val="clear" w:color="auto" w:fill="CCEEFF"/>
          </w:tcPr>
          <w:p>
            <w:pPr>
              <w:ind w:left="400"/>
              <w:spacing w:after="0"/>
              <w:rPr>
                <w:sz w:val="20"/>
                <w:szCs w:val="20"/>
                <w:color w:val="auto"/>
              </w:rPr>
            </w:pPr>
            <w:r>
              <w:rPr>
                <w:rFonts w:ascii="Arial" w:cs="Arial" w:eastAsia="Arial" w:hAnsi="Arial"/>
                <w:sz w:val="11"/>
                <w:szCs w:val="11"/>
                <w:color w:val="auto"/>
              </w:rPr>
              <w:t>22</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w w:val="97"/>
              </w:rPr>
              <w:t>$</w:t>
            </w:r>
          </w:p>
        </w:tc>
        <w:tc>
          <w:tcPr>
            <w:tcW w:w="640" w:type="dxa"/>
            <w:vAlign w:val="bottom"/>
            <w:shd w:val="clear" w:color="auto" w:fill="CCEEFF"/>
          </w:tcPr>
          <w:p>
            <w:pPr>
              <w:jc w:val="right"/>
              <w:ind w:right="24"/>
              <w:spacing w:after="0"/>
              <w:rPr>
                <w:sz w:val="20"/>
                <w:szCs w:val="20"/>
                <w:color w:val="auto"/>
              </w:rPr>
            </w:pPr>
            <w:r>
              <w:rPr>
                <w:rFonts w:ascii="Arial" w:cs="Arial" w:eastAsia="Arial" w:hAnsi="Arial"/>
                <w:sz w:val="11"/>
                <w:szCs w:val="11"/>
                <w:color w:val="auto"/>
              </w:rPr>
              <w:t>(143)</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w w:val="97"/>
              </w:rPr>
              <w:t>$</w:t>
            </w:r>
          </w:p>
        </w:tc>
        <w:tc>
          <w:tcPr>
            <w:tcW w:w="60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69</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w w:val="97"/>
              </w:rPr>
              <w: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w w:val="97"/>
              </w:rPr>
              <w:t>$</w:t>
            </w:r>
          </w:p>
        </w:tc>
        <w:tc>
          <w:tcPr>
            <w:tcW w:w="62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191</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640" w:type="dxa"/>
            <w:vAlign w:val="bottom"/>
            <w:shd w:val="clear" w:color="auto" w:fill="CCEEFF"/>
          </w:tcPr>
          <w:p>
            <w:pPr>
              <w:ind w:left="420"/>
              <w:spacing w:after="0"/>
              <w:rPr>
                <w:sz w:val="20"/>
                <w:szCs w:val="20"/>
                <w:color w:val="auto"/>
              </w:rPr>
            </w:pPr>
            <w:r>
              <w:rPr>
                <w:rFonts w:ascii="Arial" w:cs="Arial" w:eastAsia="Arial" w:hAnsi="Arial"/>
                <w:sz w:val="11"/>
                <w:szCs w:val="11"/>
                <w:color w:val="auto"/>
              </w:rPr>
              <w:t>17</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w w:val="97"/>
              </w:rPr>
              <w:t>$</w:t>
            </w:r>
          </w:p>
        </w:tc>
        <w:tc>
          <w:tcPr>
            <w:tcW w:w="62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(101)</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w w:val="97"/>
              </w:rPr>
              <w:t>$</w:t>
            </w:r>
          </w:p>
        </w:tc>
        <w:tc>
          <w:tcPr>
            <w:tcW w:w="60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107</w:t>
            </w:r>
          </w:p>
        </w:tc>
        <w:tc>
          <w:tcPr>
            <w:tcW w:w="0" w:type="dxa"/>
            <w:vAlign w:val="bottom"/>
          </w:tcPr>
          <w:p>
            <w:pPr>
              <w:spacing w:after="0"/>
              <w:rPr>
                <w:sz w:val="1"/>
                <w:szCs w:val="1"/>
                <w:color w:val="auto"/>
              </w:rPr>
            </w:pPr>
          </w:p>
        </w:tc>
      </w:tr>
      <w:tr>
        <w:trPr>
          <w:trHeight w:val="20"/>
        </w:trPr>
        <w:tc>
          <w:tcPr>
            <w:tcW w:w="24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2" w:lineRule="exact"/>
        <w:rPr>
          <w:sz w:val="20"/>
          <w:szCs w:val="20"/>
          <w:color w:val="auto"/>
        </w:rPr>
      </w:pPr>
    </w:p>
    <w:p>
      <w:pPr>
        <w:ind w:left="520" w:hanging="255"/>
        <w:spacing w:after="0" w:line="288" w:lineRule="auto"/>
        <w:tabs>
          <w:tab w:leader="none" w:pos="520" w:val="left"/>
        </w:tabs>
        <w:numPr>
          <w:ilvl w:val="0"/>
          <w:numId w:val="21"/>
        </w:numPr>
        <w:rPr>
          <w:rFonts w:ascii="Arial" w:cs="Arial" w:eastAsia="Arial" w:hAnsi="Arial"/>
          <w:sz w:val="14"/>
          <w:szCs w:val="14"/>
          <w:color w:val="auto"/>
        </w:rPr>
      </w:pPr>
      <w:r>
        <w:rPr>
          <w:rFonts w:ascii="Arial" w:cs="Arial" w:eastAsia="Arial" w:hAnsi="Arial"/>
          <w:sz w:val="14"/>
          <w:szCs w:val="14"/>
          <w:color w:val="auto"/>
        </w:rPr>
        <w:t>Amounts represent the impact of legally enforceable master netting arrangements that allow CenterPoint Energy and CERC to settle positive and negative positions and also include cash collateral posted with the same counterparties as follows:</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39</w:t>
      </w:r>
    </w:p>
    <w:p>
      <w:pPr>
        <w:sectPr>
          <w:pgSz w:w="11900" w:h="16838" w:orient="portrait"/>
          <w:cols w:equalWidth="0" w:num="1">
            <w:col w:w="11460"/>
          </w:cols>
          <w:pgMar w:left="220" w:top="129" w:right="219" w:bottom="1440" w:gutter="0" w:footer="0" w:header="0"/>
        </w:sectPr>
      </w:pPr>
    </w:p>
    <w:bookmarkStart w:id="49" w:name="page50"/>
    <w:bookmarkEnd w:id="49"/>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516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520" w:type="dxa"/>
            <w:vAlign w:val="bottom"/>
            <w:tcBorders>
              <w:bottom w:val="single" w:sz="8" w:color="auto"/>
            </w:tcBorders>
            <w:gridSpan w:val="2"/>
          </w:tcPr>
          <w:p>
            <w:pPr>
              <w:jc w:val="right"/>
              <w:ind w:right="575"/>
              <w:spacing w:after="0"/>
              <w:rPr>
                <w:sz w:val="20"/>
                <w:szCs w:val="20"/>
                <w:color w:val="auto"/>
              </w:rPr>
            </w:pPr>
            <w:r>
              <w:rPr>
                <w:rFonts w:ascii="Arial" w:cs="Arial" w:eastAsia="Arial" w:hAnsi="Arial"/>
                <w:sz w:val="11"/>
                <w:szCs w:val="11"/>
                <w:b w:val="1"/>
                <w:bCs w:val="1"/>
                <w:color w:val="auto"/>
              </w:rPr>
              <w:t>September 30, 2019</w:t>
            </w:r>
          </w:p>
        </w:tc>
        <w:tc>
          <w:tcPr>
            <w:tcW w:w="4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84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1"/>
                <w:szCs w:val="11"/>
                <w:b w:val="1"/>
                <w:bCs w:val="1"/>
                <w:color w:val="auto"/>
              </w:rPr>
              <w:t>December 31, 2018</w:t>
            </w:r>
          </w:p>
        </w:tc>
        <w:tc>
          <w:tcPr>
            <w:tcW w:w="980" w:type="dxa"/>
            <w:vAlign w:val="bottom"/>
            <w:tcBorders>
              <w:bottom w:val="single" w:sz="8" w:color="auto"/>
            </w:tcBorders>
          </w:tcPr>
          <w:p>
            <w:pPr>
              <w:spacing w:after="0"/>
              <w:rPr>
                <w:sz w:val="13"/>
                <w:szCs w:val="13"/>
                <w:color w:val="auto"/>
              </w:rPr>
            </w:pPr>
          </w:p>
        </w:tc>
      </w:tr>
      <w:tr>
        <w:trPr>
          <w:trHeight w:val="206"/>
        </w:trPr>
        <w:tc>
          <w:tcPr>
            <w:tcW w:w="51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198"/>
              <w:spacing w:after="0"/>
              <w:rPr>
                <w:sz w:val="20"/>
                <w:szCs w:val="20"/>
                <w:color w:val="auto"/>
              </w:rPr>
            </w:pPr>
            <w:r>
              <w:rPr>
                <w:rFonts w:ascii="Arial" w:cs="Arial" w:eastAsia="Arial" w:hAnsi="Arial"/>
                <w:sz w:val="11"/>
                <w:szCs w:val="11"/>
                <w:b w:val="1"/>
                <w:bCs w:val="1"/>
                <w:color w:val="auto"/>
              </w:rPr>
              <w:t>CenterPoint Energy</w:t>
            </w:r>
          </w:p>
        </w:tc>
        <w:tc>
          <w:tcPr>
            <w:tcW w:w="1180" w:type="dxa"/>
            <w:vAlign w:val="bottom"/>
            <w:tcBorders>
              <w:bottom w:val="single" w:sz="8" w:color="auto"/>
            </w:tcBorders>
          </w:tcPr>
          <w:p>
            <w:pPr>
              <w:jc w:val="right"/>
              <w:ind w:right="95"/>
              <w:spacing w:after="0"/>
              <w:rPr>
                <w:sz w:val="20"/>
                <w:szCs w:val="20"/>
                <w:color w:val="auto"/>
              </w:rPr>
            </w:pPr>
            <w:r>
              <w:rPr>
                <w:rFonts w:ascii="Arial" w:cs="Arial" w:eastAsia="Arial" w:hAnsi="Arial"/>
                <w:sz w:val="11"/>
                <w:szCs w:val="11"/>
                <w:b w:val="1"/>
                <w:bCs w:val="1"/>
                <w:color w:val="auto"/>
              </w:rPr>
              <w:t>CERC</w:t>
            </w:r>
          </w:p>
        </w:tc>
        <w:tc>
          <w:tcPr>
            <w:tcW w:w="4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198"/>
              <w:spacing w:after="0"/>
              <w:rPr>
                <w:sz w:val="20"/>
                <w:szCs w:val="20"/>
                <w:color w:val="auto"/>
              </w:rPr>
            </w:pPr>
            <w:r>
              <w:rPr>
                <w:rFonts w:ascii="Arial" w:cs="Arial" w:eastAsia="Arial" w:hAnsi="Arial"/>
                <w:sz w:val="11"/>
                <w:szCs w:val="11"/>
                <w:b w:val="1"/>
                <w:bCs w:val="1"/>
                <w:color w:val="auto"/>
                <w:w w:val="95"/>
              </w:rPr>
              <w:t>CenterPoint Energy</w:t>
            </w:r>
          </w:p>
        </w:tc>
        <w:tc>
          <w:tcPr>
            <w:tcW w:w="5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95"/>
              <w:spacing w:after="0"/>
              <w:rPr>
                <w:sz w:val="20"/>
                <w:szCs w:val="20"/>
                <w:color w:val="auto"/>
              </w:rPr>
            </w:pPr>
            <w:r>
              <w:rPr>
                <w:rFonts w:ascii="Arial" w:cs="Arial" w:eastAsia="Arial" w:hAnsi="Arial"/>
                <w:sz w:val="11"/>
                <w:szCs w:val="11"/>
                <w:b w:val="1"/>
                <w:bCs w:val="1"/>
                <w:color w:val="auto"/>
              </w:rPr>
              <w:t>CERC</w:t>
            </w:r>
          </w:p>
        </w:tc>
      </w:tr>
      <w:tr>
        <w:trPr>
          <w:trHeight w:val="196"/>
        </w:trPr>
        <w:tc>
          <w:tcPr>
            <w:tcW w:w="5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780" w:type="dxa"/>
            <w:vAlign w:val="bottom"/>
            <w:gridSpan w:val="3"/>
          </w:tcPr>
          <w:p>
            <w:pPr>
              <w:ind w:left="180"/>
              <w:spacing w:after="0"/>
              <w:rPr>
                <w:sz w:val="20"/>
                <w:szCs w:val="20"/>
                <w:color w:val="auto"/>
              </w:rPr>
            </w:pPr>
            <w:r>
              <w:rPr>
                <w:rFonts w:ascii="Arial" w:cs="Arial" w:eastAsia="Arial" w:hAnsi="Arial"/>
                <w:sz w:val="11"/>
                <w:szCs w:val="11"/>
                <w:b w:val="1"/>
                <w:bCs w:val="1"/>
                <w:color w:val="auto"/>
                <w:w w:val="93"/>
              </w:rPr>
              <w:t>(in millions)</w:t>
            </w:r>
          </w:p>
        </w:tc>
        <w:tc>
          <w:tcPr>
            <w:tcW w:w="1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197"/>
        </w:trPr>
        <w:tc>
          <w:tcPr>
            <w:tcW w:w="5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collateral posted with the same counterparties</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340" w:type="dxa"/>
            <w:vAlign w:val="bottom"/>
            <w:shd w:val="clear" w:color="auto" w:fill="CCEEFF"/>
          </w:tcPr>
          <w:p>
            <w:pPr>
              <w:jc w:val="right"/>
              <w:ind w:right="78"/>
              <w:spacing w:after="0"/>
              <w:rPr>
                <w:sz w:val="20"/>
                <w:szCs w:val="20"/>
                <w:color w:val="auto"/>
              </w:rPr>
            </w:pPr>
            <w:r>
              <w:rPr>
                <w:rFonts w:ascii="Arial" w:cs="Arial" w:eastAsia="Arial" w:hAnsi="Arial"/>
                <w:sz w:val="14"/>
                <w:szCs w:val="14"/>
                <w:color w:val="auto"/>
              </w:rPr>
              <w:t>50</w:t>
            </w:r>
          </w:p>
        </w:tc>
        <w:tc>
          <w:tcPr>
            <w:tcW w:w="1180" w:type="dxa"/>
            <w:vAlign w:val="bottom"/>
            <w:shd w:val="clear" w:color="auto" w:fill="CCEEFF"/>
          </w:tcPr>
          <w:p>
            <w:pPr>
              <w:jc w:val="right"/>
              <w:ind w:right="915"/>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50</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ind w:right="58"/>
              <w:spacing w:after="0"/>
              <w:rPr>
                <w:sz w:val="20"/>
                <w:szCs w:val="20"/>
                <w:color w:val="auto"/>
              </w:rPr>
            </w:pPr>
            <w:r>
              <w:rPr>
                <w:rFonts w:ascii="Arial" w:cs="Arial" w:eastAsia="Arial" w:hAnsi="Arial"/>
                <w:sz w:val="14"/>
                <w:szCs w:val="14"/>
                <w:color w:val="auto"/>
              </w:rPr>
              <w:t>19</w:t>
            </w:r>
          </w:p>
        </w:tc>
        <w:tc>
          <w:tcPr>
            <w:tcW w:w="58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19</w:t>
            </w:r>
          </w:p>
        </w:tc>
      </w:tr>
      <w:tr>
        <w:trPr>
          <w:trHeight w:val="23"/>
        </w:trPr>
        <w:tc>
          <w:tcPr>
            <w:tcW w:w="51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340" w:type="dxa"/>
            <w:vAlign w:val="bottom"/>
            <w:shd w:val="clear" w:color="auto" w:fill="CCEEFF"/>
          </w:tcPr>
          <w:p>
            <w:pPr>
              <w:spacing w:after="0" w:line="20" w:lineRule="exact"/>
              <w:rPr>
                <w:sz w:val="1"/>
                <w:szCs w:val="1"/>
                <w:color w:val="auto"/>
              </w:rPr>
            </w:pPr>
          </w:p>
        </w:tc>
        <w:tc>
          <w:tcPr>
            <w:tcW w:w="118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6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r>
    </w:tbl>
    <w:p>
      <w:pPr>
        <w:spacing w:after="0" w:line="162" w:lineRule="exact"/>
        <w:rPr>
          <w:sz w:val="20"/>
          <w:szCs w:val="20"/>
          <w:color w:val="auto"/>
        </w:rPr>
      </w:pPr>
    </w:p>
    <w:p>
      <w:pPr>
        <w:ind w:left="520" w:hanging="255"/>
        <w:spacing w:after="0"/>
        <w:tabs>
          <w:tab w:leader="none" w:pos="5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Amounts are included in Prepaid expenses and other current assets in the Condensed Consolidated Balance Sheets.</w:t>
      </w:r>
    </w:p>
    <w:p>
      <w:pPr>
        <w:spacing w:after="0" w:line="183" w:lineRule="exact"/>
        <w:rPr>
          <w:rFonts w:ascii="Arial" w:cs="Arial" w:eastAsia="Arial" w:hAnsi="Arial"/>
          <w:sz w:val="14"/>
          <w:szCs w:val="14"/>
          <w:color w:val="auto"/>
        </w:rPr>
      </w:pPr>
    </w:p>
    <w:p>
      <w:pPr>
        <w:ind w:left="520" w:hanging="255"/>
        <w:spacing w:after="0"/>
        <w:tabs>
          <w:tab w:leader="none" w:pos="5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Natural gas derivatives include no material amounts related to physical forward transactions with Enable.</w:t>
      </w:r>
    </w:p>
    <w:p>
      <w:pPr>
        <w:spacing w:after="0" w:line="183" w:lineRule="exact"/>
        <w:rPr>
          <w:rFonts w:ascii="Arial" w:cs="Arial" w:eastAsia="Arial" w:hAnsi="Arial"/>
          <w:sz w:val="14"/>
          <w:szCs w:val="14"/>
          <w:color w:val="auto"/>
        </w:rPr>
      </w:pPr>
    </w:p>
    <w:p>
      <w:pPr>
        <w:jc w:val="both"/>
        <w:ind w:left="520" w:hanging="255"/>
        <w:spacing w:after="0" w:line="294" w:lineRule="auto"/>
        <w:tabs>
          <w:tab w:leader="none" w:pos="520" w:val="left"/>
        </w:tabs>
        <w:numPr>
          <w:ilvl w:val="0"/>
          <w:numId w:val="22"/>
        </w:numPr>
        <w:rPr>
          <w:rFonts w:ascii="Arial" w:cs="Arial" w:eastAsia="Arial" w:hAnsi="Arial"/>
          <w:sz w:val="13"/>
          <w:szCs w:val="13"/>
          <w:color w:val="auto"/>
        </w:rPr>
      </w:pPr>
      <w:r>
        <w:rPr>
          <w:rFonts w:ascii="Arial" w:cs="Arial" w:eastAsia="Arial" w:hAnsi="Arial"/>
          <w:sz w:val="13"/>
          <w:szCs w:val="13"/>
          <w:color w:val="auto"/>
        </w:rPr>
        <w:t>Level 1 natural gas derivatives include exchange-traded derivatives cleared by the CME, which deems that financial instruments cleared by the CME are settled daily in connection with posted cash payments. As a result of this exchange rule, CME-related derivatives are considered to have no fair value at the balance sheet date for financial reporting purposes and are presented in Level 1 net of posted cash; however, the derivatives remain outstanding and subject to future commodity price fluctuations until they are settled in accordance with their contractual terms. Derivative transactions cleared on exchanges other than the CME (e.g., the Intercontinental Exchange or ICE) continue to be reported on a gross basis.</w:t>
      </w:r>
    </w:p>
    <w:p>
      <w:pPr>
        <w:spacing w:after="0" w:line="130" w:lineRule="exact"/>
        <w:rPr>
          <w:sz w:val="20"/>
          <w:szCs w:val="20"/>
          <w:color w:val="auto"/>
        </w:rPr>
      </w:pPr>
    </w:p>
    <w:p>
      <w:pPr>
        <w:jc w:val="both"/>
        <w:ind w:firstLine="259"/>
        <w:spacing w:after="0" w:line="288" w:lineRule="auto"/>
        <w:rPr>
          <w:sz w:val="20"/>
          <w:szCs w:val="20"/>
          <w:color w:val="auto"/>
        </w:rPr>
      </w:pPr>
      <w:r>
        <w:rPr>
          <w:rFonts w:ascii="Arial" w:cs="Arial" w:eastAsia="Arial" w:hAnsi="Arial"/>
          <w:sz w:val="14"/>
          <w:szCs w:val="14"/>
          <w:color w:val="auto"/>
        </w:rPr>
        <w:t>The following table presents additional information about assets or liabilities, including derivatives that are measured at fair value on a recurring basis for which CenterPoint Energy and CERC have utilized Level 3 inputs to determine fair value:</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1840" w:type="dxa"/>
            <w:vAlign w:val="bottom"/>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100" w:type="dxa"/>
            <w:vAlign w:val="bottom"/>
            <w:tcBorders>
              <w:bottom w:val="single" w:sz="8" w:color="auto"/>
            </w:tcBorders>
            <w:gridSpan w:val="4"/>
          </w:tcPr>
          <w:p>
            <w:pPr>
              <w:jc w:val="right"/>
              <w:ind w:right="143"/>
              <w:spacing w:after="0"/>
              <w:rPr>
                <w:sz w:val="20"/>
                <w:szCs w:val="20"/>
                <w:color w:val="auto"/>
              </w:rPr>
            </w:pPr>
            <w:r>
              <w:rPr>
                <w:rFonts w:ascii="Arial" w:cs="Arial" w:eastAsia="Arial" w:hAnsi="Arial"/>
                <w:sz w:val="11"/>
                <w:szCs w:val="11"/>
                <w:b w:val="1"/>
                <w:bCs w:val="1"/>
                <w:color w:val="auto"/>
              </w:rPr>
              <w:t>Three Months Ended September 30,</w:t>
            </w:r>
          </w:p>
        </w:tc>
        <w:tc>
          <w:tcPr>
            <w:tcW w:w="12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020" w:type="dxa"/>
            <w:vAlign w:val="bottom"/>
            <w:tcBorders>
              <w:bottom w:val="single" w:sz="8" w:color="auto"/>
            </w:tcBorders>
            <w:gridSpan w:val="4"/>
          </w:tcPr>
          <w:p>
            <w:pPr>
              <w:jc w:val="right"/>
              <w:ind w:right="143"/>
              <w:spacing w:after="0"/>
              <w:rPr>
                <w:sz w:val="20"/>
                <w:szCs w:val="20"/>
                <w:color w:val="auto"/>
              </w:rPr>
            </w:pPr>
            <w:r>
              <w:rPr>
                <w:rFonts w:ascii="Arial" w:cs="Arial" w:eastAsia="Arial" w:hAnsi="Arial"/>
                <w:sz w:val="11"/>
                <w:szCs w:val="11"/>
                <w:b w:val="1"/>
                <w:bCs w:val="1"/>
                <w:color w:val="auto"/>
                <w:w w:val="99"/>
              </w:rPr>
              <w:t>Nine Months Ended September 30,</w:t>
            </w:r>
          </w:p>
        </w:tc>
        <w:tc>
          <w:tcPr>
            <w:tcW w:w="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r>
      <w:tr>
        <w:trPr>
          <w:trHeight w:val="206"/>
        </w:trPr>
        <w:tc>
          <w:tcPr>
            <w:tcW w:w="184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gridSpan w:val="2"/>
          </w:tcPr>
          <w:p>
            <w:pPr>
              <w:jc w:val="right"/>
              <w:ind w:right="43"/>
              <w:spacing w:after="0"/>
              <w:rPr>
                <w:sz w:val="20"/>
                <w:szCs w:val="20"/>
                <w:color w:val="auto"/>
              </w:rPr>
            </w:pPr>
            <w:r>
              <w:rPr>
                <w:rFonts w:ascii="Arial" w:cs="Arial" w:eastAsia="Arial" w:hAnsi="Arial"/>
                <w:sz w:val="11"/>
                <w:szCs w:val="11"/>
                <w:b w:val="1"/>
                <w:bCs w:val="1"/>
                <w:color w:val="auto"/>
                <w:w w:val="89"/>
              </w:rPr>
              <w:t>2019</w:t>
            </w:r>
          </w:p>
        </w:tc>
        <w:tc>
          <w:tcPr>
            <w:tcW w:w="9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gridSpan w:val="2"/>
          </w:tcPr>
          <w:p>
            <w:pPr>
              <w:jc w:val="right"/>
              <w:ind w:right="103"/>
              <w:spacing w:after="0"/>
              <w:rPr>
                <w:sz w:val="20"/>
                <w:szCs w:val="20"/>
                <w:color w:val="auto"/>
              </w:rPr>
            </w:pPr>
            <w:r>
              <w:rPr>
                <w:rFonts w:ascii="Arial" w:cs="Arial" w:eastAsia="Arial" w:hAnsi="Arial"/>
                <w:sz w:val="11"/>
                <w:szCs w:val="11"/>
                <w:b w:val="1"/>
                <w:bCs w:val="1"/>
                <w:color w:val="auto"/>
                <w:w w:val="89"/>
              </w:rPr>
              <w:t>2018</w:t>
            </w:r>
          </w:p>
        </w:tc>
        <w:tc>
          <w:tcPr>
            <w:tcW w:w="8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gridSpan w:val="2"/>
          </w:tcPr>
          <w:p>
            <w:pPr>
              <w:jc w:val="right"/>
              <w:spacing w:after="0"/>
              <w:rPr>
                <w:sz w:val="20"/>
                <w:szCs w:val="20"/>
                <w:color w:val="auto"/>
              </w:rPr>
            </w:pPr>
            <w:r>
              <w:rPr>
                <w:rFonts w:ascii="Arial" w:cs="Arial" w:eastAsia="Arial" w:hAnsi="Arial"/>
                <w:sz w:val="11"/>
                <w:szCs w:val="11"/>
                <w:b w:val="1"/>
                <w:bCs w:val="1"/>
                <w:color w:val="auto"/>
              </w:rPr>
              <w:t>2019</w:t>
            </w: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gridSpan w:val="3"/>
          </w:tcPr>
          <w:p>
            <w:pPr>
              <w:jc w:val="right"/>
              <w:ind w:right="128"/>
              <w:spacing w:after="0"/>
              <w:rPr>
                <w:sz w:val="20"/>
                <w:szCs w:val="20"/>
                <w:color w:val="auto"/>
              </w:rPr>
            </w:pPr>
            <w:r>
              <w:rPr>
                <w:rFonts w:ascii="Arial" w:cs="Arial" w:eastAsia="Arial" w:hAnsi="Arial"/>
                <w:sz w:val="11"/>
                <w:szCs w:val="11"/>
                <w:b w:val="1"/>
                <w:bCs w:val="1"/>
                <w:color w:val="auto"/>
                <w:w w:val="89"/>
              </w:rPr>
              <w:t>2018</w:t>
            </w:r>
          </w:p>
        </w:tc>
        <w:tc>
          <w:tcPr>
            <w:tcW w:w="880" w:type="dxa"/>
            <w:vAlign w:val="bottom"/>
            <w:tcBorders>
              <w:bottom w:val="single" w:sz="8" w:color="auto"/>
            </w:tcBorders>
          </w:tcPr>
          <w:p>
            <w:pPr>
              <w:spacing w:after="0"/>
              <w:rPr>
                <w:sz w:val="17"/>
                <w:szCs w:val="17"/>
                <w:color w:val="auto"/>
              </w:rPr>
            </w:pPr>
          </w:p>
        </w:tc>
      </w:tr>
      <w:tr>
        <w:trPr>
          <w:trHeight w:val="206"/>
        </w:trPr>
        <w:tc>
          <w:tcPr>
            <w:tcW w:w="1840" w:type="dxa"/>
            <w:vAlign w:val="bottom"/>
          </w:tcPr>
          <w:p>
            <w:pPr>
              <w:spacing w:after="0"/>
              <w:rPr>
                <w:sz w:val="17"/>
                <w:szCs w:val="17"/>
                <w:color w:val="auto"/>
              </w:rPr>
            </w:pPr>
          </w:p>
        </w:tc>
        <w:tc>
          <w:tcPr>
            <w:tcW w:w="1060" w:type="dxa"/>
            <w:vAlign w:val="bottom"/>
            <w:tcBorders>
              <w:bottom w:val="single" w:sz="8" w:color="auto"/>
            </w:tcBorders>
            <w:gridSpan w:val="2"/>
          </w:tcPr>
          <w:p>
            <w:pPr>
              <w:ind w:left="40"/>
              <w:spacing w:after="0"/>
              <w:rPr>
                <w:sz w:val="20"/>
                <w:szCs w:val="20"/>
                <w:color w:val="auto"/>
              </w:rPr>
            </w:pPr>
            <w:r>
              <w:rPr>
                <w:rFonts w:ascii="Arial" w:cs="Arial" w:eastAsia="Arial" w:hAnsi="Arial"/>
                <w:sz w:val="11"/>
                <w:szCs w:val="11"/>
                <w:b w:val="1"/>
                <w:bCs w:val="1"/>
                <w:color w:val="auto"/>
                <w:w w:val="97"/>
              </w:rPr>
              <w:t>CenterPoint Energy</w:t>
            </w: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gridSpan w:val="2"/>
          </w:tcPr>
          <w:p>
            <w:pPr>
              <w:ind w:left="200"/>
              <w:spacing w:after="0"/>
              <w:rPr>
                <w:sz w:val="20"/>
                <w:szCs w:val="20"/>
                <w:color w:val="auto"/>
              </w:rPr>
            </w:pPr>
            <w:r>
              <w:rPr>
                <w:rFonts w:ascii="Arial" w:cs="Arial" w:eastAsia="Arial" w:hAnsi="Arial"/>
                <w:sz w:val="11"/>
                <w:szCs w:val="11"/>
                <w:b w:val="1"/>
                <w:bCs w:val="1"/>
                <w:color w:val="auto"/>
              </w:rPr>
              <w:t>CERC</w:t>
            </w:r>
          </w:p>
        </w:tc>
        <w:tc>
          <w:tcPr>
            <w:tcW w:w="1040" w:type="dxa"/>
            <w:vAlign w:val="bottom"/>
            <w:tcBorders>
              <w:bottom w:val="single" w:sz="8" w:color="auto"/>
            </w:tcBorders>
            <w:gridSpan w:val="2"/>
          </w:tcPr>
          <w:p>
            <w:pPr>
              <w:ind w:left="20"/>
              <w:spacing w:after="0"/>
              <w:rPr>
                <w:sz w:val="20"/>
                <w:szCs w:val="20"/>
                <w:color w:val="auto"/>
              </w:rPr>
            </w:pPr>
            <w:r>
              <w:rPr>
                <w:rFonts w:ascii="Arial" w:cs="Arial" w:eastAsia="Arial" w:hAnsi="Arial"/>
                <w:sz w:val="11"/>
                <w:szCs w:val="11"/>
                <w:b w:val="1"/>
                <w:bCs w:val="1"/>
                <w:color w:val="auto"/>
                <w:w w:val="97"/>
              </w:rPr>
              <w:t>CenterPoint Energy</w:t>
            </w:r>
          </w:p>
        </w:tc>
        <w:tc>
          <w:tcPr>
            <w:tcW w:w="1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2"/>
          </w:tcPr>
          <w:p>
            <w:pPr>
              <w:ind w:left="140"/>
              <w:spacing w:after="0"/>
              <w:rPr>
                <w:sz w:val="20"/>
                <w:szCs w:val="20"/>
                <w:color w:val="auto"/>
              </w:rPr>
            </w:pPr>
            <w:r>
              <w:rPr>
                <w:rFonts w:ascii="Arial" w:cs="Arial" w:eastAsia="Arial" w:hAnsi="Arial"/>
                <w:sz w:val="11"/>
                <w:szCs w:val="11"/>
                <w:b w:val="1"/>
                <w:bCs w:val="1"/>
                <w:color w:val="auto"/>
              </w:rPr>
              <w:t>CERC</w:t>
            </w:r>
          </w:p>
        </w:tc>
        <w:tc>
          <w:tcPr>
            <w:tcW w:w="124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1"/>
                <w:szCs w:val="11"/>
                <w:b w:val="1"/>
                <w:bCs w:val="1"/>
                <w:color w:val="auto"/>
                <w:w w:val="99"/>
              </w:rPr>
              <w:t>CenterPoint Energy</w:t>
            </w:r>
          </w:p>
        </w:tc>
        <w:tc>
          <w:tcPr>
            <w:tcW w:w="1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gridSpan w:val="2"/>
          </w:tcPr>
          <w:p>
            <w:pPr>
              <w:ind w:left="180"/>
              <w:spacing w:after="0"/>
              <w:rPr>
                <w:sz w:val="20"/>
                <w:szCs w:val="20"/>
                <w:color w:val="auto"/>
              </w:rPr>
            </w:pPr>
            <w:r>
              <w:rPr>
                <w:rFonts w:ascii="Arial" w:cs="Arial" w:eastAsia="Arial" w:hAnsi="Arial"/>
                <w:sz w:val="11"/>
                <w:szCs w:val="11"/>
                <w:b w:val="1"/>
                <w:bCs w:val="1"/>
                <w:color w:val="auto"/>
              </w:rPr>
              <w:t>CERC</w:t>
            </w:r>
          </w:p>
        </w:tc>
        <w:tc>
          <w:tcPr>
            <w:tcW w:w="1060" w:type="dxa"/>
            <w:vAlign w:val="bottom"/>
            <w:tcBorders>
              <w:bottom w:val="single" w:sz="8" w:color="auto"/>
            </w:tcBorders>
            <w:gridSpan w:val="2"/>
          </w:tcPr>
          <w:p>
            <w:pPr>
              <w:jc w:val="right"/>
              <w:spacing w:after="0"/>
              <w:rPr>
                <w:sz w:val="20"/>
                <w:szCs w:val="20"/>
                <w:color w:val="auto"/>
              </w:rPr>
            </w:pPr>
            <w:r>
              <w:rPr>
                <w:rFonts w:ascii="Arial" w:cs="Arial" w:eastAsia="Arial" w:hAnsi="Arial"/>
                <w:sz w:val="11"/>
                <w:szCs w:val="11"/>
                <w:b w:val="1"/>
                <w:bCs w:val="1"/>
                <w:color w:val="auto"/>
                <w:w w:val="99"/>
              </w:rPr>
              <w:t>CenterPoint Energy</w:t>
            </w:r>
          </w:p>
        </w:tc>
        <w:tc>
          <w:tcPr>
            <w:tcW w:w="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43"/>
              <w:spacing w:after="0"/>
              <w:rPr>
                <w:sz w:val="20"/>
                <w:szCs w:val="20"/>
                <w:color w:val="auto"/>
              </w:rPr>
            </w:pPr>
            <w:r>
              <w:rPr>
                <w:rFonts w:ascii="Arial" w:cs="Arial" w:eastAsia="Arial" w:hAnsi="Arial"/>
                <w:sz w:val="11"/>
                <w:szCs w:val="11"/>
                <w:b w:val="1"/>
                <w:bCs w:val="1"/>
                <w:color w:val="auto"/>
              </w:rPr>
              <w:t>CERC</w:t>
            </w:r>
          </w:p>
        </w:tc>
      </w:tr>
      <w:tr>
        <w:trPr>
          <w:trHeight w:val="196"/>
        </w:trPr>
        <w:tc>
          <w:tcPr>
            <w:tcW w:w="18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40" w:type="dxa"/>
            <w:vAlign w:val="bottom"/>
            <w:gridSpan w:val="3"/>
          </w:tcPr>
          <w:p>
            <w:pPr>
              <w:jc w:val="right"/>
              <w:ind w:right="567"/>
              <w:spacing w:after="0"/>
              <w:rPr>
                <w:sz w:val="20"/>
                <w:szCs w:val="20"/>
                <w:color w:val="auto"/>
              </w:rPr>
            </w:pPr>
            <w:r>
              <w:rPr>
                <w:rFonts w:ascii="Arial" w:cs="Arial" w:eastAsia="Arial" w:hAnsi="Arial"/>
                <w:sz w:val="11"/>
                <w:szCs w:val="11"/>
                <w:b w:val="1"/>
                <w:bCs w:val="1"/>
                <w:color w:val="auto"/>
              </w:rPr>
              <w:t>(in millions)</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20"/>
        </w:trPr>
        <w:tc>
          <w:tcPr>
            <w:tcW w:w="1840" w:type="dxa"/>
            <w:vAlign w:val="bottom"/>
            <w:shd w:val="clear" w:color="auto" w:fill="CCEEFF"/>
          </w:tcPr>
          <w:p>
            <w:pPr>
              <w:ind w:left="20"/>
              <w:spacing w:after="0"/>
              <w:rPr>
                <w:sz w:val="20"/>
                <w:szCs w:val="20"/>
                <w:color w:val="auto"/>
              </w:rPr>
            </w:pPr>
            <w:r>
              <w:rPr>
                <w:rFonts w:ascii="Arial" w:cs="Arial" w:eastAsia="Arial" w:hAnsi="Arial"/>
                <w:sz w:val="11"/>
                <w:szCs w:val="11"/>
                <w:color w:val="auto"/>
              </w:rPr>
              <w:t>Beginning balance</w:t>
            </w:r>
          </w:p>
        </w:tc>
        <w:tc>
          <w:tcPr>
            <w:tcW w:w="460" w:type="dxa"/>
            <w:vAlign w:val="bottom"/>
            <w:shd w:val="clear" w:color="auto" w:fill="CCEEFF"/>
          </w:tcPr>
          <w:p>
            <w:pPr>
              <w:ind w:left="40"/>
              <w:spacing w:after="0"/>
              <w:rPr>
                <w:sz w:val="20"/>
                <w:szCs w:val="20"/>
                <w:color w:val="auto"/>
              </w:rPr>
            </w:pPr>
            <w:r>
              <w:rPr>
                <w:rFonts w:ascii="Arial" w:cs="Arial" w:eastAsia="Arial" w:hAnsi="Arial"/>
                <w:sz w:val="11"/>
                <w:szCs w:val="11"/>
                <w:color w:val="auto"/>
              </w:rPr>
              <w:t>$</w:t>
            </w:r>
          </w:p>
        </w:tc>
        <w:tc>
          <w:tcPr>
            <w:tcW w:w="60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20</w:t>
            </w:r>
          </w:p>
        </w:tc>
        <w:tc>
          <w:tcPr>
            <w:tcW w:w="340" w:type="dxa"/>
            <w:vAlign w:val="bottom"/>
            <w:gridSpan w:val="2"/>
            <w:shd w:val="clear" w:color="auto" w:fill="CCEEFF"/>
          </w:tcPr>
          <w:p>
            <w:pPr>
              <w:jc w:val="right"/>
              <w:ind w:right="83"/>
              <w:spacing w:after="0"/>
              <w:rPr>
                <w:sz w:val="20"/>
                <w:szCs w:val="20"/>
                <w:color w:val="auto"/>
              </w:rPr>
            </w:pPr>
            <w:r>
              <w:rPr>
                <w:rFonts w:ascii="Arial" w:cs="Arial" w:eastAsia="Arial" w:hAnsi="Arial"/>
                <w:sz w:val="11"/>
                <w:szCs w:val="11"/>
                <w:color w:val="auto"/>
              </w:rPr>
              <w:t>$</w:t>
            </w:r>
          </w:p>
        </w:tc>
        <w:tc>
          <w:tcPr>
            <w:tcW w:w="94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20</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ind w:left="20"/>
              <w:spacing w:after="0"/>
              <w:rPr>
                <w:sz w:val="20"/>
                <w:szCs w:val="20"/>
                <w:color w:val="auto"/>
              </w:rPr>
            </w:pPr>
            <w:r>
              <w:rPr>
                <w:rFonts w:ascii="Arial" w:cs="Arial" w:eastAsia="Arial" w:hAnsi="Arial"/>
                <w:sz w:val="11"/>
                <w:szCs w:val="11"/>
                <w:color w:val="auto"/>
              </w:rPr>
              <w:t>$</w:t>
            </w:r>
          </w:p>
        </w:tc>
        <w:tc>
          <w:tcPr>
            <w:tcW w:w="64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(628)</w:t>
            </w:r>
          </w:p>
        </w:tc>
        <w:tc>
          <w:tcPr>
            <w:tcW w:w="400" w:type="dxa"/>
            <w:vAlign w:val="bottom"/>
            <w:gridSpan w:val="2"/>
            <w:shd w:val="clear" w:color="auto" w:fill="CCEEFF"/>
          </w:tcPr>
          <w:p>
            <w:pPr>
              <w:jc w:val="right"/>
              <w:ind w:right="143"/>
              <w:spacing w:after="0"/>
              <w:rPr>
                <w:sz w:val="20"/>
                <w:szCs w:val="20"/>
                <w:color w:val="auto"/>
              </w:rPr>
            </w:pPr>
            <w:r>
              <w:rPr>
                <w:rFonts w:ascii="Arial" w:cs="Arial" w:eastAsia="Arial" w:hAnsi="Arial"/>
                <w:sz w:val="11"/>
                <w:szCs w:val="11"/>
                <w:color w:val="auto"/>
              </w:rPr>
              <w:t>$</w:t>
            </w:r>
          </w:p>
        </w:tc>
        <w:tc>
          <w:tcPr>
            <w:tcW w:w="88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13</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727"/>
              <w:spacing w:after="0"/>
              <w:rPr>
                <w:sz w:val="20"/>
                <w:szCs w:val="20"/>
                <w:color w:val="auto"/>
              </w:rPr>
            </w:pPr>
            <w:r>
              <w:rPr>
                <w:rFonts w:ascii="Arial" w:cs="Arial" w:eastAsia="Arial" w:hAnsi="Arial"/>
                <w:sz w:val="10"/>
                <w:szCs w:val="10"/>
                <w:color w:val="auto"/>
                <w:w w:val="71"/>
              </w:rPr>
              <w:t>$</w:t>
            </w:r>
          </w:p>
        </w:tc>
        <w:tc>
          <w:tcPr>
            <w:tcW w:w="28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30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ind w:right="48"/>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30</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303"/>
              <w:spacing w:after="0"/>
              <w:rPr>
                <w:sz w:val="20"/>
                <w:szCs w:val="20"/>
                <w:color w:val="auto"/>
              </w:rPr>
            </w:pPr>
            <w:r>
              <w:rPr>
                <w:rFonts w:ascii="Arial" w:cs="Arial" w:eastAsia="Arial" w:hAnsi="Arial"/>
                <w:sz w:val="11"/>
                <w:szCs w:val="11"/>
                <w:color w:val="auto"/>
                <w:w w:val="97"/>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(622)</w:t>
            </w:r>
          </w:p>
        </w:tc>
        <w:tc>
          <w:tcPr>
            <w:tcW w:w="420" w:type="dxa"/>
            <w:vAlign w:val="bottom"/>
            <w:gridSpan w:val="3"/>
            <w:shd w:val="clear" w:color="auto" w:fill="CCEEFF"/>
          </w:tcPr>
          <w:p>
            <w:pPr>
              <w:jc w:val="right"/>
              <w:ind w:right="128"/>
              <w:spacing w:after="0"/>
              <w:rPr>
                <w:sz w:val="20"/>
                <w:szCs w:val="20"/>
                <w:color w:val="auto"/>
              </w:rPr>
            </w:pPr>
            <w:r>
              <w:rPr>
                <w:rFonts w:ascii="Arial" w:cs="Arial" w:eastAsia="Arial" w:hAnsi="Arial"/>
                <w:sz w:val="11"/>
                <w:szCs w:val="11"/>
                <w:color w:val="auto"/>
              </w:rPr>
              <w:t>$</w:t>
            </w:r>
          </w:p>
        </w:tc>
        <w:tc>
          <w:tcPr>
            <w:tcW w:w="88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46</w:t>
            </w:r>
          </w:p>
        </w:tc>
      </w:tr>
      <w:tr>
        <w:trPr>
          <w:trHeight w:val="211"/>
        </w:trPr>
        <w:tc>
          <w:tcPr>
            <w:tcW w:w="1840" w:type="dxa"/>
            <w:vAlign w:val="bottom"/>
          </w:tcPr>
          <w:p>
            <w:pPr>
              <w:ind w:left="20"/>
              <w:spacing w:after="0"/>
              <w:rPr>
                <w:sz w:val="20"/>
                <w:szCs w:val="20"/>
                <w:color w:val="auto"/>
              </w:rPr>
            </w:pPr>
            <w:r>
              <w:rPr>
                <w:rFonts w:ascii="Arial" w:cs="Arial" w:eastAsia="Arial" w:hAnsi="Arial"/>
                <w:sz w:val="11"/>
                <w:szCs w:val="11"/>
                <w:color w:val="auto"/>
              </w:rPr>
              <w:t>Total gains</w:t>
            </w:r>
          </w:p>
        </w:tc>
        <w:tc>
          <w:tcPr>
            <w:tcW w:w="460" w:type="dxa"/>
            <w:vAlign w:val="bottom"/>
          </w:tcPr>
          <w:p>
            <w:pPr>
              <w:spacing w:after="0"/>
              <w:rPr>
                <w:sz w:val="18"/>
                <w:szCs w:val="18"/>
                <w:color w:val="auto"/>
              </w:rPr>
            </w:pPr>
          </w:p>
        </w:tc>
        <w:tc>
          <w:tcPr>
            <w:tcW w:w="600" w:type="dxa"/>
            <w:vAlign w:val="bottom"/>
          </w:tcPr>
          <w:p>
            <w:pPr>
              <w:jc w:val="right"/>
              <w:ind w:right="63"/>
              <w:spacing w:after="0"/>
              <w:rPr>
                <w:sz w:val="20"/>
                <w:szCs w:val="20"/>
                <w:color w:val="auto"/>
              </w:rPr>
            </w:pPr>
            <w:r>
              <w:rPr>
                <w:rFonts w:ascii="Arial" w:cs="Arial" w:eastAsia="Arial" w:hAnsi="Arial"/>
                <w:sz w:val="11"/>
                <w:szCs w:val="11"/>
                <w:color w:val="auto"/>
              </w:rPr>
              <w:t>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ind w:right="63"/>
              <w:spacing w:after="0"/>
              <w:rPr>
                <w:sz w:val="20"/>
                <w:szCs w:val="20"/>
                <w:color w:val="auto"/>
              </w:rPr>
            </w:pPr>
            <w:r>
              <w:rPr>
                <w:rFonts w:ascii="Arial" w:cs="Arial" w:eastAsia="Arial" w:hAnsi="Arial"/>
                <w:sz w:val="11"/>
                <w:szCs w:val="11"/>
                <w:color w:val="auto"/>
              </w:rPr>
              <w:t>4</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jc w:val="right"/>
              <w:ind w:right="63"/>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ind w:right="63"/>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jc w:val="right"/>
              <w:ind w:right="43"/>
              <w:spacing w:after="0"/>
              <w:rPr>
                <w:sz w:val="20"/>
                <w:szCs w:val="20"/>
                <w:color w:val="auto"/>
              </w:rPr>
            </w:pPr>
            <w:r>
              <w:rPr>
                <w:rFonts w:ascii="Arial" w:cs="Arial" w:eastAsia="Arial" w:hAnsi="Arial"/>
                <w:sz w:val="11"/>
                <w:szCs w:val="11"/>
                <w:color w:val="auto"/>
              </w:rPr>
              <w:t>16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ind w:right="43"/>
              <w:spacing w:after="0"/>
              <w:rPr>
                <w:sz w:val="20"/>
                <w:szCs w:val="20"/>
                <w:color w:val="auto"/>
              </w:rPr>
            </w:pPr>
            <w:r>
              <w:rPr>
                <w:rFonts w:ascii="Arial" w:cs="Arial" w:eastAsia="Arial" w:hAnsi="Arial"/>
                <w:sz w:val="11"/>
                <w:szCs w:val="11"/>
                <w:color w:val="auto"/>
              </w:rPr>
              <w:t>16</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4</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43"/>
              <w:spacing w:after="0"/>
              <w:rPr>
                <w:sz w:val="20"/>
                <w:szCs w:val="20"/>
                <w:color w:val="auto"/>
              </w:rPr>
            </w:pPr>
            <w:r>
              <w:rPr>
                <w:rFonts w:ascii="Arial" w:cs="Arial" w:eastAsia="Arial" w:hAnsi="Arial"/>
                <w:sz w:val="11"/>
                <w:szCs w:val="11"/>
                <w:color w:val="auto"/>
              </w:rPr>
              <w:t>4</w:t>
            </w:r>
          </w:p>
        </w:tc>
      </w:tr>
      <w:tr>
        <w:trPr>
          <w:trHeight w:val="220"/>
        </w:trPr>
        <w:tc>
          <w:tcPr>
            <w:tcW w:w="1840" w:type="dxa"/>
            <w:vAlign w:val="bottom"/>
            <w:shd w:val="clear" w:color="auto" w:fill="CCEEFF"/>
          </w:tcPr>
          <w:p>
            <w:pPr>
              <w:ind w:left="20"/>
              <w:spacing w:after="0"/>
              <w:rPr>
                <w:sz w:val="20"/>
                <w:szCs w:val="20"/>
                <w:color w:val="auto"/>
              </w:rPr>
            </w:pPr>
            <w:r>
              <w:rPr>
                <w:rFonts w:ascii="Arial" w:cs="Arial" w:eastAsia="Arial" w:hAnsi="Arial"/>
                <w:sz w:val="11"/>
                <w:szCs w:val="11"/>
                <w:color w:val="auto"/>
              </w:rPr>
              <w:t>Total settlements</w:t>
            </w:r>
          </w:p>
        </w:tc>
        <w:tc>
          <w:tcPr>
            <w:tcW w:w="46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(1)</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(1)</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(18)</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(36)</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(36)</w:t>
            </w:r>
          </w:p>
        </w:tc>
      </w:tr>
      <w:tr>
        <w:trPr>
          <w:trHeight w:val="211"/>
        </w:trPr>
        <w:tc>
          <w:tcPr>
            <w:tcW w:w="1840" w:type="dxa"/>
            <w:vAlign w:val="bottom"/>
          </w:tcPr>
          <w:p>
            <w:pPr>
              <w:ind w:left="20"/>
              <w:spacing w:after="0"/>
              <w:rPr>
                <w:sz w:val="20"/>
                <w:szCs w:val="20"/>
                <w:color w:val="auto"/>
              </w:rPr>
            </w:pPr>
            <w:r>
              <w:rPr>
                <w:rFonts w:ascii="Arial" w:cs="Arial" w:eastAsia="Arial" w:hAnsi="Arial"/>
                <w:sz w:val="11"/>
                <w:szCs w:val="11"/>
                <w:color w:val="auto"/>
              </w:rPr>
              <w:t>Transfers into Level 3</w:t>
            </w:r>
          </w:p>
        </w:tc>
        <w:tc>
          <w:tcPr>
            <w:tcW w:w="460" w:type="dxa"/>
            <w:vAlign w:val="bottom"/>
          </w:tcPr>
          <w:p>
            <w:pPr>
              <w:spacing w:after="0"/>
              <w:rPr>
                <w:sz w:val="18"/>
                <w:szCs w:val="18"/>
                <w:color w:val="auto"/>
              </w:rPr>
            </w:pPr>
          </w:p>
        </w:tc>
        <w:tc>
          <w:tcPr>
            <w:tcW w:w="600" w:type="dxa"/>
            <w:vAlign w:val="bottom"/>
          </w:tcPr>
          <w:p>
            <w:pPr>
              <w:jc w:val="right"/>
              <w:ind w:right="63"/>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400" w:type="dxa"/>
            <w:vAlign w:val="bottom"/>
          </w:tcPr>
          <w:p>
            <w:pPr>
              <w:spacing w:after="0"/>
              <w:rPr>
                <w:sz w:val="18"/>
                <w:szCs w:val="18"/>
                <w:color w:val="auto"/>
              </w:rPr>
            </w:pPr>
          </w:p>
        </w:tc>
        <w:tc>
          <w:tcPr>
            <w:tcW w:w="640" w:type="dxa"/>
            <w:vAlign w:val="bottom"/>
          </w:tcPr>
          <w:p>
            <w:pPr>
              <w:jc w:val="right"/>
              <w:ind w:right="63"/>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40" w:type="dxa"/>
            <w:vAlign w:val="bottom"/>
          </w:tcPr>
          <w:p>
            <w:pPr>
              <w:spacing w:after="0"/>
              <w:rPr>
                <w:sz w:val="18"/>
                <w:szCs w:val="18"/>
                <w:color w:val="auto"/>
              </w:rPr>
            </w:pPr>
          </w:p>
        </w:tc>
        <w:tc>
          <w:tcPr>
            <w:tcW w:w="280" w:type="dxa"/>
            <w:vAlign w:val="bottom"/>
          </w:tcPr>
          <w:p>
            <w:pPr>
              <w:jc w:val="right"/>
              <w:ind w:right="3"/>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ind w:right="3"/>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(2)</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3"/>
              <w:spacing w:after="0"/>
              <w:rPr>
                <w:sz w:val="20"/>
                <w:szCs w:val="20"/>
                <w:color w:val="auto"/>
              </w:rPr>
            </w:pPr>
            <w:r>
              <w:rPr>
                <w:rFonts w:ascii="Arial" w:cs="Arial" w:eastAsia="Arial" w:hAnsi="Arial"/>
                <w:sz w:val="11"/>
                <w:szCs w:val="11"/>
                <w:color w:val="auto"/>
              </w:rPr>
              <w:t>(2)</w:t>
            </w:r>
          </w:p>
        </w:tc>
      </w:tr>
      <w:tr>
        <w:trPr>
          <w:trHeight w:val="216"/>
        </w:trPr>
        <w:tc>
          <w:tcPr>
            <w:tcW w:w="1840" w:type="dxa"/>
            <w:vAlign w:val="bottom"/>
            <w:shd w:val="clear" w:color="auto" w:fill="CCEEFF"/>
          </w:tcPr>
          <w:p>
            <w:pPr>
              <w:ind w:left="20"/>
              <w:spacing w:after="0"/>
              <w:rPr>
                <w:sz w:val="20"/>
                <w:szCs w:val="20"/>
                <w:color w:val="auto"/>
              </w:rPr>
            </w:pPr>
            <w:r>
              <w:rPr>
                <w:rFonts w:ascii="Arial" w:cs="Arial" w:eastAsia="Arial" w:hAnsi="Arial"/>
                <w:sz w:val="11"/>
                <w:szCs w:val="11"/>
                <w:color w:val="auto"/>
              </w:rPr>
              <w:t>Transfers out of Level 3</w:t>
            </w:r>
          </w:p>
        </w:tc>
        <w:tc>
          <w:tcPr>
            <w:tcW w:w="4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1"/>
                <w:szCs w:val="11"/>
                <w:color w:val="auto"/>
              </w:rPr>
              <w:t>(2)</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1"/>
                <w:szCs w:val="11"/>
                <w:color w:val="auto"/>
              </w:rPr>
              <w:t>(2)</w:t>
            </w:r>
          </w:p>
        </w:tc>
        <w:tc>
          <w:tcPr>
            <w:tcW w:w="1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color w:val="auto"/>
              </w:rPr>
              <w:t>650</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color w:val="auto"/>
              </w:rPr>
              <w:t>9</w:t>
            </w:r>
          </w:p>
        </w:tc>
        <w:tc>
          <w:tcPr>
            <w:tcW w:w="12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(6)</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(6)</w:t>
            </w:r>
          </w:p>
        </w:tc>
        <w:tc>
          <w:tcPr>
            <w:tcW w:w="12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678</w:t>
            </w:r>
          </w:p>
        </w:tc>
        <w:tc>
          <w:tcPr>
            <w:tcW w:w="6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1"/>
                <w:szCs w:val="11"/>
                <w:color w:val="auto"/>
              </w:rPr>
              <w:t>10</w:t>
            </w:r>
          </w:p>
        </w:tc>
      </w:tr>
      <w:tr>
        <w:trPr>
          <w:trHeight w:val="189"/>
        </w:trPr>
        <w:tc>
          <w:tcPr>
            <w:tcW w:w="1840" w:type="dxa"/>
            <w:vAlign w:val="bottom"/>
          </w:tcPr>
          <w:p>
            <w:pPr>
              <w:ind w:left="20"/>
              <w:spacing w:after="0"/>
              <w:rPr>
                <w:sz w:val="20"/>
                <w:szCs w:val="20"/>
                <w:color w:val="auto"/>
              </w:rPr>
            </w:pPr>
            <w:r>
              <w:rPr>
                <w:rFonts w:ascii="Arial" w:cs="Arial" w:eastAsia="Arial" w:hAnsi="Arial"/>
                <w:sz w:val="11"/>
                <w:szCs w:val="11"/>
                <w:color w:val="auto"/>
              </w:rPr>
              <w:t>Ending balance (1)</w:t>
            </w:r>
          </w:p>
        </w:tc>
        <w:tc>
          <w:tcPr>
            <w:tcW w:w="460" w:type="dxa"/>
            <w:vAlign w:val="bottom"/>
            <w:tcBorders>
              <w:bottom w:val="single" w:sz="8" w:color="auto"/>
            </w:tcBorders>
          </w:tcPr>
          <w:p>
            <w:pPr>
              <w:ind w:left="40"/>
              <w:spacing w:after="0"/>
              <w:rPr>
                <w:sz w:val="20"/>
                <w:szCs w:val="20"/>
                <w:color w:val="auto"/>
              </w:rPr>
            </w:pPr>
            <w:r>
              <w:rPr>
                <w:rFonts w:ascii="Arial" w:cs="Arial" w:eastAsia="Arial" w:hAnsi="Arial"/>
                <w:sz w:val="11"/>
                <w:szCs w:val="11"/>
                <w:color w:val="auto"/>
              </w:rPr>
              <w:t>$</w:t>
            </w:r>
          </w:p>
        </w:tc>
        <w:tc>
          <w:tcPr>
            <w:tcW w:w="60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color w:val="auto"/>
              </w:rPr>
              <w:t>21</w:t>
            </w:r>
          </w:p>
        </w:tc>
        <w:tc>
          <w:tcPr>
            <w:tcW w:w="120" w:type="dxa"/>
            <w:vAlign w:val="bottom"/>
          </w:tcPr>
          <w:p>
            <w:pPr>
              <w:spacing w:after="0"/>
              <w:rPr>
                <w:sz w:val="16"/>
                <w:szCs w:val="16"/>
                <w:color w:val="auto"/>
              </w:rPr>
            </w:pPr>
          </w:p>
        </w:tc>
        <w:tc>
          <w:tcPr>
            <w:tcW w:w="22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w w:val="97"/>
              </w:rPr>
              <w:t>$</w:t>
            </w:r>
          </w:p>
        </w:tc>
        <w:tc>
          <w:tcPr>
            <w:tcW w:w="94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color w:val="auto"/>
              </w:rPr>
              <w:t>21</w:t>
            </w:r>
          </w:p>
        </w:tc>
        <w:tc>
          <w:tcPr>
            <w:tcW w:w="120" w:type="dxa"/>
            <w:vAlign w:val="bottom"/>
          </w:tcPr>
          <w:p>
            <w:pPr>
              <w:spacing w:after="0"/>
              <w:rPr>
                <w:sz w:val="16"/>
                <w:szCs w:val="16"/>
                <w:color w:val="auto"/>
              </w:rPr>
            </w:pPr>
          </w:p>
        </w:tc>
        <w:tc>
          <w:tcPr>
            <w:tcW w:w="40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w:t>
            </w:r>
          </w:p>
        </w:tc>
        <w:tc>
          <w:tcPr>
            <w:tcW w:w="64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color w:val="auto"/>
              </w:rPr>
              <w:t>22</w:t>
            </w:r>
          </w:p>
        </w:tc>
        <w:tc>
          <w:tcPr>
            <w:tcW w:w="120" w:type="dxa"/>
            <w:vAlign w:val="bottom"/>
          </w:tcPr>
          <w:p>
            <w:pPr>
              <w:spacing w:after="0"/>
              <w:rPr>
                <w:sz w:val="16"/>
                <w:szCs w:val="16"/>
                <w:color w:val="auto"/>
              </w:rPr>
            </w:pPr>
          </w:p>
        </w:tc>
        <w:tc>
          <w:tcPr>
            <w:tcW w:w="280" w:type="dxa"/>
            <w:vAlign w:val="bottom"/>
            <w:tcBorders>
              <w:bottom w:val="single" w:sz="8" w:color="auto"/>
            </w:tcBorders>
          </w:tcPr>
          <w:p>
            <w:pPr>
              <w:jc w:val="right"/>
              <w:ind w:right="143"/>
              <w:spacing w:after="0"/>
              <w:rPr>
                <w:sz w:val="20"/>
                <w:szCs w:val="20"/>
                <w:color w:val="auto"/>
              </w:rPr>
            </w:pPr>
            <w:r>
              <w:rPr>
                <w:rFonts w:ascii="Arial" w:cs="Arial" w:eastAsia="Arial" w:hAnsi="Arial"/>
                <w:sz w:val="11"/>
                <w:szCs w:val="11"/>
                <w:color w:val="auto"/>
                <w:w w:val="97"/>
              </w:rPr>
              <w:t>$</w:t>
            </w:r>
          </w:p>
        </w:tc>
        <w:tc>
          <w:tcPr>
            <w:tcW w:w="88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color w:val="auto"/>
              </w:rPr>
              <w:t>22</w:t>
            </w:r>
          </w:p>
        </w:tc>
        <w:tc>
          <w:tcPr>
            <w:tcW w:w="120" w:type="dxa"/>
            <w:vAlign w:val="bottom"/>
          </w:tcPr>
          <w:p>
            <w:pPr>
              <w:spacing w:after="0"/>
              <w:rPr>
                <w:sz w:val="16"/>
                <w:szCs w:val="16"/>
                <w:color w:val="auto"/>
              </w:rPr>
            </w:pPr>
          </w:p>
        </w:tc>
        <w:tc>
          <w:tcPr>
            <w:tcW w:w="840" w:type="dxa"/>
            <w:vAlign w:val="bottom"/>
            <w:tcBorders>
              <w:bottom w:val="single" w:sz="8" w:color="auto"/>
            </w:tcBorders>
          </w:tcPr>
          <w:p>
            <w:pPr>
              <w:jc w:val="right"/>
              <w:ind w:right="727"/>
              <w:spacing w:after="0"/>
              <w:rPr>
                <w:sz w:val="20"/>
                <w:szCs w:val="20"/>
                <w:color w:val="auto"/>
              </w:rPr>
            </w:pPr>
            <w:r>
              <w:rPr>
                <w:rFonts w:ascii="Arial" w:cs="Arial" w:eastAsia="Arial" w:hAnsi="Arial"/>
                <w:sz w:val="10"/>
                <w:szCs w:val="10"/>
                <w:color w:val="auto"/>
                <w:w w:val="71"/>
              </w:rPr>
              <w:t>$</w:t>
            </w:r>
          </w:p>
        </w:tc>
        <w:tc>
          <w:tcPr>
            <w:tcW w:w="28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auto"/>
              </w:rPr>
              <w:t>21</w:t>
            </w:r>
          </w:p>
        </w:tc>
        <w:tc>
          <w:tcPr>
            <w:tcW w:w="120" w:type="dxa"/>
            <w:vAlign w:val="bottom"/>
          </w:tcPr>
          <w:p>
            <w:pPr>
              <w:spacing w:after="0"/>
              <w:rPr>
                <w:sz w:val="16"/>
                <w:szCs w:val="16"/>
                <w:color w:val="auto"/>
              </w:rPr>
            </w:pPr>
          </w:p>
        </w:tc>
        <w:tc>
          <w:tcPr>
            <w:tcW w:w="160" w:type="dxa"/>
            <w:vAlign w:val="bottom"/>
            <w:tcBorders>
              <w:bottom w:val="single" w:sz="8" w:color="auto"/>
            </w:tcBorders>
          </w:tcPr>
          <w:p>
            <w:pPr>
              <w:jc w:val="right"/>
              <w:ind w:right="48"/>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auto"/>
              </w:rPr>
              <w:t>21</w:t>
            </w:r>
          </w:p>
        </w:tc>
        <w:tc>
          <w:tcPr>
            <w:tcW w:w="120" w:type="dxa"/>
            <w:vAlign w:val="bottom"/>
          </w:tcPr>
          <w:p>
            <w:pPr>
              <w:spacing w:after="0"/>
              <w:rPr>
                <w:sz w:val="16"/>
                <w:szCs w:val="16"/>
                <w:color w:val="auto"/>
              </w:rPr>
            </w:pPr>
          </w:p>
        </w:tc>
        <w:tc>
          <w:tcPr>
            <w:tcW w:w="440" w:type="dxa"/>
            <w:vAlign w:val="bottom"/>
            <w:tcBorders>
              <w:bottom w:val="single" w:sz="8" w:color="auto"/>
            </w:tcBorders>
          </w:tcPr>
          <w:p>
            <w:pPr>
              <w:jc w:val="right"/>
              <w:ind w:right="303"/>
              <w:spacing w:after="0"/>
              <w:rPr>
                <w:sz w:val="20"/>
                <w:szCs w:val="20"/>
                <w:color w:val="auto"/>
              </w:rPr>
            </w:pPr>
            <w:r>
              <w:rPr>
                <w:rFonts w:ascii="Arial" w:cs="Arial" w:eastAsia="Arial" w:hAnsi="Arial"/>
                <w:sz w:val="11"/>
                <w:szCs w:val="11"/>
                <w:color w:val="auto"/>
                <w:w w:val="97"/>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22</w:t>
            </w:r>
          </w:p>
        </w:tc>
        <w:tc>
          <w:tcPr>
            <w:tcW w:w="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jc w:val="right"/>
              <w:ind w:right="128"/>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auto"/>
              </w:rPr>
              <w:t>22</w:t>
            </w:r>
          </w:p>
        </w:tc>
      </w:tr>
      <w:tr>
        <w:trPr>
          <w:trHeight w:val="20"/>
        </w:trPr>
        <w:tc>
          <w:tcPr>
            <w:tcW w:w="1840" w:type="dxa"/>
            <w:vAlign w:val="bottom"/>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80"/>
        </w:trPr>
        <w:tc>
          <w:tcPr>
            <w:tcW w:w="7580" w:type="dxa"/>
            <w:vAlign w:val="bottom"/>
            <w:gridSpan w:val="14"/>
          </w:tcPr>
          <w:p>
            <w:pPr>
              <w:ind w:left="20"/>
              <w:spacing w:after="0"/>
              <w:rPr>
                <w:sz w:val="20"/>
                <w:szCs w:val="20"/>
                <w:color w:val="auto"/>
              </w:rPr>
            </w:pPr>
            <w:r>
              <w:rPr>
                <w:rFonts w:ascii="Arial" w:cs="Arial" w:eastAsia="Arial" w:hAnsi="Arial"/>
                <w:sz w:val="11"/>
                <w:szCs w:val="11"/>
                <w:color w:val="auto"/>
                <w:w w:val="94"/>
              </w:rPr>
              <w:t>The amount of total gains for the period included in earnings attributable to the change in unrealized gains or losses relating to assets still held at the reporting date:</w:t>
            </w: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05"/>
        </w:trPr>
        <w:tc>
          <w:tcPr>
            <w:tcW w:w="1840" w:type="dxa"/>
            <w:vAlign w:val="bottom"/>
            <w:shd w:val="clear" w:color="auto" w:fill="CCEEFF"/>
          </w:tcPr>
          <w:p>
            <w:pPr>
              <w:spacing w:after="0"/>
              <w:rPr>
                <w:sz w:val="17"/>
                <w:szCs w:val="17"/>
                <w:color w:val="auto"/>
              </w:rPr>
            </w:pPr>
          </w:p>
        </w:tc>
        <w:tc>
          <w:tcPr>
            <w:tcW w:w="460" w:type="dxa"/>
            <w:vAlign w:val="bottom"/>
            <w:shd w:val="clear" w:color="auto" w:fill="CCEEFF"/>
          </w:tcPr>
          <w:p>
            <w:pPr>
              <w:ind w:left="40"/>
              <w:spacing w:after="0"/>
              <w:rPr>
                <w:sz w:val="20"/>
                <w:szCs w:val="20"/>
                <w:color w:val="auto"/>
              </w:rPr>
            </w:pPr>
            <w:r>
              <w:rPr>
                <w:rFonts w:ascii="Arial" w:cs="Arial" w:eastAsia="Arial" w:hAnsi="Arial"/>
                <w:sz w:val="11"/>
                <w:szCs w:val="11"/>
                <w:color w:val="auto"/>
              </w:rPr>
              <w:t>$</w:t>
            </w:r>
          </w:p>
        </w:tc>
        <w:tc>
          <w:tcPr>
            <w:tcW w:w="60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2</w:t>
            </w:r>
          </w:p>
        </w:tc>
        <w:tc>
          <w:tcPr>
            <w:tcW w:w="340" w:type="dxa"/>
            <w:vAlign w:val="bottom"/>
            <w:gridSpan w:val="2"/>
            <w:shd w:val="clear" w:color="auto" w:fill="CCEEFF"/>
          </w:tcPr>
          <w:p>
            <w:pPr>
              <w:jc w:val="right"/>
              <w:ind w:right="83"/>
              <w:spacing w:after="0"/>
              <w:rPr>
                <w:sz w:val="20"/>
                <w:szCs w:val="20"/>
                <w:color w:val="auto"/>
              </w:rPr>
            </w:pPr>
            <w:r>
              <w:rPr>
                <w:rFonts w:ascii="Arial" w:cs="Arial" w:eastAsia="Arial" w:hAnsi="Arial"/>
                <w:sz w:val="11"/>
                <w:szCs w:val="11"/>
                <w:color w:val="auto"/>
              </w:rPr>
              <w:t>$</w:t>
            </w:r>
          </w:p>
        </w:tc>
        <w:tc>
          <w:tcPr>
            <w:tcW w:w="94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2</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ind w:left="20"/>
              <w:spacing w:after="0"/>
              <w:rPr>
                <w:sz w:val="20"/>
                <w:szCs w:val="20"/>
                <w:color w:val="auto"/>
              </w:rPr>
            </w:pPr>
            <w:r>
              <w:rPr>
                <w:rFonts w:ascii="Arial" w:cs="Arial" w:eastAsia="Arial" w:hAnsi="Arial"/>
                <w:sz w:val="11"/>
                <w:szCs w:val="11"/>
                <w:color w:val="auto"/>
              </w:rPr>
              <w:t>$</w:t>
            </w:r>
          </w:p>
        </w:tc>
        <w:tc>
          <w:tcPr>
            <w:tcW w:w="64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11</w:t>
            </w:r>
          </w:p>
        </w:tc>
        <w:tc>
          <w:tcPr>
            <w:tcW w:w="400" w:type="dxa"/>
            <w:vAlign w:val="bottom"/>
            <w:gridSpan w:val="2"/>
            <w:shd w:val="clear" w:color="auto" w:fill="CCEEFF"/>
          </w:tcPr>
          <w:p>
            <w:pPr>
              <w:jc w:val="right"/>
              <w:ind w:right="143"/>
              <w:spacing w:after="0"/>
              <w:rPr>
                <w:sz w:val="20"/>
                <w:szCs w:val="20"/>
                <w:color w:val="auto"/>
              </w:rPr>
            </w:pPr>
            <w:r>
              <w:rPr>
                <w:rFonts w:ascii="Arial" w:cs="Arial" w:eastAsia="Arial" w:hAnsi="Arial"/>
                <w:sz w:val="11"/>
                <w:szCs w:val="11"/>
                <w:color w:val="auto"/>
              </w:rPr>
              <w:t>$</w:t>
            </w:r>
          </w:p>
        </w:tc>
        <w:tc>
          <w:tcPr>
            <w:tcW w:w="88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11</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727"/>
              <w:spacing w:after="0"/>
              <w:rPr>
                <w:sz w:val="20"/>
                <w:szCs w:val="20"/>
                <w:color w:val="auto"/>
              </w:rPr>
            </w:pPr>
            <w:r>
              <w:rPr>
                <w:rFonts w:ascii="Arial" w:cs="Arial" w:eastAsia="Arial" w:hAnsi="Arial"/>
                <w:sz w:val="10"/>
                <w:szCs w:val="10"/>
                <w:color w:val="auto"/>
                <w:w w:val="71"/>
              </w:rPr>
              <w:t>$</w:t>
            </w:r>
          </w:p>
        </w:tc>
        <w:tc>
          <w:tcPr>
            <w:tcW w:w="28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13</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48"/>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13</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303"/>
              <w:spacing w:after="0"/>
              <w:rPr>
                <w:sz w:val="20"/>
                <w:szCs w:val="20"/>
                <w:color w:val="auto"/>
              </w:rPr>
            </w:pPr>
            <w:r>
              <w:rPr>
                <w:rFonts w:ascii="Arial" w:cs="Arial" w:eastAsia="Arial" w:hAnsi="Arial"/>
                <w:sz w:val="11"/>
                <w:szCs w:val="11"/>
                <w:color w:val="auto"/>
                <w:w w:val="97"/>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w:t>
            </w:r>
          </w:p>
        </w:tc>
        <w:tc>
          <w:tcPr>
            <w:tcW w:w="420" w:type="dxa"/>
            <w:vAlign w:val="bottom"/>
            <w:gridSpan w:val="3"/>
            <w:shd w:val="clear" w:color="auto" w:fill="CCEEFF"/>
          </w:tcPr>
          <w:p>
            <w:pPr>
              <w:jc w:val="right"/>
              <w:ind w:right="128"/>
              <w:spacing w:after="0"/>
              <w:rPr>
                <w:sz w:val="20"/>
                <w:szCs w:val="20"/>
                <w:color w:val="auto"/>
              </w:rPr>
            </w:pPr>
            <w:r>
              <w:rPr>
                <w:rFonts w:ascii="Arial" w:cs="Arial" w:eastAsia="Arial" w:hAnsi="Arial"/>
                <w:sz w:val="11"/>
                <w:szCs w:val="11"/>
                <w:color w:val="auto"/>
              </w:rPr>
              <w:t>$</w:t>
            </w:r>
          </w:p>
        </w:tc>
        <w:tc>
          <w:tcPr>
            <w:tcW w:w="88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9</w:t>
            </w:r>
          </w:p>
        </w:tc>
      </w:tr>
      <w:tr>
        <w:trPr>
          <w:trHeight w:val="20"/>
        </w:trPr>
        <w:tc>
          <w:tcPr>
            <w:tcW w:w="18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334" w:lineRule="exact"/>
        <w:rPr>
          <w:sz w:val="20"/>
          <w:szCs w:val="20"/>
          <w:color w:val="auto"/>
        </w:rPr>
      </w:pPr>
    </w:p>
    <w:p>
      <w:pPr>
        <w:ind w:left="260"/>
        <w:spacing w:after="0"/>
        <w:rPr>
          <w:sz w:val="20"/>
          <w:szCs w:val="20"/>
          <w:color w:val="auto"/>
        </w:rPr>
      </w:pPr>
      <w:r>
        <w:rPr>
          <w:rFonts w:ascii="Arial" w:cs="Arial" w:eastAsia="Arial" w:hAnsi="Arial"/>
          <w:sz w:val="14"/>
          <w:szCs w:val="14"/>
          <w:color w:val="auto"/>
        </w:rPr>
        <w:t>(1)  CenterPoint Energy and CERC did not have significant Level 3 sales or purchases during the three or nine months ended September 30, 2019 or 2018.</w:t>
      </w:r>
    </w:p>
    <w:p>
      <w:pPr>
        <w:spacing w:after="0" w:line="184" w:lineRule="exact"/>
        <w:rPr>
          <w:sz w:val="20"/>
          <w:szCs w:val="20"/>
          <w:color w:val="auto"/>
        </w:rPr>
      </w:pPr>
    </w:p>
    <w:p>
      <w:pPr>
        <w:ind w:left="140"/>
        <w:spacing w:after="0"/>
        <w:rPr>
          <w:sz w:val="20"/>
          <w:szCs w:val="20"/>
          <w:color w:val="auto"/>
        </w:rPr>
      </w:pPr>
      <w:r>
        <w:rPr>
          <w:rFonts w:ascii="Arial" w:cs="Arial" w:eastAsia="Arial" w:hAnsi="Arial"/>
          <w:sz w:val="14"/>
          <w:szCs w:val="14"/>
          <w:b w:val="1"/>
          <w:bCs w:val="1"/>
          <w:i w:val="1"/>
          <w:iCs w:val="1"/>
          <w:color w:val="auto"/>
        </w:rPr>
        <w:t>Estimated Fair Value of Financial Instruments</w:t>
      </w:r>
    </w:p>
    <w:p>
      <w:pPr>
        <w:spacing w:after="0" w:line="184" w:lineRule="exact"/>
        <w:rPr>
          <w:sz w:val="20"/>
          <w:szCs w:val="20"/>
          <w:color w:val="auto"/>
        </w:rPr>
      </w:pPr>
    </w:p>
    <w:p>
      <w:pPr>
        <w:jc w:val="both"/>
        <w:ind w:firstLine="259"/>
        <w:spacing w:after="0" w:line="264" w:lineRule="auto"/>
        <w:rPr>
          <w:sz w:val="20"/>
          <w:szCs w:val="20"/>
          <w:color w:val="auto"/>
        </w:rPr>
      </w:pPr>
      <w:r>
        <w:rPr>
          <w:rFonts w:ascii="Arial" w:cs="Arial" w:eastAsia="Arial" w:hAnsi="Arial"/>
          <w:sz w:val="14"/>
          <w:szCs w:val="14"/>
          <w:color w:val="auto"/>
        </w:rPr>
        <w:t>The fair values of cash and cash equivalents, investments in debt and equity securities classified as “trading” and short-term borrowings are estimated to be approximately equivalent to carrying amounts and have been excluded from the table below. The carrying amounts of non-trading derivative assets and liabilities, CenterPoint Energy’s ZENS indexed debt securities derivative and hedging instruments are stated at fair value and are excluded from the table below. The fair value of each debt instrument is determined by multiplying the principal amount of each debt instrument by a combination of historical trading prices and comparable issue data. These liabilities, which are not measured at fair value in the Registrants’ Condensed Consolidated Balance Sheets, but for which the fair value is disclosed, would be classified as Level 2 in the fair value hierarchy.</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40</w:t>
      </w:r>
    </w:p>
    <w:p>
      <w:pPr>
        <w:sectPr>
          <w:pgSz w:w="11900" w:h="16838" w:orient="portrait"/>
          <w:cols w:equalWidth="0" w:num="1">
            <w:col w:w="11460"/>
          </w:cols>
          <w:pgMar w:left="220" w:top="129" w:right="219" w:bottom="1440" w:gutter="0" w:footer="0" w:header="0"/>
        </w:sectPr>
      </w:pPr>
    </w:p>
    <w:bookmarkStart w:id="50" w:name="page51"/>
    <w:bookmarkEnd w:id="50"/>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516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82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1"/>
                <w:szCs w:val="11"/>
                <w:b w:val="1"/>
                <w:bCs w:val="1"/>
                <w:color w:val="auto"/>
              </w:rPr>
              <w:t>September 30, 2019</w:t>
            </w:r>
          </w:p>
        </w:tc>
        <w:tc>
          <w:tcPr>
            <w:tcW w:w="98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740" w:type="dxa"/>
            <w:vAlign w:val="bottom"/>
            <w:tcBorders>
              <w:bottom w:val="single" w:sz="8" w:color="auto"/>
            </w:tcBorders>
            <w:gridSpan w:val="2"/>
          </w:tcPr>
          <w:p>
            <w:pPr>
              <w:jc w:val="right"/>
              <w:ind w:right="28"/>
              <w:spacing w:after="0"/>
              <w:rPr>
                <w:sz w:val="20"/>
                <w:szCs w:val="20"/>
                <w:color w:val="auto"/>
              </w:rPr>
            </w:pPr>
            <w:r>
              <w:rPr>
                <w:rFonts w:ascii="Arial" w:cs="Arial" w:eastAsia="Arial" w:hAnsi="Arial"/>
                <w:sz w:val="11"/>
                <w:szCs w:val="11"/>
                <w:b w:val="1"/>
                <w:bCs w:val="1"/>
                <w:color w:val="auto"/>
              </w:rPr>
              <w:t>December 31, 2018</w:t>
            </w:r>
          </w:p>
        </w:tc>
        <w:tc>
          <w:tcPr>
            <w:tcW w:w="960" w:type="dxa"/>
            <w:vAlign w:val="bottom"/>
            <w:tcBorders>
              <w:bottom w:val="single" w:sz="8" w:color="auto"/>
            </w:tcBorders>
          </w:tcPr>
          <w:p>
            <w:pPr>
              <w:spacing w:after="0"/>
              <w:rPr>
                <w:sz w:val="13"/>
                <w:szCs w:val="13"/>
                <w:color w:val="auto"/>
              </w:rPr>
            </w:pPr>
          </w:p>
        </w:tc>
      </w:tr>
      <w:tr>
        <w:trPr>
          <w:trHeight w:val="118"/>
        </w:trPr>
        <w:tc>
          <w:tcPr>
            <w:tcW w:w="51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0" w:type="dxa"/>
            <w:vAlign w:val="bottom"/>
          </w:tcPr>
          <w:p>
            <w:pPr>
              <w:jc w:val="right"/>
              <w:ind w:right="475"/>
              <w:spacing w:after="0" w:line="119" w:lineRule="exact"/>
              <w:rPr>
                <w:sz w:val="20"/>
                <w:szCs w:val="20"/>
                <w:color w:val="auto"/>
              </w:rPr>
            </w:pPr>
            <w:r>
              <w:rPr>
                <w:rFonts w:ascii="Arial" w:cs="Arial" w:eastAsia="Arial" w:hAnsi="Arial"/>
                <w:sz w:val="11"/>
                <w:szCs w:val="11"/>
                <w:b w:val="1"/>
                <w:bCs w:val="1"/>
                <w:color w:val="auto"/>
              </w:rPr>
              <w:t>Carrying</w:t>
            </w:r>
          </w:p>
        </w:tc>
        <w:tc>
          <w:tcPr>
            <w:tcW w:w="620" w:type="dxa"/>
            <w:vAlign w:val="bottom"/>
          </w:tcPr>
          <w:p>
            <w:pPr>
              <w:spacing w:after="0"/>
              <w:rPr>
                <w:sz w:val="10"/>
                <w:szCs w:val="10"/>
                <w:color w:val="auto"/>
              </w:rPr>
            </w:pPr>
          </w:p>
        </w:tc>
        <w:tc>
          <w:tcPr>
            <w:tcW w:w="1100" w:type="dxa"/>
            <w:vAlign w:val="bottom"/>
            <w:gridSpan w:val="2"/>
          </w:tcPr>
          <w:p>
            <w:pPr>
              <w:jc w:val="center"/>
              <w:ind w:right="640"/>
              <w:spacing w:after="0" w:line="119" w:lineRule="exact"/>
              <w:rPr>
                <w:sz w:val="20"/>
                <w:szCs w:val="20"/>
                <w:color w:val="auto"/>
              </w:rPr>
            </w:pPr>
            <w:r>
              <w:rPr>
                <w:rFonts w:ascii="Arial" w:cs="Arial" w:eastAsia="Arial" w:hAnsi="Arial"/>
                <w:sz w:val="11"/>
                <w:szCs w:val="11"/>
                <w:b w:val="1"/>
                <w:bCs w:val="1"/>
                <w:color w:val="auto"/>
              </w:rPr>
              <w:t>Fair</w:t>
            </w:r>
          </w:p>
        </w:tc>
        <w:tc>
          <w:tcPr>
            <w:tcW w:w="360" w:type="dxa"/>
            <w:vAlign w:val="bottom"/>
          </w:tcPr>
          <w:p>
            <w:pPr>
              <w:spacing w:after="0"/>
              <w:rPr>
                <w:sz w:val="10"/>
                <w:szCs w:val="10"/>
                <w:color w:val="auto"/>
              </w:rPr>
            </w:pPr>
          </w:p>
        </w:tc>
        <w:tc>
          <w:tcPr>
            <w:tcW w:w="1140" w:type="dxa"/>
            <w:vAlign w:val="bottom"/>
          </w:tcPr>
          <w:p>
            <w:pPr>
              <w:jc w:val="right"/>
              <w:ind w:right="455"/>
              <w:spacing w:after="0" w:line="119" w:lineRule="exact"/>
              <w:rPr>
                <w:sz w:val="20"/>
                <w:szCs w:val="20"/>
                <w:color w:val="auto"/>
              </w:rPr>
            </w:pPr>
            <w:r>
              <w:rPr>
                <w:rFonts w:ascii="Arial" w:cs="Arial" w:eastAsia="Arial" w:hAnsi="Arial"/>
                <w:sz w:val="11"/>
                <w:szCs w:val="11"/>
                <w:b w:val="1"/>
                <w:bCs w:val="1"/>
                <w:color w:val="auto"/>
              </w:rPr>
              <w:t>Carrying</w:t>
            </w:r>
          </w:p>
        </w:tc>
        <w:tc>
          <w:tcPr>
            <w:tcW w:w="600" w:type="dxa"/>
            <w:vAlign w:val="bottom"/>
          </w:tcPr>
          <w:p>
            <w:pPr>
              <w:spacing w:after="0"/>
              <w:rPr>
                <w:sz w:val="10"/>
                <w:szCs w:val="10"/>
                <w:color w:val="auto"/>
              </w:rPr>
            </w:pPr>
          </w:p>
        </w:tc>
        <w:tc>
          <w:tcPr>
            <w:tcW w:w="960" w:type="dxa"/>
            <w:vAlign w:val="bottom"/>
          </w:tcPr>
          <w:p>
            <w:pPr>
              <w:jc w:val="right"/>
              <w:ind w:right="554"/>
              <w:spacing w:after="0" w:line="119" w:lineRule="exact"/>
              <w:rPr>
                <w:sz w:val="20"/>
                <w:szCs w:val="20"/>
                <w:color w:val="auto"/>
              </w:rPr>
            </w:pPr>
            <w:r>
              <w:rPr>
                <w:rFonts w:ascii="Arial" w:cs="Arial" w:eastAsia="Arial" w:hAnsi="Arial"/>
                <w:sz w:val="11"/>
                <w:szCs w:val="11"/>
                <w:b w:val="1"/>
                <w:bCs w:val="1"/>
                <w:color w:val="auto"/>
              </w:rPr>
              <w:t>Fair</w:t>
            </w:r>
          </w:p>
        </w:tc>
      </w:tr>
      <w:tr>
        <w:trPr>
          <w:trHeight w:val="153"/>
        </w:trPr>
        <w:tc>
          <w:tcPr>
            <w:tcW w:w="516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495"/>
              <w:spacing w:after="0"/>
              <w:rPr>
                <w:sz w:val="20"/>
                <w:szCs w:val="20"/>
                <w:color w:val="auto"/>
              </w:rPr>
            </w:pPr>
            <w:r>
              <w:rPr>
                <w:rFonts w:ascii="Arial" w:cs="Arial" w:eastAsia="Arial" w:hAnsi="Arial"/>
                <w:sz w:val="11"/>
                <w:szCs w:val="11"/>
                <w:b w:val="1"/>
                <w:bCs w:val="1"/>
                <w:color w:val="auto"/>
              </w:rPr>
              <w:t>Amount</w:t>
            </w:r>
          </w:p>
        </w:tc>
        <w:tc>
          <w:tcPr>
            <w:tcW w:w="6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gridSpan w:val="2"/>
          </w:tcPr>
          <w:p>
            <w:pPr>
              <w:jc w:val="center"/>
              <w:ind w:right="620"/>
              <w:spacing w:after="0"/>
              <w:rPr>
                <w:sz w:val="20"/>
                <w:szCs w:val="20"/>
                <w:color w:val="auto"/>
              </w:rPr>
            </w:pPr>
            <w:r>
              <w:rPr>
                <w:rFonts w:ascii="Arial" w:cs="Arial" w:eastAsia="Arial" w:hAnsi="Arial"/>
                <w:sz w:val="11"/>
                <w:szCs w:val="11"/>
                <w:b w:val="1"/>
                <w:bCs w:val="1"/>
                <w:color w:val="auto"/>
                <w:w w:val="95"/>
              </w:rPr>
              <w:t>Value</w:t>
            </w:r>
          </w:p>
        </w:tc>
        <w:tc>
          <w:tcPr>
            <w:tcW w:w="3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495"/>
              <w:spacing w:after="0"/>
              <w:rPr>
                <w:sz w:val="20"/>
                <w:szCs w:val="20"/>
                <w:color w:val="auto"/>
              </w:rPr>
            </w:pPr>
            <w:r>
              <w:rPr>
                <w:rFonts w:ascii="Arial" w:cs="Arial" w:eastAsia="Arial" w:hAnsi="Arial"/>
                <w:sz w:val="11"/>
                <w:szCs w:val="11"/>
                <w:b w:val="1"/>
                <w:bCs w:val="1"/>
                <w:color w:val="auto"/>
              </w:rPr>
              <w:t>Amount</w:t>
            </w:r>
          </w:p>
        </w:tc>
        <w:tc>
          <w:tcPr>
            <w:tcW w:w="6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534"/>
              <w:spacing w:after="0"/>
              <w:rPr>
                <w:sz w:val="20"/>
                <w:szCs w:val="20"/>
                <w:color w:val="auto"/>
              </w:rPr>
            </w:pPr>
            <w:r>
              <w:rPr>
                <w:rFonts w:ascii="Arial" w:cs="Arial" w:eastAsia="Arial" w:hAnsi="Arial"/>
                <w:sz w:val="11"/>
                <w:szCs w:val="11"/>
                <w:b w:val="1"/>
                <w:bCs w:val="1"/>
                <w:color w:val="auto"/>
              </w:rPr>
              <w:t>Value</w:t>
            </w:r>
          </w:p>
        </w:tc>
      </w:tr>
      <w:tr>
        <w:trPr>
          <w:trHeight w:val="191"/>
        </w:trPr>
        <w:tc>
          <w:tcPr>
            <w:tcW w:w="5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60" w:type="dxa"/>
            <w:vAlign w:val="bottom"/>
            <w:gridSpan w:val="3"/>
          </w:tcPr>
          <w:p>
            <w:pPr>
              <w:jc w:val="right"/>
              <w:ind w:right="68"/>
              <w:spacing w:after="0"/>
              <w:rPr>
                <w:sz w:val="20"/>
                <w:szCs w:val="20"/>
                <w:color w:val="auto"/>
              </w:rPr>
            </w:pPr>
            <w:r>
              <w:rPr>
                <w:rFonts w:ascii="Arial" w:cs="Arial" w:eastAsia="Arial" w:hAnsi="Arial"/>
                <w:sz w:val="11"/>
                <w:szCs w:val="11"/>
                <w:b w:val="1"/>
                <w:bCs w:val="1"/>
                <w:color w:val="auto"/>
              </w:rPr>
              <w:t>(in millions)</w:t>
            </w:r>
          </w:p>
        </w:tc>
        <w:tc>
          <w:tcPr>
            <w:tcW w:w="1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02"/>
        </w:trPr>
        <w:tc>
          <w:tcPr>
            <w:tcW w:w="5160" w:type="dxa"/>
            <w:vAlign w:val="bottom"/>
          </w:tcPr>
          <w:p>
            <w:pPr>
              <w:ind w:left="20"/>
              <w:spacing w:after="0"/>
              <w:rPr>
                <w:sz w:val="20"/>
                <w:szCs w:val="20"/>
                <w:color w:val="auto"/>
              </w:rPr>
            </w:pPr>
            <w:r>
              <w:rPr>
                <w:rFonts w:ascii="Arial" w:cs="Arial" w:eastAsia="Arial" w:hAnsi="Arial"/>
                <w:sz w:val="14"/>
                <w:szCs w:val="14"/>
                <w:b w:val="1"/>
                <w:bCs w:val="1"/>
                <w:color w:val="auto"/>
              </w:rPr>
              <w:t>CenterPoint Energy</w:t>
            </w:r>
          </w:p>
        </w:tc>
        <w:tc>
          <w:tcPr>
            <w:tcW w:w="3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3"/>
        </w:trPr>
        <w:tc>
          <w:tcPr>
            <w:tcW w:w="5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96"/>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 xml:space="preserve">Long-term debt, including current maturities </w:t>
            </w:r>
            <w:r>
              <w:rPr>
                <w:rFonts w:ascii="Arial" w:cs="Arial" w:eastAsia="Arial" w:hAnsi="Arial"/>
                <w:sz w:val="11"/>
                <w:szCs w:val="11"/>
                <w:color w:val="auto"/>
              </w:rPr>
              <w:t>(1)</w:t>
            </w:r>
          </w:p>
        </w:tc>
        <w:tc>
          <w:tcPr>
            <w:tcW w:w="320" w:type="dxa"/>
            <w:vAlign w:val="bottom"/>
            <w:tcBorders>
              <w:bottom w:val="single" w:sz="8" w:color="CCEEFF"/>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4"/>
                <w:szCs w:val="14"/>
                <w:color w:val="auto"/>
              </w:rPr>
              <w:t>14,861</w:t>
            </w:r>
          </w:p>
        </w:tc>
        <w:tc>
          <w:tcPr>
            <w:tcW w:w="620" w:type="dxa"/>
            <w:vAlign w:val="bottom"/>
            <w:tcBorders>
              <w:bottom w:val="single" w:sz="8" w:color="CCEEFF"/>
            </w:tcBorders>
            <w:shd w:val="clear" w:color="auto" w:fill="CCEEFF"/>
          </w:tcPr>
          <w:p>
            <w:pPr>
              <w:jc w:val="right"/>
              <w:ind w:right="34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4"/>
                <w:szCs w:val="14"/>
                <w:color w:val="auto"/>
              </w:rPr>
              <w:t>15,994</w:t>
            </w:r>
          </w:p>
        </w:tc>
        <w:tc>
          <w:tcPr>
            <w:tcW w:w="1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4"/>
                <w:szCs w:val="14"/>
                <w:color w:val="auto"/>
              </w:rPr>
              <w:t>9,140</w:t>
            </w:r>
          </w:p>
        </w:tc>
        <w:tc>
          <w:tcPr>
            <w:tcW w:w="600" w:type="dxa"/>
            <w:vAlign w:val="bottom"/>
            <w:tcBorders>
              <w:bottom w:val="single" w:sz="8" w:color="CCEEFF"/>
            </w:tcBorders>
            <w:shd w:val="clear" w:color="auto" w:fill="CCEEFF"/>
          </w:tcPr>
          <w:p>
            <w:pPr>
              <w:jc w:val="right"/>
              <w:ind w:right="34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4"/>
                <w:szCs w:val="14"/>
                <w:color w:val="auto"/>
              </w:rPr>
              <w:t>9,308</w:t>
            </w:r>
          </w:p>
        </w:tc>
      </w:tr>
      <w:tr>
        <w:trPr>
          <w:trHeight w:val="193"/>
        </w:trPr>
        <w:tc>
          <w:tcPr>
            <w:tcW w:w="5160" w:type="dxa"/>
            <w:vAlign w:val="bottom"/>
          </w:tcPr>
          <w:p>
            <w:pPr>
              <w:ind w:left="20"/>
              <w:spacing w:after="0"/>
              <w:rPr>
                <w:sz w:val="20"/>
                <w:szCs w:val="20"/>
                <w:color w:val="auto"/>
              </w:rPr>
            </w:pPr>
            <w:r>
              <w:rPr>
                <w:rFonts w:ascii="Arial" w:cs="Arial" w:eastAsia="Arial" w:hAnsi="Arial"/>
                <w:sz w:val="14"/>
                <w:szCs w:val="14"/>
                <w:b w:val="1"/>
                <w:bCs w:val="1"/>
                <w:color w:val="auto"/>
              </w:rPr>
              <w:t>Houston Electric</w:t>
            </w:r>
          </w:p>
        </w:tc>
        <w:tc>
          <w:tcPr>
            <w:tcW w:w="3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3"/>
        </w:trPr>
        <w:tc>
          <w:tcPr>
            <w:tcW w:w="5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96"/>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 xml:space="preserve">Long-term debt, including current maturities </w:t>
            </w:r>
            <w:r>
              <w:rPr>
                <w:rFonts w:ascii="Arial" w:cs="Arial" w:eastAsia="Arial" w:hAnsi="Arial"/>
                <w:sz w:val="11"/>
                <w:szCs w:val="11"/>
                <w:color w:val="auto"/>
              </w:rPr>
              <w:t>(1)</w:t>
            </w:r>
          </w:p>
        </w:tc>
        <w:tc>
          <w:tcPr>
            <w:tcW w:w="320" w:type="dxa"/>
            <w:vAlign w:val="bottom"/>
            <w:tcBorders>
              <w:bottom w:val="single" w:sz="8" w:color="CCEEFF"/>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4"/>
                <w:szCs w:val="14"/>
                <w:color w:val="auto"/>
              </w:rPr>
              <w:t>5,018</w:t>
            </w:r>
          </w:p>
        </w:tc>
        <w:tc>
          <w:tcPr>
            <w:tcW w:w="620" w:type="dxa"/>
            <w:vAlign w:val="bottom"/>
            <w:tcBorders>
              <w:bottom w:val="single" w:sz="8" w:color="CCEEFF"/>
            </w:tcBorders>
            <w:shd w:val="clear" w:color="auto" w:fill="CCEEFF"/>
          </w:tcPr>
          <w:p>
            <w:pPr>
              <w:jc w:val="right"/>
              <w:ind w:right="34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4"/>
                <w:szCs w:val="14"/>
                <w:color w:val="auto"/>
              </w:rPr>
              <w:t>5,595</w:t>
            </w:r>
          </w:p>
        </w:tc>
        <w:tc>
          <w:tcPr>
            <w:tcW w:w="1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4"/>
                <w:szCs w:val="14"/>
                <w:color w:val="auto"/>
              </w:rPr>
              <w:t>4,717</w:t>
            </w:r>
          </w:p>
        </w:tc>
        <w:tc>
          <w:tcPr>
            <w:tcW w:w="600" w:type="dxa"/>
            <w:vAlign w:val="bottom"/>
            <w:tcBorders>
              <w:bottom w:val="single" w:sz="8" w:color="CCEEFF"/>
            </w:tcBorders>
            <w:shd w:val="clear" w:color="auto" w:fill="CCEEFF"/>
          </w:tcPr>
          <w:p>
            <w:pPr>
              <w:jc w:val="right"/>
              <w:ind w:right="34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4"/>
                <w:szCs w:val="14"/>
                <w:color w:val="auto"/>
              </w:rPr>
              <w:t>4,770</w:t>
            </w:r>
          </w:p>
        </w:tc>
      </w:tr>
      <w:tr>
        <w:trPr>
          <w:trHeight w:val="193"/>
        </w:trPr>
        <w:tc>
          <w:tcPr>
            <w:tcW w:w="5160" w:type="dxa"/>
            <w:vAlign w:val="bottom"/>
          </w:tcPr>
          <w:p>
            <w:pPr>
              <w:ind w:left="20"/>
              <w:spacing w:after="0"/>
              <w:rPr>
                <w:sz w:val="20"/>
                <w:szCs w:val="20"/>
                <w:color w:val="auto"/>
              </w:rPr>
            </w:pPr>
            <w:r>
              <w:rPr>
                <w:rFonts w:ascii="Arial" w:cs="Arial" w:eastAsia="Arial" w:hAnsi="Arial"/>
                <w:sz w:val="14"/>
                <w:szCs w:val="14"/>
                <w:b w:val="1"/>
                <w:bCs w:val="1"/>
                <w:color w:val="auto"/>
              </w:rPr>
              <w:t>CERC</w:t>
            </w:r>
          </w:p>
        </w:tc>
        <w:tc>
          <w:tcPr>
            <w:tcW w:w="3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3"/>
        </w:trPr>
        <w:tc>
          <w:tcPr>
            <w:tcW w:w="5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93"/>
        </w:trPr>
        <w:tc>
          <w:tcPr>
            <w:tcW w:w="5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Long-term debt, including current maturities</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75"/>
              <w:spacing w:after="0"/>
              <w:rPr>
                <w:sz w:val="20"/>
                <w:szCs w:val="20"/>
                <w:color w:val="auto"/>
              </w:rPr>
            </w:pPr>
            <w:r>
              <w:rPr>
                <w:rFonts w:ascii="Arial" w:cs="Arial" w:eastAsia="Arial" w:hAnsi="Arial"/>
                <w:sz w:val="14"/>
                <w:szCs w:val="14"/>
                <w:color w:val="auto"/>
              </w:rPr>
              <w:t>2,477</w:t>
            </w:r>
          </w:p>
        </w:tc>
        <w:tc>
          <w:tcPr>
            <w:tcW w:w="620" w:type="dxa"/>
            <w:vAlign w:val="bottom"/>
            <w:shd w:val="clear" w:color="auto" w:fill="CCEEFF"/>
          </w:tcPr>
          <w:p>
            <w:pPr>
              <w:jc w:val="right"/>
              <w:ind w:right="34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55"/>
              <w:spacing w:after="0"/>
              <w:rPr>
                <w:sz w:val="20"/>
                <w:szCs w:val="20"/>
                <w:color w:val="auto"/>
              </w:rPr>
            </w:pPr>
            <w:r>
              <w:rPr>
                <w:rFonts w:ascii="Arial" w:cs="Arial" w:eastAsia="Arial" w:hAnsi="Arial"/>
                <w:sz w:val="14"/>
                <w:szCs w:val="14"/>
                <w:color w:val="auto"/>
              </w:rPr>
              <w:t>2,783</w:t>
            </w: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55"/>
              <w:spacing w:after="0"/>
              <w:rPr>
                <w:sz w:val="20"/>
                <w:szCs w:val="20"/>
                <w:color w:val="auto"/>
              </w:rPr>
            </w:pPr>
            <w:r>
              <w:rPr>
                <w:rFonts w:ascii="Arial" w:cs="Arial" w:eastAsia="Arial" w:hAnsi="Arial"/>
                <w:sz w:val="14"/>
                <w:szCs w:val="14"/>
                <w:color w:val="auto"/>
              </w:rPr>
              <w:t>2,371</w:t>
            </w:r>
          </w:p>
        </w:tc>
        <w:tc>
          <w:tcPr>
            <w:tcW w:w="600" w:type="dxa"/>
            <w:vAlign w:val="bottom"/>
            <w:shd w:val="clear" w:color="auto" w:fill="CCEEFF"/>
          </w:tcPr>
          <w:p>
            <w:pPr>
              <w:jc w:val="right"/>
              <w:ind w:right="34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34"/>
              <w:spacing w:after="0"/>
              <w:rPr>
                <w:sz w:val="20"/>
                <w:szCs w:val="20"/>
                <w:color w:val="auto"/>
              </w:rPr>
            </w:pPr>
            <w:r>
              <w:rPr>
                <w:rFonts w:ascii="Arial" w:cs="Arial" w:eastAsia="Arial" w:hAnsi="Arial"/>
                <w:sz w:val="14"/>
                <w:szCs w:val="14"/>
                <w:color w:val="auto"/>
              </w:rPr>
              <w:t>2,488</w:t>
            </w:r>
          </w:p>
        </w:tc>
      </w:tr>
      <w:tr>
        <w:trPr>
          <w:trHeight w:val="23"/>
        </w:trPr>
        <w:tc>
          <w:tcPr>
            <w:tcW w:w="516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20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r>
    </w:tbl>
    <w:p>
      <w:pPr>
        <w:spacing w:after="0" w:line="162" w:lineRule="exact"/>
        <w:rPr>
          <w:sz w:val="20"/>
          <w:szCs w:val="20"/>
          <w:color w:val="auto"/>
        </w:rPr>
      </w:pPr>
    </w:p>
    <w:p>
      <w:pPr>
        <w:ind w:left="520" w:hanging="255"/>
        <w:spacing w:after="0"/>
        <w:tabs>
          <w:tab w:leader="none" w:pos="520" w:val="left"/>
        </w:tabs>
        <w:numPr>
          <w:ilvl w:val="1"/>
          <w:numId w:val="23"/>
        </w:numPr>
        <w:rPr>
          <w:rFonts w:ascii="Arial" w:cs="Arial" w:eastAsia="Arial" w:hAnsi="Arial"/>
          <w:sz w:val="14"/>
          <w:szCs w:val="14"/>
          <w:color w:val="auto"/>
        </w:rPr>
      </w:pPr>
      <w:r>
        <w:rPr>
          <w:rFonts w:ascii="Arial" w:cs="Arial" w:eastAsia="Arial" w:hAnsi="Arial"/>
          <w:sz w:val="14"/>
          <w:szCs w:val="14"/>
          <w:color w:val="auto"/>
        </w:rPr>
        <w:t>Includes Securitization Bonds debt.</w:t>
      </w:r>
    </w:p>
    <w:p>
      <w:pPr>
        <w:spacing w:after="0" w:line="179" w:lineRule="exact"/>
        <w:rPr>
          <w:rFonts w:ascii="Arial" w:cs="Arial" w:eastAsia="Arial" w:hAnsi="Arial"/>
          <w:sz w:val="14"/>
          <w:szCs w:val="14"/>
          <w:color w:val="auto"/>
        </w:rPr>
      </w:pPr>
    </w:p>
    <w:p>
      <w:pPr>
        <w:ind w:left="200" w:hanging="194"/>
        <w:spacing w:after="0"/>
        <w:tabs>
          <w:tab w:leader="none" w:pos="200" w:val="left"/>
        </w:tabs>
        <w:numPr>
          <w:ilvl w:val="0"/>
          <w:numId w:val="24"/>
        </w:numPr>
        <w:rPr>
          <w:rFonts w:ascii="Arial" w:cs="Arial" w:eastAsia="Arial" w:hAnsi="Arial"/>
          <w:sz w:val="14"/>
          <w:szCs w:val="14"/>
          <w:b w:val="1"/>
          <w:bCs w:val="1"/>
          <w:color w:val="auto"/>
        </w:rPr>
      </w:pPr>
      <w:r>
        <w:rPr>
          <w:rFonts w:ascii="Arial" w:cs="Arial" w:eastAsia="Arial" w:hAnsi="Arial"/>
          <w:sz w:val="14"/>
          <w:szCs w:val="14"/>
          <w:b w:val="1"/>
          <w:bCs w:val="1"/>
          <w:color w:val="auto"/>
        </w:rPr>
        <w:t>Unconsolidated Affiliates (CenterPoint Energy and CERC)</w:t>
      </w:r>
    </w:p>
    <w:p>
      <w:pPr>
        <w:spacing w:after="0" w:line="188" w:lineRule="exact"/>
        <w:rPr>
          <w:sz w:val="20"/>
          <w:szCs w:val="20"/>
          <w:color w:val="auto"/>
        </w:rPr>
      </w:pPr>
    </w:p>
    <w:p>
      <w:pPr>
        <w:jc w:val="both"/>
        <w:ind w:firstLine="259"/>
        <w:spacing w:after="0" w:line="289" w:lineRule="auto"/>
        <w:rPr>
          <w:sz w:val="20"/>
          <w:szCs w:val="20"/>
          <w:color w:val="auto"/>
        </w:rPr>
      </w:pPr>
      <w:r>
        <w:rPr>
          <w:rFonts w:ascii="Arial" w:cs="Arial" w:eastAsia="Arial" w:hAnsi="Arial"/>
          <w:sz w:val="13"/>
          <w:szCs w:val="13"/>
          <w:color w:val="auto"/>
        </w:rPr>
        <w:t>CenterPoint Energy has the ability to significantly influence the operating and financial policies of Enable, a publicly traded MLP, and, accordingly, accounts for its investment in Enable’s common units using the equity method of accounting. Enable is considered to be a VIE because the power to direct the activities that most significantly impact Enable’s economic performance does not reside with the holders of equity investment at risk. However, CenterPoint Energy is not considered the primary beneficiary of Enable since it does not have the power to direct the activities of Enable that are considered most significant to the economic performance of Enable. As of September 30, 2019, CenterPoint Energy’s maximum exposure to loss related to Enable is limited to its investment in unconsolidated affiliate, its investment in Enable Series A Preferred Units and outstanding current accounts receivable from Enable.</w:t>
      </w:r>
    </w:p>
    <w:p>
      <w:pPr>
        <w:spacing w:after="0" w:line="134" w:lineRule="exact"/>
        <w:rPr>
          <w:sz w:val="20"/>
          <w:szCs w:val="20"/>
          <w:color w:val="auto"/>
        </w:rPr>
      </w:pPr>
    </w:p>
    <w:p>
      <w:pPr>
        <w:ind w:left="140"/>
        <w:spacing w:after="0"/>
        <w:rPr>
          <w:sz w:val="20"/>
          <w:szCs w:val="20"/>
          <w:color w:val="auto"/>
        </w:rPr>
      </w:pPr>
      <w:r>
        <w:rPr>
          <w:rFonts w:ascii="Arial" w:cs="Arial" w:eastAsia="Arial" w:hAnsi="Arial"/>
          <w:sz w:val="14"/>
          <w:szCs w:val="14"/>
          <w:b w:val="1"/>
          <w:bCs w:val="1"/>
          <w:i w:val="1"/>
          <w:iCs w:val="1"/>
          <w:color w:val="auto"/>
        </w:rPr>
        <w:t>Investment in Unconsolidated Affiliates (CenterPoint Energy):</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7460" w:type="dxa"/>
            <w:vAlign w:val="bottom"/>
          </w:tcPr>
          <w:p>
            <w:pPr>
              <w:spacing w:after="0"/>
              <w:rPr>
                <w:sz w:val="13"/>
                <w:szCs w:val="13"/>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September 30, 2019</w:t>
            </w:r>
          </w:p>
        </w:tc>
        <w:tc>
          <w:tcPr>
            <w:tcW w:w="4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tcPr>
          <w:p>
            <w:pPr>
              <w:jc w:val="right"/>
              <w:ind w:right="432"/>
              <w:spacing w:after="0"/>
              <w:rPr>
                <w:sz w:val="20"/>
                <w:szCs w:val="20"/>
                <w:color w:val="auto"/>
              </w:rPr>
            </w:pPr>
            <w:r>
              <w:rPr>
                <w:rFonts w:ascii="Arial" w:cs="Arial" w:eastAsia="Arial" w:hAnsi="Arial"/>
                <w:sz w:val="11"/>
                <w:szCs w:val="11"/>
                <w:b w:val="1"/>
                <w:bCs w:val="1"/>
                <w:color w:val="auto"/>
              </w:rPr>
              <w:t>December 31, 2018</w:t>
            </w:r>
          </w:p>
        </w:tc>
      </w:tr>
      <w:tr>
        <w:trPr>
          <w:trHeight w:val="196"/>
        </w:trPr>
        <w:tc>
          <w:tcPr>
            <w:tcW w:w="74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960" w:type="dxa"/>
            <w:vAlign w:val="bottom"/>
            <w:gridSpan w:val="3"/>
          </w:tcPr>
          <w:p>
            <w:pPr>
              <w:jc w:val="right"/>
              <w:ind w:right="68"/>
              <w:spacing w:after="0"/>
              <w:rPr>
                <w:sz w:val="20"/>
                <w:szCs w:val="20"/>
                <w:color w:val="auto"/>
              </w:rPr>
            </w:pPr>
            <w:r>
              <w:rPr>
                <w:rFonts w:ascii="Arial" w:cs="Arial" w:eastAsia="Arial" w:hAnsi="Arial"/>
                <w:sz w:val="11"/>
                <w:szCs w:val="11"/>
                <w:b w:val="1"/>
                <w:bCs w:val="1"/>
                <w:color w:val="auto"/>
              </w:rPr>
              <w:t>(in millions)</w:t>
            </w:r>
          </w:p>
        </w:tc>
        <w:tc>
          <w:tcPr>
            <w:tcW w:w="1560" w:type="dxa"/>
            <w:vAlign w:val="bottom"/>
          </w:tcPr>
          <w:p>
            <w:pPr>
              <w:spacing w:after="0"/>
              <w:rPr>
                <w:sz w:val="17"/>
                <w:szCs w:val="17"/>
                <w:color w:val="auto"/>
              </w:rPr>
            </w:pPr>
          </w:p>
        </w:tc>
      </w:tr>
      <w:tr>
        <w:trPr>
          <w:trHeight w:val="200"/>
        </w:trPr>
        <w:tc>
          <w:tcPr>
            <w:tcW w:w="7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Enable</w:t>
            </w:r>
          </w:p>
        </w:tc>
        <w:tc>
          <w:tcPr>
            <w:tcW w:w="1480" w:type="dxa"/>
            <w:vAlign w:val="bottom"/>
            <w:tcBorders>
              <w:bottom w:val="single" w:sz="8" w:color="CCEEFF"/>
            </w:tcBorders>
            <w:shd w:val="clear" w:color="auto" w:fill="CCEEFF"/>
          </w:tcPr>
          <w:p>
            <w:pPr>
              <w:jc w:val="right"/>
              <w:ind w:right="1333"/>
              <w:spacing w:after="0"/>
              <w:rPr>
                <w:sz w:val="20"/>
                <w:szCs w:val="20"/>
                <w:color w:val="auto"/>
              </w:rPr>
            </w:pPr>
            <w:r>
              <w:rPr>
                <w:rFonts w:ascii="Arial" w:cs="Arial" w:eastAsia="Arial" w:hAnsi="Arial"/>
                <w:sz w:val="14"/>
                <w:szCs w:val="14"/>
                <w:color w:val="auto"/>
                <w:w w:val="76"/>
              </w:rPr>
              <w:t>$</w:t>
            </w:r>
          </w:p>
        </w:tc>
        <w:tc>
          <w:tcPr>
            <w:tcW w:w="4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w w:val="96"/>
              </w:rPr>
              <w:t>2,467</w:t>
            </w:r>
          </w:p>
        </w:tc>
        <w:tc>
          <w:tcPr>
            <w:tcW w:w="1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jc w:val="right"/>
              <w:ind w:right="208"/>
              <w:spacing w:after="0"/>
              <w:rPr>
                <w:sz w:val="20"/>
                <w:szCs w:val="20"/>
                <w:color w:val="auto"/>
              </w:rPr>
            </w:pPr>
            <w:r>
              <w:rPr>
                <w:rFonts w:ascii="Arial" w:cs="Arial" w:eastAsia="Arial" w:hAnsi="Arial"/>
                <w:sz w:val="14"/>
                <w:szCs w:val="14"/>
                <w:color w:val="auto"/>
                <w:w w:val="76"/>
              </w:rPr>
              <w:t>$</w:t>
            </w:r>
          </w:p>
        </w:tc>
        <w:tc>
          <w:tcPr>
            <w:tcW w:w="15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2,482</w:t>
            </w:r>
          </w:p>
        </w:tc>
      </w:tr>
      <w:tr>
        <w:trPr>
          <w:trHeight w:val="193"/>
        </w:trPr>
        <w:tc>
          <w:tcPr>
            <w:tcW w:w="7460" w:type="dxa"/>
            <w:vAlign w:val="bottom"/>
          </w:tcPr>
          <w:p>
            <w:pPr>
              <w:ind w:left="20"/>
              <w:spacing w:after="0"/>
              <w:rPr>
                <w:sz w:val="20"/>
                <w:szCs w:val="20"/>
                <w:color w:val="auto"/>
              </w:rPr>
            </w:pPr>
            <w:r>
              <w:rPr>
                <w:rFonts w:ascii="Arial" w:cs="Arial" w:eastAsia="Arial" w:hAnsi="Arial"/>
                <w:sz w:val="14"/>
                <w:szCs w:val="14"/>
                <w:color w:val="auto"/>
              </w:rPr>
              <w:t xml:space="preserve">Other </w:t>
            </w:r>
            <w:r>
              <w:rPr>
                <w:rFonts w:ascii="Arial" w:cs="Arial" w:eastAsia="Arial" w:hAnsi="Arial"/>
                <w:sz w:val="11"/>
                <w:szCs w:val="11"/>
                <w:color w:val="auto"/>
              </w:rPr>
              <w:t>(1)</w:t>
            </w:r>
          </w:p>
        </w:tc>
        <w:tc>
          <w:tcPr>
            <w:tcW w:w="1480" w:type="dxa"/>
            <w:vAlign w:val="bottom"/>
          </w:tcPr>
          <w:p>
            <w:pPr>
              <w:spacing w:after="0"/>
              <w:rPr>
                <w:sz w:val="16"/>
                <w:szCs w:val="16"/>
                <w:color w:val="auto"/>
              </w:rPr>
            </w:pPr>
          </w:p>
        </w:tc>
        <w:tc>
          <w:tcPr>
            <w:tcW w:w="480" w:type="dxa"/>
            <w:vAlign w:val="bottom"/>
          </w:tcPr>
          <w:p>
            <w:pPr>
              <w:jc w:val="right"/>
              <w:ind w:right="52"/>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560" w:type="dxa"/>
            <w:vAlign w:val="bottom"/>
          </w:tcPr>
          <w:p>
            <w:pPr>
              <w:jc w:val="right"/>
              <w:ind w:right="32"/>
              <w:spacing w:after="0"/>
              <w:rPr>
                <w:sz w:val="20"/>
                <w:szCs w:val="20"/>
                <w:color w:val="auto"/>
              </w:rPr>
            </w:pPr>
            <w:r>
              <w:rPr>
                <w:rFonts w:ascii="Arial" w:cs="Arial" w:eastAsia="Arial" w:hAnsi="Arial"/>
                <w:sz w:val="14"/>
                <w:szCs w:val="14"/>
                <w:color w:val="auto"/>
              </w:rPr>
              <w:t>—</w:t>
            </w:r>
          </w:p>
        </w:tc>
      </w:tr>
      <w:tr>
        <w:trPr>
          <w:trHeight w:val="23"/>
        </w:trPr>
        <w:tc>
          <w:tcPr>
            <w:tcW w:w="746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200"/>
        </w:trPr>
        <w:tc>
          <w:tcPr>
            <w:tcW w:w="74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Total</w:t>
            </w:r>
          </w:p>
        </w:tc>
        <w:tc>
          <w:tcPr>
            <w:tcW w:w="1480" w:type="dxa"/>
            <w:vAlign w:val="bottom"/>
            <w:tcBorders>
              <w:bottom w:val="single" w:sz="8" w:color="auto"/>
            </w:tcBorders>
            <w:shd w:val="clear" w:color="auto" w:fill="CCEEFF"/>
          </w:tcPr>
          <w:p>
            <w:pPr>
              <w:jc w:val="right"/>
              <w:ind w:right="1333"/>
              <w:spacing w:after="0"/>
              <w:rPr>
                <w:sz w:val="20"/>
                <w:szCs w:val="20"/>
                <w:color w:val="auto"/>
              </w:rPr>
            </w:pPr>
            <w:r>
              <w:rPr>
                <w:rFonts w:ascii="Arial" w:cs="Arial" w:eastAsia="Arial" w:hAnsi="Arial"/>
                <w:sz w:val="14"/>
                <w:szCs w:val="14"/>
                <w:color w:val="auto"/>
                <w:w w:val="76"/>
              </w:rPr>
              <w:t>$</w:t>
            </w:r>
          </w:p>
        </w:tc>
        <w:tc>
          <w:tcPr>
            <w:tcW w:w="48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w w:val="96"/>
              </w:rPr>
              <w:t>2,469</w:t>
            </w:r>
          </w:p>
        </w:tc>
        <w:tc>
          <w:tcPr>
            <w:tcW w:w="1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w w:val="76"/>
              </w:rPr>
              <w:t>$</w:t>
            </w:r>
          </w:p>
        </w:tc>
        <w:tc>
          <w:tcPr>
            <w:tcW w:w="15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2,482</w:t>
            </w:r>
          </w:p>
        </w:tc>
      </w:tr>
      <w:tr>
        <w:trPr>
          <w:trHeight w:val="20"/>
        </w:trPr>
        <w:tc>
          <w:tcPr>
            <w:tcW w:w="746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162" w:lineRule="exact"/>
        <w:rPr>
          <w:sz w:val="20"/>
          <w:szCs w:val="20"/>
          <w:color w:val="auto"/>
        </w:rPr>
      </w:pPr>
    </w:p>
    <w:p>
      <w:pPr>
        <w:ind w:left="780" w:hanging="515"/>
        <w:spacing w:after="0" w:line="328" w:lineRule="auto"/>
        <w:tabs>
          <w:tab w:leader="none" w:pos="521" w:val="left"/>
        </w:tabs>
        <w:numPr>
          <w:ilvl w:val="0"/>
          <w:numId w:val="25"/>
        </w:numPr>
        <w:rPr>
          <w:rFonts w:ascii="Arial" w:cs="Arial" w:eastAsia="Arial" w:hAnsi="Arial"/>
          <w:sz w:val="13"/>
          <w:szCs w:val="13"/>
          <w:color w:val="auto"/>
        </w:rPr>
      </w:pPr>
      <w:r>
        <w:rPr>
          <w:rFonts w:ascii="Arial" w:cs="Arial" w:eastAsia="Arial" w:hAnsi="Arial"/>
          <w:sz w:val="13"/>
          <w:szCs w:val="13"/>
          <w:color w:val="auto"/>
        </w:rPr>
        <w:t>Represents the equity investment in ProLiance Holdings, LLC related primarily to an investment in LA Storage, LLC, a joint venture in a development project for salt-cavern natural gas storage, which was acquired in the Merger. This presentation reflects preliminary fair value of the equity investment on the acquisition date and is subject to change. See Note 3.</w:t>
      </w:r>
    </w:p>
    <w:p>
      <w:pPr>
        <w:spacing w:after="0" w:line="109" w:lineRule="exact"/>
        <w:rPr>
          <w:sz w:val="20"/>
          <w:szCs w:val="20"/>
          <w:color w:val="auto"/>
        </w:rPr>
      </w:pPr>
    </w:p>
    <w:p>
      <w:pPr>
        <w:jc w:val="both"/>
        <w:ind w:firstLine="259"/>
        <w:spacing w:after="0" w:line="264" w:lineRule="auto"/>
        <w:rPr>
          <w:sz w:val="20"/>
          <w:szCs w:val="20"/>
          <w:color w:val="auto"/>
        </w:rPr>
      </w:pPr>
      <w:r>
        <w:rPr>
          <w:rFonts w:ascii="Arial" w:cs="Arial" w:eastAsia="Arial" w:hAnsi="Arial"/>
          <w:sz w:val="14"/>
          <w:szCs w:val="14"/>
          <w:color w:val="auto"/>
        </w:rPr>
        <w:t>CenterPoint Energy evaluates its equity method investments for impairment when factors indicate that a decrease in value of its investment has occurred and the carrying amount of its investment may not be recoverable. An impairment loss is recognized in earnings when an impairment is deemed to be other than temporary. As of September 30, 2019, CenterPoint Energy’s investment in Enable is $10.55 per unit and Enable’s common unit price closed at $12.03 per unit (approximately $347 million above carrying value). The lowest close price for Enable’s common units in October 2019 was $10.07, which was approximately $112 million below carrying value. CenterPoint Energy performed an analysis of its investment in Enable as of September 30, 2019 and determined it will recover the value of its investment of $2.5 billion.</w:t>
      </w:r>
    </w:p>
    <w:p>
      <w:pPr>
        <w:spacing w:after="0" w:line="149" w:lineRule="exact"/>
        <w:rPr>
          <w:sz w:val="20"/>
          <w:szCs w:val="20"/>
          <w:color w:val="auto"/>
        </w:rPr>
      </w:pPr>
    </w:p>
    <w:p>
      <w:pPr>
        <w:ind w:left="140"/>
        <w:spacing w:after="0"/>
        <w:rPr>
          <w:sz w:val="20"/>
          <w:szCs w:val="20"/>
          <w:color w:val="auto"/>
        </w:rPr>
      </w:pPr>
      <w:r>
        <w:rPr>
          <w:rFonts w:ascii="Arial" w:cs="Arial" w:eastAsia="Arial" w:hAnsi="Arial"/>
          <w:sz w:val="14"/>
          <w:szCs w:val="14"/>
          <w:b w:val="1"/>
          <w:bCs w:val="1"/>
          <w:i w:val="1"/>
          <w:iCs w:val="1"/>
          <w:color w:val="auto"/>
        </w:rPr>
        <w:t>Limited Partner Interest and Units Held in Enable (CenterPoint Energy):</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6420" w:type="dxa"/>
            <w:vAlign w:val="bottom"/>
          </w:tcPr>
          <w:p>
            <w:pPr>
              <w:spacing w:after="0"/>
              <w:rPr>
                <w:sz w:val="13"/>
                <w:szCs w:val="13"/>
                <w:color w:val="auto"/>
              </w:rPr>
            </w:pPr>
          </w:p>
        </w:tc>
        <w:tc>
          <w:tcPr>
            <w:tcW w:w="16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70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1"/>
                <w:szCs w:val="11"/>
                <w:b w:val="1"/>
                <w:bCs w:val="1"/>
                <w:color w:val="auto"/>
                <w:w w:val="91"/>
              </w:rPr>
              <w:t>September 30, 2019</w:t>
            </w:r>
          </w:p>
        </w:tc>
        <w:tc>
          <w:tcPr>
            <w:tcW w:w="16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8"/>
        </w:trPr>
        <w:tc>
          <w:tcPr>
            <w:tcW w:w="6420" w:type="dxa"/>
            <w:vAlign w:val="bottom"/>
          </w:tcPr>
          <w:p>
            <w:pPr>
              <w:spacing w:after="0"/>
              <w:rPr>
                <w:sz w:val="10"/>
                <w:szCs w:val="10"/>
                <w:color w:val="auto"/>
              </w:rPr>
            </w:pPr>
          </w:p>
        </w:tc>
        <w:tc>
          <w:tcPr>
            <w:tcW w:w="1740" w:type="dxa"/>
            <w:vAlign w:val="bottom"/>
            <w:gridSpan w:val="2"/>
            <w:vMerge w:val="restart"/>
          </w:tcPr>
          <w:p>
            <w:pPr>
              <w:ind w:left="140"/>
              <w:spacing w:after="0"/>
              <w:rPr>
                <w:sz w:val="20"/>
                <w:szCs w:val="20"/>
                <w:color w:val="auto"/>
              </w:rPr>
            </w:pPr>
            <w:r>
              <w:rPr>
                <w:rFonts w:ascii="Arial" w:cs="Arial" w:eastAsia="Arial" w:hAnsi="Arial"/>
                <w:sz w:val="11"/>
                <w:szCs w:val="11"/>
                <w:b w:val="1"/>
                <w:bCs w:val="1"/>
                <w:color w:val="auto"/>
              </w:rPr>
              <w:t xml:space="preserve">Limited Partner Interest </w:t>
            </w:r>
            <w:r>
              <w:rPr>
                <w:rFonts w:ascii="Arial" w:cs="Arial" w:eastAsia="Arial" w:hAnsi="Arial"/>
                <w:sz w:val="8"/>
                <w:szCs w:val="8"/>
                <w:b w:val="1"/>
                <w:bCs w:val="1"/>
                <w:color w:val="auto"/>
              </w:rPr>
              <w:t>(1)</w:t>
            </w:r>
          </w:p>
        </w:tc>
        <w:tc>
          <w:tcPr>
            <w:tcW w:w="1700" w:type="dxa"/>
            <w:vAlign w:val="bottom"/>
            <w:gridSpan w:val="2"/>
            <w:vMerge w:val="restart"/>
          </w:tcPr>
          <w:p>
            <w:pPr>
              <w:jc w:val="center"/>
              <w:ind w:right="100"/>
              <w:spacing w:after="0"/>
              <w:rPr>
                <w:sz w:val="20"/>
                <w:szCs w:val="20"/>
                <w:color w:val="auto"/>
              </w:rPr>
            </w:pPr>
            <w:r>
              <w:rPr>
                <w:rFonts w:ascii="Arial" w:cs="Arial" w:eastAsia="Arial" w:hAnsi="Arial"/>
                <w:sz w:val="11"/>
                <w:szCs w:val="11"/>
                <w:b w:val="1"/>
                <w:bCs w:val="1"/>
                <w:color w:val="auto"/>
                <w:w w:val="96"/>
              </w:rPr>
              <w:t xml:space="preserve">Common Units </w:t>
            </w:r>
            <w:r>
              <w:rPr>
                <w:rFonts w:ascii="Arial" w:cs="Arial" w:eastAsia="Arial" w:hAnsi="Arial"/>
                <w:sz w:val="8"/>
                <w:szCs w:val="8"/>
                <w:b w:val="1"/>
                <w:bCs w:val="1"/>
                <w:color w:val="auto"/>
                <w:w w:val="96"/>
              </w:rPr>
              <w:t>(2)</w:t>
            </w:r>
          </w:p>
        </w:tc>
        <w:tc>
          <w:tcPr>
            <w:tcW w:w="1600" w:type="dxa"/>
            <w:vAlign w:val="bottom"/>
          </w:tcPr>
          <w:p>
            <w:pPr>
              <w:jc w:val="right"/>
              <w:ind w:right="93"/>
              <w:spacing w:after="0" w:line="119" w:lineRule="exact"/>
              <w:rPr>
                <w:sz w:val="20"/>
                <w:szCs w:val="20"/>
                <w:color w:val="auto"/>
              </w:rPr>
            </w:pPr>
            <w:r>
              <w:rPr>
                <w:rFonts w:ascii="Arial" w:cs="Arial" w:eastAsia="Arial" w:hAnsi="Arial"/>
                <w:sz w:val="11"/>
                <w:szCs w:val="11"/>
                <w:b w:val="1"/>
                <w:bCs w:val="1"/>
                <w:color w:val="auto"/>
              </w:rPr>
              <w:t>Enable Series A Preferred</w:t>
            </w:r>
          </w:p>
        </w:tc>
        <w:tc>
          <w:tcPr>
            <w:tcW w:w="0" w:type="dxa"/>
            <w:vAlign w:val="bottom"/>
          </w:tcPr>
          <w:p>
            <w:pPr>
              <w:spacing w:after="0"/>
              <w:rPr>
                <w:sz w:val="1"/>
                <w:szCs w:val="1"/>
                <w:color w:val="auto"/>
              </w:rPr>
            </w:pPr>
          </w:p>
        </w:tc>
      </w:tr>
      <w:tr>
        <w:trPr>
          <w:trHeight w:val="153"/>
        </w:trPr>
        <w:tc>
          <w:tcPr>
            <w:tcW w:w="6420" w:type="dxa"/>
            <w:vAlign w:val="bottom"/>
          </w:tcPr>
          <w:p>
            <w:pPr>
              <w:spacing w:after="0"/>
              <w:rPr>
                <w:sz w:val="13"/>
                <w:szCs w:val="13"/>
                <w:color w:val="auto"/>
              </w:rPr>
            </w:pPr>
          </w:p>
        </w:tc>
        <w:tc>
          <w:tcPr>
            <w:tcW w:w="1740" w:type="dxa"/>
            <w:vAlign w:val="bottom"/>
            <w:gridSpan w:val="2"/>
            <w:vMerge w:val="continue"/>
          </w:tcPr>
          <w:p>
            <w:pPr>
              <w:spacing w:after="0"/>
              <w:rPr>
                <w:sz w:val="13"/>
                <w:szCs w:val="13"/>
                <w:color w:val="auto"/>
              </w:rPr>
            </w:pPr>
          </w:p>
        </w:tc>
        <w:tc>
          <w:tcPr>
            <w:tcW w:w="1700" w:type="dxa"/>
            <w:vAlign w:val="bottom"/>
            <w:gridSpan w:val="2"/>
            <w:vMerge w:val="continue"/>
          </w:tcPr>
          <w:p>
            <w:pPr>
              <w:spacing w:after="0"/>
              <w:rPr>
                <w:sz w:val="13"/>
                <w:szCs w:val="13"/>
                <w:color w:val="auto"/>
              </w:rPr>
            </w:pPr>
          </w:p>
        </w:tc>
        <w:tc>
          <w:tcPr>
            <w:tcW w:w="1600" w:type="dxa"/>
            <w:vAlign w:val="bottom"/>
          </w:tcPr>
          <w:p>
            <w:pPr>
              <w:jc w:val="right"/>
              <w:ind w:right="533"/>
              <w:spacing w:after="0"/>
              <w:rPr>
                <w:sz w:val="20"/>
                <w:szCs w:val="20"/>
                <w:color w:val="auto"/>
              </w:rPr>
            </w:pPr>
            <w:r>
              <w:rPr>
                <w:rFonts w:ascii="Arial" w:cs="Arial" w:eastAsia="Arial" w:hAnsi="Arial"/>
                <w:sz w:val="11"/>
                <w:szCs w:val="11"/>
                <w:b w:val="1"/>
                <w:bCs w:val="1"/>
                <w:color w:val="auto"/>
              </w:rPr>
              <w:t xml:space="preserve">Units </w:t>
            </w:r>
            <w:r>
              <w:rPr>
                <w:rFonts w:ascii="Arial" w:cs="Arial" w:eastAsia="Arial" w:hAnsi="Arial"/>
                <w:sz w:val="8"/>
                <w:szCs w:val="8"/>
                <w:b w:val="1"/>
                <w:bCs w:val="1"/>
                <w:color w:val="auto"/>
              </w:rPr>
              <w:t>(3)</w:t>
            </w:r>
          </w:p>
        </w:tc>
        <w:tc>
          <w:tcPr>
            <w:tcW w:w="0" w:type="dxa"/>
            <w:vAlign w:val="bottom"/>
          </w:tcPr>
          <w:p>
            <w:pPr>
              <w:spacing w:after="0"/>
              <w:rPr>
                <w:sz w:val="1"/>
                <w:szCs w:val="1"/>
                <w:color w:val="auto"/>
              </w:rPr>
            </w:pPr>
          </w:p>
        </w:tc>
      </w:tr>
      <w:tr>
        <w:trPr>
          <w:trHeight w:val="191"/>
        </w:trPr>
        <w:tc>
          <w:tcPr>
            <w:tcW w:w="64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CenterPoint Energy</w:t>
            </w:r>
          </w:p>
        </w:tc>
        <w:tc>
          <w:tcPr>
            <w:tcW w:w="16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53.7%</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60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4"/>
                <w:szCs w:val="14"/>
                <w:color w:val="auto"/>
              </w:rPr>
              <w:t>233,856,623</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60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4"/>
                <w:szCs w:val="14"/>
                <w:color w:val="auto"/>
              </w:rPr>
              <w:t>14,520,000</w:t>
            </w:r>
          </w:p>
        </w:tc>
        <w:tc>
          <w:tcPr>
            <w:tcW w:w="0" w:type="dxa"/>
            <w:vAlign w:val="bottom"/>
          </w:tcPr>
          <w:p>
            <w:pPr>
              <w:spacing w:after="0"/>
              <w:rPr>
                <w:sz w:val="1"/>
                <w:szCs w:val="1"/>
                <w:color w:val="auto"/>
              </w:rPr>
            </w:pPr>
          </w:p>
        </w:tc>
      </w:tr>
      <w:tr>
        <w:trPr>
          <w:trHeight w:val="193"/>
        </w:trPr>
        <w:tc>
          <w:tcPr>
            <w:tcW w:w="6420" w:type="dxa"/>
            <w:vAlign w:val="bottom"/>
          </w:tcPr>
          <w:p>
            <w:pPr>
              <w:ind w:left="20"/>
              <w:spacing w:after="0"/>
              <w:rPr>
                <w:sz w:val="20"/>
                <w:szCs w:val="20"/>
                <w:color w:val="auto"/>
              </w:rPr>
            </w:pPr>
            <w:r>
              <w:rPr>
                <w:rFonts w:ascii="Arial" w:cs="Arial" w:eastAsia="Arial" w:hAnsi="Arial"/>
                <w:sz w:val="14"/>
                <w:szCs w:val="14"/>
                <w:color w:val="auto"/>
              </w:rPr>
              <w:t>OGE</w:t>
            </w:r>
          </w:p>
        </w:tc>
        <w:tc>
          <w:tcPr>
            <w:tcW w:w="1640" w:type="dxa"/>
            <w:vAlign w:val="bottom"/>
          </w:tcPr>
          <w:p>
            <w:pPr>
              <w:jc w:val="right"/>
              <w:spacing w:after="0"/>
              <w:rPr>
                <w:sz w:val="20"/>
                <w:szCs w:val="20"/>
                <w:color w:val="auto"/>
              </w:rPr>
            </w:pPr>
            <w:r>
              <w:rPr>
                <w:rFonts w:ascii="Arial" w:cs="Arial" w:eastAsia="Arial" w:hAnsi="Arial"/>
                <w:sz w:val="14"/>
                <w:szCs w:val="14"/>
                <w:color w:val="auto"/>
              </w:rPr>
              <w:t>25.5%</w:t>
            </w:r>
          </w:p>
        </w:tc>
        <w:tc>
          <w:tcPr>
            <w:tcW w:w="100" w:type="dxa"/>
            <w:vAlign w:val="bottom"/>
          </w:tcPr>
          <w:p>
            <w:pPr>
              <w:spacing w:after="0"/>
              <w:rPr>
                <w:sz w:val="16"/>
                <w:szCs w:val="16"/>
                <w:color w:val="auto"/>
              </w:rPr>
            </w:pPr>
          </w:p>
        </w:tc>
        <w:tc>
          <w:tcPr>
            <w:tcW w:w="1600" w:type="dxa"/>
            <w:vAlign w:val="bottom"/>
          </w:tcPr>
          <w:p>
            <w:pPr>
              <w:jc w:val="right"/>
              <w:ind w:right="33"/>
              <w:spacing w:after="0"/>
              <w:rPr>
                <w:sz w:val="20"/>
                <w:szCs w:val="20"/>
                <w:color w:val="auto"/>
              </w:rPr>
            </w:pPr>
            <w:r>
              <w:rPr>
                <w:rFonts w:ascii="Arial" w:cs="Arial" w:eastAsia="Arial" w:hAnsi="Arial"/>
                <w:sz w:val="14"/>
                <w:szCs w:val="14"/>
                <w:color w:val="auto"/>
              </w:rPr>
              <w:t>110,982,805</w:t>
            </w:r>
          </w:p>
        </w:tc>
        <w:tc>
          <w:tcPr>
            <w:tcW w:w="100" w:type="dxa"/>
            <w:vAlign w:val="bottom"/>
          </w:tcPr>
          <w:p>
            <w:pPr>
              <w:spacing w:after="0"/>
              <w:rPr>
                <w:sz w:val="16"/>
                <w:szCs w:val="16"/>
                <w:color w:val="auto"/>
              </w:rPr>
            </w:pPr>
          </w:p>
        </w:tc>
        <w:tc>
          <w:tcPr>
            <w:tcW w:w="1600" w:type="dxa"/>
            <w:vAlign w:val="bottom"/>
          </w:tcPr>
          <w:p>
            <w:pPr>
              <w:jc w:val="right"/>
              <w:ind w:right="33"/>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
        </w:trPr>
        <w:tc>
          <w:tcPr>
            <w:tcW w:w="64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6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Public unitholders</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20.8%</w:t>
            </w:r>
          </w:p>
        </w:tc>
        <w:tc>
          <w:tcPr>
            <w:tcW w:w="100" w:type="dxa"/>
            <w:vAlign w:val="bottom"/>
            <w:tcBorders>
              <w:bottom w:val="single" w:sz="8" w:color="CCEEFF"/>
            </w:tcBorders>
            <w:shd w:val="clear" w:color="auto" w:fill="CCEEFF"/>
          </w:tcPr>
          <w:p>
            <w:pPr>
              <w:spacing w:after="0"/>
              <w:rPr>
                <w:sz w:val="18"/>
                <w:szCs w:val="18"/>
                <w:color w:val="auto"/>
              </w:rPr>
            </w:pPr>
          </w:p>
        </w:tc>
        <w:tc>
          <w:tcPr>
            <w:tcW w:w="16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4"/>
                <w:szCs w:val="14"/>
                <w:color w:val="auto"/>
              </w:rPr>
              <w:t>90,310,731</w:t>
            </w:r>
          </w:p>
        </w:tc>
        <w:tc>
          <w:tcPr>
            <w:tcW w:w="100" w:type="dxa"/>
            <w:vAlign w:val="bottom"/>
            <w:tcBorders>
              <w:bottom w:val="single" w:sz="8" w:color="CCEEFF"/>
            </w:tcBorders>
            <w:shd w:val="clear" w:color="auto" w:fill="CCEEFF"/>
          </w:tcPr>
          <w:p>
            <w:pPr>
              <w:spacing w:after="0"/>
              <w:rPr>
                <w:sz w:val="18"/>
                <w:szCs w:val="18"/>
                <w:color w:val="auto"/>
              </w:rPr>
            </w:pPr>
          </w:p>
        </w:tc>
        <w:tc>
          <w:tcPr>
            <w:tcW w:w="16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0"/>
        </w:trPr>
        <w:tc>
          <w:tcPr>
            <w:tcW w:w="6420" w:type="dxa"/>
            <w:vAlign w:val="bottom"/>
          </w:tcPr>
          <w:p>
            <w:pPr>
              <w:ind w:left="320"/>
              <w:spacing w:after="0"/>
              <w:rPr>
                <w:sz w:val="20"/>
                <w:szCs w:val="20"/>
                <w:color w:val="auto"/>
              </w:rPr>
            </w:pPr>
            <w:r>
              <w:rPr>
                <w:rFonts w:ascii="Arial" w:cs="Arial" w:eastAsia="Arial" w:hAnsi="Arial"/>
                <w:sz w:val="14"/>
                <w:szCs w:val="14"/>
                <w:color w:val="auto"/>
              </w:rPr>
              <w:t>Total units outstanding</w:t>
            </w:r>
          </w:p>
        </w:tc>
        <w:tc>
          <w:tcPr>
            <w:tcW w:w="1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100.0%</w:t>
            </w:r>
          </w:p>
        </w:tc>
        <w:tc>
          <w:tcPr>
            <w:tcW w:w="100" w:type="dxa"/>
            <w:vAlign w:val="bottom"/>
          </w:tcPr>
          <w:p>
            <w:pPr>
              <w:spacing w:after="0"/>
              <w:rPr>
                <w:sz w:val="17"/>
                <w:szCs w:val="17"/>
                <w:color w:val="auto"/>
              </w:rPr>
            </w:pPr>
          </w:p>
        </w:tc>
        <w:tc>
          <w:tcPr>
            <w:tcW w:w="16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4"/>
                <w:szCs w:val="14"/>
                <w:color w:val="auto"/>
              </w:rPr>
              <w:t>435,150,159</w:t>
            </w:r>
          </w:p>
        </w:tc>
        <w:tc>
          <w:tcPr>
            <w:tcW w:w="100" w:type="dxa"/>
            <w:vAlign w:val="bottom"/>
          </w:tcPr>
          <w:p>
            <w:pPr>
              <w:spacing w:after="0"/>
              <w:rPr>
                <w:sz w:val="17"/>
                <w:szCs w:val="17"/>
                <w:color w:val="auto"/>
              </w:rPr>
            </w:pPr>
          </w:p>
        </w:tc>
        <w:tc>
          <w:tcPr>
            <w:tcW w:w="16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4"/>
                <w:szCs w:val="14"/>
                <w:color w:val="auto"/>
              </w:rPr>
              <w:t>14,520,000</w:t>
            </w:r>
          </w:p>
        </w:tc>
        <w:tc>
          <w:tcPr>
            <w:tcW w:w="0" w:type="dxa"/>
            <w:vAlign w:val="bottom"/>
          </w:tcPr>
          <w:p>
            <w:pPr>
              <w:spacing w:after="0"/>
              <w:rPr>
                <w:sz w:val="1"/>
                <w:szCs w:val="1"/>
                <w:color w:val="auto"/>
              </w:rPr>
            </w:pPr>
          </w:p>
        </w:tc>
      </w:tr>
      <w:tr>
        <w:trPr>
          <w:trHeight w:val="20"/>
        </w:trPr>
        <w:tc>
          <w:tcPr>
            <w:tcW w:w="642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2" w:lineRule="exact"/>
        <w:rPr>
          <w:sz w:val="20"/>
          <w:szCs w:val="20"/>
          <w:color w:val="auto"/>
        </w:rPr>
      </w:pPr>
    </w:p>
    <w:p>
      <w:pPr>
        <w:ind w:left="260"/>
        <w:spacing w:after="0"/>
        <w:rPr>
          <w:sz w:val="20"/>
          <w:szCs w:val="20"/>
          <w:color w:val="auto"/>
        </w:rPr>
      </w:pPr>
      <w:r>
        <w:rPr>
          <w:rFonts w:ascii="Arial" w:cs="Arial" w:eastAsia="Arial" w:hAnsi="Arial"/>
          <w:sz w:val="14"/>
          <w:szCs w:val="14"/>
          <w:color w:val="auto"/>
        </w:rPr>
        <w:t>(1)  Excludes the Enable Series A Preferred Units owned by CenterPoint Energy.</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41</w:t>
      </w:r>
    </w:p>
    <w:p>
      <w:pPr>
        <w:sectPr>
          <w:pgSz w:w="11900" w:h="16838" w:orient="portrait"/>
          <w:cols w:equalWidth="0" w:num="1">
            <w:col w:w="11460"/>
          </w:cols>
          <w:pgMar w:left="220" w:top="129" w:right="219" w:bottom="1440" w:gutter="0" w:footer="0" w:header="0"/>
        </w:sectPr>
      </w:pPr>
    </w:p>
    <w:bookmarkStart w:id="51" w:name="page52"/>
    <w:bookmarkEnd w:id="51"/>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378" w:lineRule="exact"/>
        <w:rPr>
          <w:sz w:val="20"/>
          <w:szCs w:val="20"/>
          <w:color w:val="auto"/>
        </w:rPr>
      </w:pPr>
    </w:p>
    <w:p>
      <w:pPr>
        <w:ind w:left="520" w:hanging="255"/>
        <w:spacing w:after="0"/>
        <w:tabs>
          <w:tab w:leader="none" w:pos="5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Held indirectly through CNP Midstream by CenterPoint Energy.</w:t>
      </w:r>
    </w:p>
    <w:p>
      <w:pPr>
        <w:spacing w:after="0" w:line="183" w:lineRule="exact"/>
        <w:rPr>
          <w:rFonts w:ascii="Arial" w:cs="Arial" w:eastAsia="Arial" w:hAnsi="Arial"/>
          <w:sz w:val="14"/>
          <w:szCs w:val="14"/>
          <w:color w:val="auto"/>
        </w:rPr>
      </w:pPr>
    </w:p>
    <w:p>
      <w:pPr>
        <w:ind w:left="780" w:hanging="515"/>
        <w:spacing w:after="0" w:line="272" w:lineRule="auto"/>
        <w:tabs>
          <w:tab w:leader="none" w:pos="521" w:val="left"/>
        </w:tabs>
        <w:numPr>
          <w:ilvl w:val="0"/>
          <w:numId w:val="26"/>
        </w:numPr>
        <w:rPr>
          <w:rFonts w:ascii="Arial" w:cs="Arial" w:eastAsia="Arial" w:hAnsi="Arial"/>
          <w:sz w:val="14"/>
          <w:szCs w:val="14"/>
          <w:color w:val="auto"/>
        </w:rPr>
      </w:pPr>
      <w:r>
        <w:rPr>
          <w:rFonts w:ascii="Arial" w:cs="Arial" w:eastAsia="Arial" w:hAnsi="Arial"/>
          <w:sz w:val="14"/>
          <w:szCs w:val="14"/>
          <w:color w:val="auto"/>
        </w:rPr>
        <w:t>The carrying amount of the Enable Series A Preferred Units, reflected as Preferred units - unconsolidated affiliate on CenterPoint Energy’s Condensed Consolidated Balance Sheets, was $363 million as of September 30, 2019 and $363 million as of December 31, 2018. No impairment charges or adjustment due to observable price changes were made during the current or prior reporting periods.</w:t>
      </w:r>
    </w:p>
    <w:p>
      <w:pPr>
        <w:spacing w:after="0" w:line="142" w:lineRule="exact"/>
        <w:rPr>
          <w:sz w:val="20"/>
          <w:szCs w:val="20"/>
          <w:color w:val="auto"/>
        </w:rPr>
      </w:pPr>
    </w:p>
    <w:p>
      <w:pPr>
        <w:jc w:val="both"/>
        <w:ind w:firstLine="259"/>
        <w:spacing w:after="0" w:line="272" w:lineRule="auto"/>
        <w:rPr>
          <w:sz w:val="20"/>
          <w:szCs w:val="20"/>
          <w:color w:val="auto"/>
        </w:rPr>
      </w:pPr>
      <w:r>
        <w:rPr>
          <w:rFonts w:ascii="Arial" w:cs="Arial" w:eastAsia="Arial" w:hAnsi="Arial"/>
          <w:sz w:val="14"/>
          <w:szCs w:val="14"/>
          <w:color w:val="auto"/>
        </w:rPr>
        <w:t>Generally, sales to any person or entity (including a series of sales to the same person or entity) of more than 5% of the aggregate of the common units CenterPoint Energy owns in Enable or sales to any person or entity (including a series of sales to the same person or entity) by OGE of more than 5% of the aggregate of the common units it owns in Enable are subject to mutual rights of first offer and first refusal set forth in Enable’s Agreement of Limited Partnership.</w:t>
      </w:r>
    </w:p>
    <w:p>
      <w:pPr>
        <w:spacing w:after="0" w:line="142" w:lineRule="exact"/>
        <w:rPr>
          <w:sz w:val="20"/>
          <w:szCs w:val="20"/>
          <w:color w:val="auto"/>
        </w:rPr>
      </w:pPr>
    </w:p>
    <w:p>
      <w:pPr>
        <w:ind w:left="140"/>
        <w:spacing w:after="0"/>
        <w:rPr>
          <w:sz w:val="20"/>
          <w:szCs w:val="20"/>
          <w:color w:val="auto"/>
        </w:rPr>
      </w:pPr>
      <w:r>
        <w:rPr>
          <w:rFonts w:ascii="Arial" w:cs="Arial" w:eastAsia="Arial" w:hAnsi="Arial"/>
          <w:sz w:val="14"/>
          <w:szCs w:val="14"/>
          <w:b w:val="1"/>
          <w:bCs w:val="1"/>
          <w:i w:val="1"/>
          <w:iCs w:val="1"/>
          <w:color w:val="auto"/>
        </w:rPr>
        <w:t>Interests Held in Enable GP (CenterPoint Energy):</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7620" w:type="dxa"/>
            <w:vAlign w:val="bottom"/>
          </w:tcPr>
          <w:p>
            <w:pPr>
              <w:spacing w:after="0"/>
              <w:rPr>
                <w:sz w:val="13"/>
                <w:szCs w:val="13"/>
                <w:color w:val="auto"/>
              </w:rPr>
            </w:pPr>
          </w:p>
        </w:tc>
        <w:tc>
          <w:tcPr>
            <w:tcW w:w="3840" w:type="dxa"/>
            <w:vAlign w:val="bottom"/>
            <w:tcBorders>
              <w:bottom w:val="single" w:sz="8" w:color="auto"/>
            </w:tcBorders>
            <w:gridSpan w:val="4"/>
          </w:tcPr>
          <w:p>
            <w:pPr>
              <w:jc w:val="right"/>
              <w:ind w:right="1353"/>
              <w:spacing w:after="0"/>
              <w:rPr>
                <w:sz w:val="20"/>
                <w:szCs w:val="20"/>
                <w:color w:val="auto"/>
              </w:rPr>
            </w:pPr>
            <w:r>
              <w:rPr>
                <w:rFonts w:ascii="Arial" w:cs="Arial" w:eastAsia="Arial" w:hAnsi="Arial"/>
                <w:sz w:val="11"/>
                <w:szCs w:val="11"/>
                <w:b w:val="1"/>
                <w:bCs w:val="1"/>
                <w:color w:val="auto"/>
              </w:rPr>
              <w:t>September 30, 2019</w:t>
            </w:r>
          </w:p>
        </w:tc>
      </w:tr>
      <w:tr>
        <w:trPr>
          <w:trHeight w:val="206"/>
        </w:trPr>
        <w:tc>
          <w:tcPr>
            <w:tcW w:w="7620" w:type="dxa"/>
            <w:vAlign w:val="bottom"/>
            <w:tcBorders>
              <w:bottom w:val="single" w:sz="8" w:color="CCEEFF"/>
            </w:tcBorders>
          </w:tcPr>
          <w:p>
            <w:pPr>
              <w:spacing w:after="0"/>
              <w:rPr>
                <w:sz w:val="17"/>
                <w:szCs w:val="17"/>
                <w:color w:val="auto"/>
              </w:rPr>
            </w:pPr>
          </w:p>
        </w:tc>
        <w:tc>
          <w:tcPr>
            <w:tcW w:w="1540" w:type="dxa"/>
            <w:vAlign w:val="bottom"/>
            <w:tcBorders>
              <w:bottom w:val="single" w:sz="8" w:color="auto"/>
            </w:tcBorders>
          </w:tcPr>
          <w:p>
            <w:pPr>
              <w:ind w:left="380"/>
              <w:spacing w:after="0"/>
              <w:rPr>
                <w:sz w:val="20"/>
                <w:szCs w:val="20"/>
                <w:color w:val="auto"/>
              </w:rPr>
            </w:pPr>
            <w:r>
              <w:rPr>
                <w:rFonts w:ascii="Arial" w:cs="Arial" w:eastAsia="Arial" w:hAnsi="Arial"/>
                <w:sz w:val="11"/>
                <w:szCs w:val="11"/>
                <w:b w:val="1"/>
                <w:bCs w:val="1"/>
                <w:color w:val="auto"/>
                <w:w w:val="97"/>
              </w:rPr>
              <w:t xml:space="preserve">Management Rights </w:t>
            </w:r>
            <w:r>
              <w:rPr>
                <w:rFonts w:ascii="Arial" w:cs="Arial" w:eastAsia="Arial" w:hAnsi="Arial"/>
                <w:sz w:val="8"/>
                <w:szCs w:val="8"/>
                <w:b w:val="1"/>
                <w:bCs w:val="1"/>
                <w:color w:val="auto"/>
                <w:w w:val="97"/>
              </w:rPr>
              <w:t>(1)</w:t>
            </w:r>
          </w:p>
        </w:tc>
        <w:tc>
          <w:tcPr>
            <w:tcW w:w="3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860" w:type="dxa"/>
            <w:vAlign w:val="bottom"/>
            <w:tcBorders>
              <w:bottom w:val="single" w:sz="8" w:color="auto"/>
            </w:tcBorders>
          </w:tcPr>
          <w:p>
            <w:pPr>
              <w:jc w:val="right"/>
              <w:ind w:right="93"/>
              <w:spacing w:after="0"/>
              <w:rPr>
                <w:sz w:val="20"/>
                <w:szCs w:val="20"/>
                <w:color w:val="auto"/>
              </w:rPr>
            </w:pPr>
            <w:r>
              <w:rPr>
                <w:rFonts w:ascii="Arial" w:cs="Arial" w:eastAsia="Arial" w:hAnsi="Arial"/>
                <w:sz w:val="11"/>
                <w:szCs w:val="11"/>
                <w:b w:val="1"/>
                <w:bCs w:val="1"/>
                <w:color w:val="auto"/>
              </w:rPr>
              <w:t xml:space="preserve">Incentive Distribution Rights </w:t>
            </w:r>
            <w:r>
              <w:rPr>
                <w:rFonts w:ascii="Arial" w:cs="Arial" w:eastAsia="Arial" w:hAnsi="Arial"/>
                <w:sz w:val="8"/>
                <w:szCs w:val="8"/>
                <w:b w:val="1"/>
                <w:bCs w:val="1"/>
                <w:color w:val="auto"/>
              </w:rPr>
              <w:t>(2)</w:t>
            </w:r>
          </w:p>
        </w:tc>
      </w:tr>
      <w:tr>
        <w:trPr>
          <w:trHeight w:val="191"/>
        </w:trPr>
        <w:tc>
          <w:tcPr>
            <w:tcW w:w="9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 xml:space="preserve">CenterPoint Energy </w:t>
            </w:r>
            <w:r>
              <w:rPr>
                <w:rFonts w:ascii="Arial" w:cs="Arial" w:eastAsia="Arial" w:hAnsi="Arial"/>
                <w:sz w:val="11"/>
                <w:szCs w:val="11"/>
                <w:color w:val="auto"/>
              </w:rPr>
              <w:t>(3)</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9"/>
              </w:rPr>
              <w:t>50%</w:t>
            </w:r>
          </w:p>
        </w:tc>
        <w:tc>
          <w:tcPr>
            <w:tcW w:w="120" w:type="dxa"/>
            <w:vAlign w:val="bottom"/>
            <w:tcBorders>
              <w:bottom w:val="single" w:sz="8" w:color="CCEEFF"/>
            </w:tcBorders>
            <w:shd w:val="clear" w:color="auto" w:fill="CCEEFF"/>
          </w:tcPr>
          <w:p>
            <w:pPr>
              <w:spacing w:after="0"/>
              <w:rPr>
                <w:sz w:val="16"/>
                <w:szCs w:val="16"/>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40%</w:t>
            </w:r>
          </w:p>
        </w:tc>
      </w:tr>
      <w:tr>
        <w:trPr>
          <w:trHeight w:val="193"/>
        </w:trPr>
        <w:tc>
          <w:tcPr>
            <w:tcW w:w="9160" w:type="dxa"/>
            <w:vAlign w:val="bottom"/>
            <w:gridSpan w:val="2"/>
          </w:tcPr>
          <w:p>
            <w:pPr>
              <w:ind w:left="20"/>
              <w:spacing w:after="0"/>
              <w:rPr>
                <w:sz w:val="20"/>
                <w:szCs w:val="20"/>
                <w:color w:val="auto"/>
              </w:rPr>
            </w:pPr>
            <w:r>
              <w:rPr>
                <w:rFonts w:ascii="Arial" w:cs="Arial" w:eastAsia="Arial" w:hAnsi="Arial"/>
                <w:sz w:val="14"/>
                <w:szCs w:val="14"/>
                <w:color w:val="auto"/>
              </w:rPr>
              <w:t>OGE</w:t>
            </w:r>
          </w:p>
        </w:tc>
        <w:tc>
          <w:tcPr>
            <w:tcW w:w="320" w:type="dxa"/>
            <w:vAlign w:val="bottom"/>
          </w:tcPr>
          <w:p>
            <w:pPr>
              <w:jc w:val="right"/>
              <w:spacing w:after="0"/>
              <w:rPr>
                <w:sz w:val="20"/>
                <w:szCs w:val="20"/>
                <w:color w:val="auto"/>
              </w:rPr>
            </w:pPr>
            <w:r>
              <w:rPr>
                <w:rFonts w:ascii="Arial" w:cs="Arial" w:eastAsia="Arial" w:hAnsi="Arial"/>
                <w:sz w:val="14"/>
                <w:szCs w:val="14"/>
                <w:color w:val="auto"/>
                <w:w w:val="99"/>
              </w:rPr>
              <w:t>50%</w:t>
            </w:r>
          </w:p>
        </w:tc>
        <w:tc>
          <w:tcPr>
            <w:tcW w:w="120" w:type="dxa"/>
            <w:vAlign w:val="bottom"/>
          </w:tcPr>
          <w:p>
            <w:pPr>
              <w:spacing w:after="0"/>
              <w:rPr>
                <w:sz w:val="16"/>
                <w:szCs w:val="16"/>
                <w:color w:val="auto"/>
              </w:rPr>
            </w:pPr>
          </w:p>
        </w:tc>
        <w:tc>
          <w:tcPr>
            <w:tcW w:w="1860" w:type="dxa"/>
            <w:vAlign w:val="bottom"/>
          </w:tcPr>
          <w:p>
            <w:pPr>
              <w:jc w:val="right"/>
              <w:spacing w:after="0"/>
              <w:rPr>
                <w:sz w:val="20"/>
                <w:szCs w:val="20"/>
                <w:color w:val="auto"/>
              </w:rPr>
            </w:pPr>
            <w:r>
              <w:rPr>
                <w:rFonts w:ascii="Arial" w:cs="Arial" w:eastAsia="Arial" w:hAnsi="Arial"/>
                <w:sz w:val="14"/>
                <w:szCs w:val="14"/>
                <w:color w:val="auto"/>
              </w:rPr>
              <w:t>60%</w:t>
            </w:r>
          </w:p>
        </w:tc>
      </w:tr>
    </w:tbl>
    <w:p>
      <w:pPr>
        <w:spacing w:after="0" w:line="184" w:lineRule="exact"/>
        <w:rPr>
          <w:sz w:val="20"/>
          <w:szCs w:val="20"/>
          <w:color w:val="auto"/>
        </w:rPr>
      </w:pPr>
    </w:p>
    <w:p>
      <w:pPr>
        <w:ind w:left="780" w:hanging="515"/>
        <w:spacing w:after="0" w:line="288" w:lineRule="auto"/>
        <w:tabs>
          <w:tab w:leader="none" w:pos="521" w:val="left"/>
        </w:tabs>
        <w:numPr>
          <w:ilvl w:val="0"/>
          <w:numId w:val="27"/>
        </w:numPr>
        <w:rPr>
          <w:rFonts w:ascii="Arial" w:cs="Arial" w:eastAsia="Arial" w:hAnsi="Arial"/>
          <w:sz w:val="14"/>
          <w:szCs w:val="14"/>
          <w:color w:val="auto"/>
        </w:rPr>
      </w:pPr>
      <w:r>
        <w:rPr>
          <w:rFonts w:ascii="Arial" w:cs="Arial" w:eastAsia="Arial" w:hAnsi="Arial"/>
          <w:sz w:val="14"/>
          <w:szCs w:val="14"/>
          <w:color w:val="auto"/>
        </w:rPr>
        <w:t>Enable is controlled jointly by CenterPoint Energy and OGE. Sale of CenterPoint Energy’s or OGE’s ownership interests in Enable GP to a third party is subject to mutual rights of first offer and first refusal, and CenterPoint Energy is not permitted to dispose of less than all of its interest in Enable GP.</w:t>
      </w:r>
    </w:p>
    <w:p>
      <w:pPr>
        <w:spacing w:after="0" w:line="130" w:lineRule="exact"/>
        <w:rPr>
          <w:rFonts w:ascii="Arial" w:cs="Arial" w:eastAsia="Arial" w:hAnsi="Arial"/>
          <w:sz w:val="14"/>
          <w:szCs w:val="14"/>
          <w:color w:val="auto"/>
        </w:rPr>
      </w:pPr>
    </w:p>
    <w:p>
      <w:pPr>
        <w:ind w:left="780" w:hanging="515"/>
        <w:spacing w:after="0" w:line="263" w:lineRule="auto"/>
        <w:tabs>
          <w:tab w:leader="none" w:pos="521" w:val="left"/>
        </w:tabs>
        <w:numPr>
          <w:ilvl w:val="0"/>
          <w:numId w:val="27"/>
        </w:numPr>
        <w:rPr>
          <w:rFonts w:ascii="Arial" w:cs="Arial" w:eastAsia="Arial" w:hAnsi="Arial"/>
          <w:sz w:val="14"/>
          <w:szCs w:val="14"/>
          <w:color w:val="auto"/>
        </w:rPr>
      </w:pPr>
      <w:r>
        <w:rPr>
          <w:rFonts w:ascii="Arial" w:cs="Arial" w:eastAsia="Arial" w:hAnsi="Arial"/>
          <w:sz w:val="14"/>
          <w:szCs w:val="14"/>
          <w:color w:val="auto"/>
        </w:rPr>
        <w:t>Enable is expected to pay a minimum quarterly distribution of $0.2875 per common unit on its outstanding common units to the extent it has sufficient cash from operations after establishment of cash reserves and payment of fees and expenses, including payments to Enable GP and its affiliates, within 60 days after the end of each quarter. If cash distributions to Enable’s unitholders exceed $0.330625 per common unit in any quarter, Enable GP will receive increasing percentages or incentive distributions rights, up to 50%, of the cash Enable distributes in excess of that amount. In certain circumstances Enable GP will have the right to reset the minimum quarterly distribution and the target distribution levels at which the incentive distributions receive increasing percentages to higher levels based on Enable’s cash distributions at the time of the exercise of this reset election. To date, no incentive distributions have been made.</w:t>
      </w:r>
    </w:p>
    <w:p>
      <w:pPr>
        <w:spacing w:after="0" w:line="148" w:lineRule="exact"/>
        <w:rPr>
          <w:rFonts w:ascii="Arial" w:cs="Arial" w:eastAsia="Arial" w:hAnsi="Arial"/>
          <w:sz w:val="14"/>
          <w:szCs w:val="14"/>
          <w:color w:val="auto"/>
        </w:rPr>
      </w:pPr>
    </w:p>
    <w:p>
      <w:pPr>
        <w:ind w:left="520" w:hanging="255"/>
        <w:spacing w:after="0"/>
        <w:tabs>
          <w:tab w:leader="none" w:pos="5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Held indirectly through CNP Midstream.</w:t>
      </w:r>
    </w:p>
    <w:p>
      <w:pPr>
        <w:spacing w:after="0" w:line="184" w:lineRule="exact"/>
        <w:rPr>
          <w:sz w:val="20"/>
          <w:szCs w:val="20"/>
          <w:color w:val="auto"/>
        </w:rPr>
      </w:pPr>
    </w:p>
    <w:p>
      <w:pPr>
        <w:ind w:left="140"/>
        <w:spacing w:after="0"/>
        <w:rPr>
          <w:sz w:val="20"/>
          <w:szCs w:val="20"/>
          <w:color w:val="auto"/>
        </w:rPr>
      </w:pPr>
      <w:r>
        <w:rPr>
          <w:rFonts w:ascii="Arial" w:cs="Arial" w:eastAsia="Arial" w:hAnsi="Arial"/>
          <w:sz w:val="14"/>
          <w:szCs w:val="14"/>
          <w:b w:val="1"/>
          <w:bCs w:val="1"/>
          <w:i w:val="1"/>
          <w:iCs w:val="1"/>
          <w:color w:val="auto"/>
        </w:rPr>
        <w:t>Distributions Received from Enable (CenterPoint Energy and CERC):</w:t>
      </w:r>
    </w:p>
    <w:p>
      <w:pPr>
        <w:spacing w:after="0" w:line="18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CenterPoint Energy</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8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980" w:type="dxa"/>
            <w:vAlign w:val="bottom"/>
            <w:tcBorders>
              <w:bottom w:val="single" w:sz="8" w:color="auto"/>
            </w:tcBorders>
            <w:gridSpan w:val="4"/>
          </w:tcPr>
          <w:p>
            <w:pPr>
              <w:jc w:val="right"/>
              <w:ind w:right="3"/>
              <w:spacing w:after="0"/>
              <w:rPr>
                <w:sz w:val="20"/>
                <w:szCs w:val="20"/>
                <w:color w:val="auto"/>
              </w:rPr>
            </w:pPr>
            <w:r>
              <w:rPr>
                <w:rFonts w:ascii="Arial" w:cs="Arial" w:eastAsia="Arial" w:hAnsi="Arial"/>
                <w:sz w:val="11"/>
                <w:szCs w:val="11"/>
                <w:b w:val="1"/>
                <w:bCs w:val="1"/>
                <w:color w:val="auto"/>
              </w:rPr>
              <w:t>Three Months Ended September 30,</w:t>
            </w: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820" w:type="dxa"/>
            <w:vAlign w:val="bottom"/>
            <w:tcBorders>
              <w:bottom w:val="single" w:sz="8" w:color="auto"/>
            </w:tcBorders>
            <w:gridSpan w:val="4"/>
          </w:tcPr>
          <w:p>
            <w:pPr>
              <w:jc w:val="right"/>
              <w:ind w:right="3"/>
              <w:spacing w:after="0"/>
              <w:rPr>
                <w:sz w:val="20"/>
                <w:szCs w:val="20"/>
                <w:color w:val="auto"/>
              </w:rPr>
            </w:pPr>
            <w:r>
              <w:rPr>
                <w:rFonts w:ascii="Arial" w:cs="Arial" w:eastAsia="Arial" w:hAnsi="Arial"/>
                <w:sz w:val="11"/>
                <w:szCs w:val="11"/>
                <w:b w:val="1"/>
                <w:bCs w:val="1"/>
                <w:color w:val="auto"/>
                <w:w w:val="96"/>
              </w:rPr>
              <w:t>Nine Months Ended September 30,</w:t>
            </w:r>
          </w:p>
        </w:tc>
        <w:tc>
          <w:tcPr>
            <w:tcW w:w="14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r>
      <w:tr>
        <w:trPr>
          <w:trHeight w:val="206"/>
        </w:trPr>
        <w:tc>
          <w:tcPr>
            <w:tcW w:w="28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3"/>
          </w:tcPr>
          <w:p>
            <w:pPr>
              <w:jc w:val="right"/>
              <w:ind w:right="863"/>
              <w:spacing w:after="0"/>
              <w:rPr>
                <w:sz w:val="20"/>
                <w:szCs w:val="20"/>
                <w:color w:val="auto"/>
              </w:rPr>
            </w:pPr>
            <w:r>
              <w:rPr>
                <w:rFonts w:ascii="Arial" w:cs="Arial" w:eastAsia="Arial" w:hAnsi="Arial"/>
                <w:sz w:val="11"/>
                <w:szCs w:val="11"/>
                <w:b w:val="1"/>
                <w:bCs w:val="1"/>
                <w:color w:val="auto"/>
              </w:rPr>
              <w:t>2019</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3"/>
          </w:tcPr>
          <w:p>
            <w:pPr>
              <w:jc w:val="right"/>
              <w:ind w:right="863"/>
              <w:spacing w:after="0"/>
              <w:rPr>
                <w:sz w:val="20"/>
                <w:szCs w:val="20"/>
                <w:color w:val="auto"/>
              </w:rPr>
            </w:pPr>
            <w:r>
              <w:rPr>
                <w:rFonts w:ascii="Arial" w:cs="Arial" w:eastAsia="Arial" w:hAnsi="Arial"/>
                <w:sz w:val="11"/>
                <w:szCs w:val="11"/>
                <w:b w:val="1"/>
                <w:bCs w:val="1"/>
                <w:color w:val="auto"/>
              </w:rPr>
              <w:t>2018</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gridSpan w:val="2"/>
          </w:tcPr>
          <w:p>
            <w:pPr>
              <w:jc w:val="right"/>
              <w:spacing w:after="0"/>
              <w:rPr>
                <w:sz w:val="20"/>
                <w:szCs w:val="20"/>
                <w:color w:val="auto"/>
              </w:rPr>
            </w:pPr>
            <w:r>
              <w:rPr>
                <w:rFonts w:ascii="Arial" w:cs="Arial" w:eastAsia="Arial" w:hAnsi="Arial"/>
                <w:sz w:val="11"/>
                <w:szCs w:val="11"/>
                <w:b w:val="1"/>
                <w:bCs w:val="1"/>
                <w:color w:val="auto"/>
              </w:rPr>
              <w:t>2019</w:t>
            </w:r>
          </w:p>
        </w:tc>
        <w:tc>
          <w:tcPr>
            <w:tcW w:w="8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gridSpan w:val="2"/>
          </w:tcPr>
          <w:p>
            <w:pPr>
              <w:jc w:val="right"/>
              <w:ind w:right="243"/>
              <w:spacing w:after="0"/>
              <w:rPr>
                <w:sz w:val="20"/>
                <w:szCs w:val="20"/>
                <w:color w:val="auto"/>
              </w:rPr>
            </w:pPr>
            <w:r>
              <w:rPr>
                <w:rFonts w:ascii="Arial" w:cs="Arial" w:eastAsia="Arial" w:hAnsi="Arial"/>
                <w:sz w:val="11"/>
                <w:szCs w:val="11"/>
                <w:b w:val="1"/>
                <w:bCs w:val="1"/>
                <w:color w:val="auto"/>
              </w:rPr>
              <w:t>2018</w:t>
            </w:r>
          </w:p>
        </w:tc>
        <w:tc>
          <w:tcPr>
            <w:tcW w:w="580" w:type="dxa"/>
            <w:vAlign w:val="bottom"/>
            <w:tcBorders>
              <w:bottom w:val="single" w:sz="8" w:color="auto"/>
            </w:tcBorders>
          </w:tcPr>
          <w:p>
            <w:pPr>
              <w:spacing w:after="0"/>
              <w:rPr>
                <w:sz w:val="17"/>
                <w:szCs w:val="17"/>
                <w:color w:val="auto"/>
              </w:rPr>
            </w:pPr>
          </w:p>
        </w:tc>
      </w:tr>
      <w:tr>
        <w:trPr>
          <w:trHeight w:val="206"/>
        </w:trPr>
        <w:tc>
          <w:tcPr>
            <w:tcW w:w="28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143"/>
              <w:spacing w:after="0"/>
              <w:rPr>
                <w:sz w:val="20"/>
                <w:szCs w:val="20"/>
                <w:color w:val="auto"/>
              </w:rPr>
            </w:pPr>
            <w:r>
              <w:rPr>
                <w:rFonts w:ascii="Arial" w:cs="Arial" w:eastAsia="Arial" w:hAnsi="Arial"/>
                <w:sz w:val="11"/>
                <w:szCs w:val="11"/>
                <w:b w:val="1"/>
                <w:bCs w:val="1"/>
                <w:color w:val="auto"/>
              </w:rPr>
              <w:t>Per Unit</w:t>
            </w:r>
          </w:p>
        </w:tc>
        <w:tc>
          <w:tcPr>
            <w:tcW w:w="1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23"/>
              <w:spacing w:after="0"/>
              <w:rPr>
                <w:sz w:val="20"/>
                <w:szCs w:val="20"/>
                <w:color w:val="auto"/>
              </w:rPr>
            </w:pPr>
            <w:r>
              <w:rPr>
                <w:rFonts w:ascii="Arial" w:cs="Arial" w:eastAsia="Arial" w:hAnsi="Arial"/>
                <w:sz w:val="11"/>
                <w:szCs w:val="11"/>
                <w:b w:val="1"/>
                <w:bCs w:val="1"/>
                <w:color w:val="auto"/>
                <w:w w:val="93"/>
              </w:rPr>
              <w:t>Cash Distribution</w:t>
            </w: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63"/>
              <w:spacing w:after="0"/>
              <w:rPr>
                <w:sz w:val="20"/>
                <w:szCs w:val="20"/>
                <w:color w:val="auto"/>
              </w:rPr>
            </w:pPr>
            <w:r>
              <w:rPr>
                <w:rFonts w:ascii="Arial" w:cs="Arial" w:eastAsia="Arial" w:hAnsi="Arial"/>
                <w:sz w:val="11"/>
                <w:szCs w:val="11"/>
                <w:b w:val="1"/>
                <w:bCs w:val="1"/>
                <w:color w:val="auto"/>
              </w:rPr>
              <w:t>Per Unit</w:t>
            </w:r>
          </w:p>
        </w:tc>
        <w:tc>
          <w:tcPr>
            <w:tcW w:w="1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b w:val="1"/>
                <w:bCs w:val="1"/>
                <w:color w:val="auto"/>
                <w:w w:val="93"/>
              </w:rPr>
              <w:t>Cash Distribution</w:t>
            </w: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143"/>
              <w:spacing w:after="0"/>
              <w:rPr>
                <w:sz w:val="20"/>
                <w:szCs w:val="20"/>
                <w:color w:val="auto"/>
              </w:rPr>
            </w:pPr>
            <w:r>
              <w:rPr>
                <w:rFonts w:ascii="Arial" w:cs="Arial" w:eastAsia="Arial" w:hAnsi="Arial"/>
                <w:sz w:val="11"/>
                <w:szCs w:val="11"/>
                <w:b w:val="1"/>
                <w:bCs w:val="1"/>
                <w:color w:val="auto"/>
              </w:rPr>
              <w:t>Per Unit</w:t>
            </w:r>
          </w:p>
        </w:tc>
        <w:tc>
          <w:tcPr>
            <w:tcW w:w="1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2"/>
          </w:tcPr>
          <w:p>
            <w:pPr>
              <w:jc w:val="right"/>
              <w:ind w:right="3"/>
              <w:spacing w:after="0"/>
              <w:rPr>
                <w:sz w:val="20"/>
                <w:szCs w:val="20"/>
                <w:color w:val="auto"/>
              </w:rPr>
            </w:pPr>
            <w:r>
              <w:rPr>
                <w:rFonts w:ascii="Arial" w:cs="Arial" w:eastAsia="Arial" w:hAnsi="Arial"/>
                <w:sz w:val="11"/>
                <w:szCs w:val="11"/>
                <w:b w:val="1"/>
                <w:bCs w:val="1"/>
                <w:color w:val="auto"/>
              </w:rPr>
              <w:t>Cash Distribution</w:t>
            </w: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143"/>
              <w:spacing w:after="0"/>
              <w:rPr>
                <w:sz w:val="20"/>
                <w:szCs w:val="20"/>
                <w:color w:val="auto"/>
              </w:rPr>
            </w:pPr>
            <w:r>
              <w:rPr>
                <w:rFonts w:ascii="Arial" w:cs="Arial" w:eastAsia="Arial" w:hAnsi="Arial"/>
                <w:sz w:val="11"/>
                <w:szCs w:val="11"/>
                <w:b w:val="1"/>
                <w:bCs w:val="1"/>
                <w:color w:val="auto"/>
              </w:rPr>
              <w:t>Per Unit</w:t>
            </w: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2"/>
          </w:tcPr>
          <w:p>
            <w:pPr>
              <w:jc w:val="right"/>
              <w:ind w:right="3"/>
              <w:spacing w:after="0"/>
              <w:rPr>
                <w:sz w:val="20"/>
                <w:szCs w:val="20"/>
                <w:color w:val="auto"/>
              </w:rPr>
            </w:pPr>
            <w:r>
              <w:rPr>
                <w:rFonts w:ascii="Arial" w:cs="Arial" w:eastAsia="Arial" w:hAnsi="Arial"/>
                <w:sz w:val="11"/>
                <w:szCs w:val="11"/>
                <w:b w:val="1"/>
                <w:bCs w:val="1"/>
                <w:color w:val="auto"/>
              </w:rPr>
              <w:t>Cash Distribution</w:t>
            </w:r>
          </w:p>
        </w:tc>
      </w:tr>
      <w:tr>
        <w:trPr>
          <w:trHeight w:val="196"/>
        </w:trPr>
        <w:tc>
          <w:tcPr>
            <w:tcW w:w="2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960" w:type="dxa"/>
            <w:vAlign w:val="bottom"/>
            <w:gridSpan w:val="4"/>
          </w:tcPr>
          <w:p>
            <w:pPr>
              <w:jc w:val="right"/>
              <w:ind w:right="3"/>
              <w:spacing w:after="0"/>
              <w:rPr>
                <w:sz w:val="20"/>
                <w:szCs w:val="20"/>
                <w:color w:val="auto"/>
              </w:rPr>
            </w:pPr>
            <w:r>
              <w:rPr>
                <w:rFonts w:ascii="Arial" w:cs="Arial" w:eastAsia="Arial" w:hAnsi="Arial"/>
                <w:sz w:val="11"/>
                <w:szCs w:val="11"/>
                <w:b w:val="1"/>
                <w:bCs w:val="1"/>
                <w:color w:val="auto"/>
                <w:w w:val="96"/>
              </w:rPr>
              <w:t>(in millions, except per unit amounts)</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20"/>
        </w:trPr>
        <w:tc>
          <w:tcPr>
            <w:tcW w:w="2880" w:type="dxa"/>
            <w:vAlign w:val="bottom"/>
            <w:shd w:val="clear" w:color="auto" w:fill="CCEEFF"/>
          </w:tcPr>
          <w:p>
            <w:pPr>
              <w:ind w:left="20"/>
              <w:spacing w:after="0"/>
              <w:rPr>
                <w:sz w:val="20"/>
                <w:szCs w:val="20"/>
                <w:color w:val="auto"/>
              </w:rPr>
            </w:pPr>
            <w:r>
              <w:rPr>
                <w:rFonts w:ascii="Arial" w:cs="Arial" w:eastAsia="Arial" w:hAnsi="Arial"/>
                <w:sz w:val="11"/>
                <w:szCs w:val="11"/>
                <w:color w:val="auto"/>
              </w:rPr>
              <w:t xml:space="preserve">Enable common units </w:t>
            </w:r>
            <w:r>
              <w:rPr>
                <w:rFonts w:ascii="Arial" w:cs="Arial" w:eastAsia="Arial" w:hAnsi="Arial"/>
                <w:sz w:val="8"/>
                <w:szCs w:val="8"/>
                <w:color w:val="auto"/>
              </w:rPr>
              <w:t>(1)</w:t>
            </w:r>
          </w:p>
        </w:tc>
        <w:tc>
          <w:tcPr>
            <w:tcW w:w="16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w w:val="97"/>
              </w:rPr>
              <w:t>$</w:t>
            </w:r>
          </w:p>
        </w:tc>
        <w:tc>
          <w:tcPr>
            <w:tcW w:w="7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0.3305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96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77</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74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0.3180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98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74</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7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0.9665</w:t>
            </w:r>
          </w:p>
        </w:tc>
        <w:tc>
          <w:tcPr>
            <w:tcW w:w="320" w:type="dxa"/>
            <w:vAlign w:val="bottom"/>
            <w:gridSpan w:val="2"/>
            <w:shd w:val="clear" w:color="auto" w:fill="CCEEFF"/>
          </w:tcPr>
          <w:p>
            <w:pPr>
              <w:jc w:val="right"/>
              <w:ind w:right="23"/>
              <w:spacing w:after="0"/>
              <w:rPr>
                <w:sz w:val="20"/>
                <w:szCs w:val="20"/>
                <w:color w:val="auto"/>
              </w:rPr>
            </w:pPr>
            <w:r>
              <w:rPr>
                <w:rFonts w:ascii="Arial" w:cs="Arial" w:eastAsia="Arial" w:hAnsi="Arial"/>
                <w:sz w:val="11"/>
                <w:szCs w:val="11"/>
                <w:color w:val="auto"/>
              </w:rPr>
              <w:t>$</w:t>
            </w:r>
          </w:p>
        </w:tc>
        <w:tc>
          <w:tcPr>
            <w:tcW w:w="86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226</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7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0.9540</w:t>
            </w:r>
          </w:p>
        </w:tc>
        <w:tc>
          <w:tcPr>
            <w:tcW w:w="580" w:type="dxa"/>
            <w:vAlign w:val="bottom"/>
            <w:gridSpan w:val="2"/>
            <w:shd w:val="clear" w:color="auto" w:fill="CCEEFF"/>
          </w:tcPr>
          <w:p>
            <w:pPr>
              <w:jc w:val="right"/>
              <w:ind w:right="303"/>
              <w:spacing w:after="0"/>
              <w:rPr>
                <w:sz w:val="20"/>
                <w:szCs w:val="20"/>
                <w:color w:val="auto"/>
              </w:rPr>
            </w:pPr>
            <w:r>
              <w:rPr>
                <w:rFonts w:ascii="Arial" w:cs="Arial" w:eastAsia="Arial" w:hAnsi="Arial"/>
                <w:sz w:val="11"/>
                <w:szCs w:val="11"/>
                <w:color w:val="auto"/>
              </w:rPr>
              <w:t>$</w:t>
            </w:r>
          </w:p>
        </w:tc>
        <w:tc>
          <w:tcPr>
            <w:tcW w:w="58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223</w:t>
            </w:r>
          </w:p>
        </w:tc>
      </w:tr>
      <w:tr>
        <w:trPr>
          <w:trHeight w:val="211"/>
        </w:trPr>
        <w:tc>
          <w:tcPr>
            <w:tcW w:w="288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Enable Series A Preferred Units</w:t>
            </w:r>
          </w:p>
        </w:tc>
        <w:tc>
          <w:tcPr>
            <w:tcW w:w="160" w:type="dxa"/>
            <w:vAlign w:val="bottom"/>
            <w:tcBorders>
              <w:bottom w:val="single" w:sz="8" w:color="CCEEFF"/>
            </w:tcBorders>
          </w:tcPr>
          <w:p>
            <w:pPr>
              <w:spacing w:after="0"/>
              <w:rPr>
                <w:sz w:val="18"/>
                <w:szCs w:val="18"/>
                <w:color w:val="auto"/>
              </w:rPr>
            </w:pPr>
          </w:p>
        </w:tc>
        <w:tc>
          <w:tcPr>
            <w:tcW w:w="700" w:type="dxa"/>
            <w:vAlign w:val="bottom"/>
            <w:tcBorders>
              <w:bottom w:val="single" w:sz="8" w:color="CCEEFF"/>
            </w:tcBorders>
          </w:tcPr>
          <w:p>
            <w:pPr>
              <w:jc w:val="right"/>
              <w:ind w:right="3"/>
              <w:spacing w:after="0"/>
              <w:rPr>
                <w:sz w:val="20"/>
                <w:szCs w:val="20"/>
                <w:color w:val="auto"/>
              </w:rPr>
            </w:pPr>
            <w:r>
              <w:rPr>
                <w:rFonts w:ascii="Arial" w:cs="Arial" w:eastAsia="Arial" w:hAnsi="Arial"/>
                <w:sz w:val="11"/>
                <w:szCs w:val="11"/>
                <w:color w:val="auto"/>
              </w:rPr>
              <w:t>0.6250</w:t>
            </w:r>
          </w:p>
        </w:tc>
        <w:tc>
          <w:tcPr>
            <w:tcW w:w="1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color w:val="auto"/>
              </w:rPr>
              <w:t>9</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740" w:type="dxa"/>
            <w:vAlign w:val="bottom"/>
            <w:tcBorders>
              <w:bottom w:val="single" w:sz="8" w:color="CCEEFF"/>
            </w:tcBorders>
          </w:tcPr>
          <w:p>
            <w:pPr>
              <w:jc w:val="right"/>
              <w:ind w:right="23"/>
              <w:spacing w:after="0"/>
              <w:rPr>
                <w:sz w:val="20"/>
                <w:szCs w:val="20"/>
                <w:color w:val="auto"/>
              </w:rPr>
            </w:pPr>
            <w:r>
              <w:rPr>
                <w:rFonts w:ascii="Arial" w:cs="Arial" w:eastAsia="Arial" w:hAnsi="Arial"/>
                <w:sz w:val="11"/>
                <w:szCs w:val="11"/>
                <w:color w:val="auto"/>
              </w:rPr>
              <w:t>0.6250</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color w:val="auto"/>
              </w:rPr>
              <w:t>9</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700" w:type="dxa"/>
            <w:vAlign w:val="bottom"/>
            <w:tcBorders>
              <w:bottom w:val="single" w:sz="8" w:color="CCEEFF"/>
            </w:tcBorders>
          </w:tcPr>
          <w:p>
            <w:pPr>
              <w:jc w:val="right"/>
              <w:ind w:right="3"/>
              <w:spacing w:after="0"/>
              <w:rPr>
                <w:sz w:val="20"/>
                <w:szCs w:val="20"/>
                <w:color w:val="auto"/>
              </w:rPr>
            </w:pPr>
            <w:r>
              <w:rPr>
                <w:rFonts w:ascii="Arial" w:cs="Arial" w:eastAsia="Arial" w:hAnsi="Arial"/>
                <w:sz w:val="11"/>
                <w:szCs w:val="11"/>
                <w:color w:val="auto"/>
              </w:rPr>
              <w:t>1.8750</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auto"/>
              </w:rPr>
              <w:t>27</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700" w:type="dxa"/>
            <w:vAlign w:val="bottom"/>
            <w:tcBorders>
              <w:bottom w:val="single" w:sz="8" w:color="CCEEFF"/>
            </w:tcBorders>
          </w:tcPr>
          <w:p>
            <w:pPr>
              <w:jc w:val="right"/>
              <w:ind w:right="3"/>
              <w:spacing w:after="0"/>
              <w:rPr>
                <w:sz w:val="20"/>
                <w:szCs w:val="20"/>
                <w:color w:val="auto"/>
              </w:rPr>
            </w:pPr>
            <w:r>
              <w:rPr>
                <w:rFonts w:ascii="Arial" w:cs="Arial" w:eastAsia="Arial" w:hAnsi="Arial"/>
                <w:sz w:val="11"/>
                <w:szCs w:val="11"/>
                <w:color w:val="auto"/>
              </w:rPr>
              <w:t>1.8750</w:t>
            </w:r>
          </w:p>
        </w:tc>
        <w:tc>
          <w:tcPr>
            <w:tcW w:w="14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auto"/>
              </w:rPr>
              <w:t>27</w:t>
            </w:r>
          </w:p>
        </w:tc>
      </w:tr>
      <w:tr>
        <w:trPr>
          <w:trHeight w:val="189"/>
        </w:trPr>
        <w:tc>
          <w:tcPr>
            <w:tcW w:w="2880" w:type="dxa"/>
            <w:vAlign w:val="bottom"/>
            <w:shd w:val="clear" w:color="auto" w:fill="CCEEFF"/>
          </w:tcPr>
          <w:p>
            <w:pPr>
              <w:ind w:left="360"/>
              <w:spacing w:after="0"/>
              <w:rPr>
                <w:sz w:val="20"/>
                <w:szCs w:val="20"/>
                <w:color w:val="auto"/>
              </w:rPr>
            </w:pPr>
            <w:r>
              <w:rPr>
                <w:rFonts w:ascii="Arial" w:cs="Arial" w:eastAsia="Arial" w:hAnsi="Arial"/>
                <w:sz w:val="11"/>
                <w:szCs w:val="11"/>
                <w:b w:val="1"/>
                <w:bCs w:val="1"/>
                <w:color w:val="auto"/>
              </w:rPr>
              <w:t>Total CenterPoint Energy</w:t>
            </w: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96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86</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98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83</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320" w:type="dxa"/>
            <w:vAlign w:val="bottom"/>
            <w:gridSpan w:val="2"/>
            <w:shd w:val="clear" w:color="auto" w:fill="CCEEFF"/>
          </w:tcPr>
          <w:p>
            <w:pPr>
              <w:jc w:val="right"/>
              <w:ind w:right="23"/>
              <w:spacing w:after="0"/>
              <w:rPr>
                <w:sz w:val="20"/>
                <w:szCs w:val="20"/>
                <w:color w:val="auto"/>
              </w:rPr>
            </w:pPr>
            <w:r>
              <w:rPr>
                <w:rFonts w:ascii="Arial" w:cs="Arial" w:eastAsia="Arial" w:hAnsi="Arial"/>
                <w:sz w:val="11"/>
                <w:szCs w:val="11"/>
                <w:color w:val="auto"/>
              </w:rPr>
              <w:t>$</w:t>
            </w:r>
          </w:p>
        </w:tc>
        <w:tc>
          <w:tcPr>
            <w:tcW w:w="86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253</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303"/>
              <w:spacing w:after="0"/>
              <w:rPr>
                <w:sz w:val="20"/>
                <w:szCs w:val="20"/>
                <w:color w:val="auto"/>
              </w:rPr>
            </w:pPr>
            <w:r>
              <w:rPr>
                <w:rFonts w:ascii="Arial" w:cs="Arial" w:eastAsia="Arial" w:hAnsi="Arial"/>
                <w:sz w:val="11"/>
                <w:szCs w:val="11"/>
                <w:color w:val="auto"/>
              </w:rPr>
              <w:t>$</w:t>
            </w:r>
          </w:p>
        </w:tc>
        <w:tc>
          <w:tcPr>
            <w:tcW w:w="58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250</w:t>
            </w:r>
          </w:p>
        </w:tc>
      </w:tr>
      <w:tr>
        <w:trPr>
          <w:trHeight w:val="20"/>
        </w:trPr>
        <w:tc>
          <w:tcPr>
            <w:tcW w:w="28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r>
    </w:tbl>
    <w:p>
      <w:pPr>
        <w:spacing w:after="0" w:line="33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CERC</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4700" w:type="dxa"/>
            <w:vAlign w:val="bottom"/>
          </w:tcPr>
          <w:p>
            <w:pPr>
              <w:spacing w:after="0"/>
              <w:rPr>
                <w:sz w:val="13"/>
                <w:szCs w:val="13"/>
                <w:color w:val="auto"/>
              </w:rPr>
            </w:pPr>
          </w:p>
        </w:tc>
        <w:tc>
          <w:tcPr>
            <w:tcW w:w="3360" w:type="dxa"/>
            <w:vAlign w:val="bottom"/>
            <w:tcBorders>
              <w:bottom w:val="single" w:sz="8" w:color="auto"/>
            </w:tcBorders>
            <w:gridSpan w:val="4"/>
          </w:tcPr>
          <w:p>
            <w:pPr>
              <w:jc w:val="right"/>
              <w:ind w:right="603"/>
              <w:spacing w:after="0"/>
              <w:rPr>
                <w:sz w:val="20"/>
                <w:szCs w:val="20"/>
                <w:color w:val="auto"/>
              </w:rPr>
            </w:pPr>
            <w:r>
              <w:rPr>
                <w:rFonts w:ascii="Arial" w:cs="Arial" w:eastAsia="Arial" w:hAnsi="Arial"/>
                <w:sz w:val="11"/>
                <w:szCs w:val="11"/>
                <w:b w:val="1"/>
                <w:bCs w:val="1"/>
                <w:color w:val="auto"/>
              </w:rPr>
              <w:t>Three Months Ended September 30, 2018</w:t>
            </w:r>
          </w:p>
        </w:tc>
        <w:tc>
          <w:tcPr>
            <w:tcW w:w="12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2960" w:type="dxa"/>
            <w:vAlign w:val="bottom"/>
            <w:tcBorders>
              <w:bottom w:val="single" w:sz="8" w:color="auto"/>
            </w:tcBorders>
            <w:gridSpan w:val="3"/>
          </w:tcPr>
          <w:p>
            <w:pPr>
              <w:jc w:val="right"/>
              <w:ind w:right="583"/>
              <w:spacing w:after="0"/>
              <w:rPr>
                <w:sz w:val="20"/>
                <w:szCs w:val="20"/>
                <w:color w:val="auto"/>
              </w:rPr>
            </w:pPr>
            <w:r>
              <w:rPr>
                <w:rFonts w:ascii="Arial" w:cs="Arial" w:eastAsia="Arial" w:hAnsi="Arial"/>
                <w:sz w:val="11"/>
                <w:szCs w:val="11"/>
                <w:b w:val="1"/>
                <w:bCs w:val="1"/>
                <w:color w:val="auto"/>
              </w:rPr>
              <w:t>Nine Months Ended September 30, 2018</w:t>
            </w:r>
          </w:p>
        </w:tc>
      </w:tr>
      <w:tr>
        <w:trPr>
          <w:trHeight w:val="206"/>
        </w:trPr>
        <w:tc>
          <w:tcPr>
            <w:tcW w:w="4700" w:type="dxa"/>
            <w:vAlign w:val="bottom"/>
          </w:tcPr>
          <w:p>
            <w:pPr>
              <w:spacing w:after="0"/>
              <w:rPr>
                <w:sz w:val="17"/>
                <w:szCs w:val="17"/>
                <w:color w:val="auto"/>
              </w:rPr>
            </w:pPr>
          </w:p>
        </w:tc>
        <w:tc>
          <w:tcPr>
            <w:tcW w:w="1100" w:type="dxa"/>
            <w:vAlign w:val="bottom"/>
            <w:tcBorders>
              <w:bottom w:val="single" w:sz="8" w:color="auto"/>
            </w:tcBorders>
          </w:tcPr>
          <w:p>
            <w:pPr>
              <w:jc w:val="right"/>
              <w:ind w:right="23"/>
              <w:spacing w:after="0"/>
              <w:rPr>
                <w:sz w:val="20"/>
                <w:szCs w:val="20"/>
                <w:color w:val="auto"/>
              </w:rPr>
            </w:pPr>
            <w:r>
              <w:rPr>
                <w:rFonts w:ascii="Arial" w:cs="Arial" w:eastAsia="Arial" w:hAnsi="Arial"/>
                <w:sz w:val="11"/>
                <w:szCs w:val="11"/>
                <w:b w:val="1"/>
                <w:bCs w:val="1"/>
                <w:color w:val="auto"/>
              </w:rPr>
              <w:t>Per Unit</w:t>
            </w:r>
          </w:p>
        </w:tc>
        <w:tc>
          <w:tcPr>
            <w:tcW w:w="6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323"/>
              <w:spacing w:after="0"/>
              <w:rPr>
                <w:sz w:val="20"/>
                <w:szCs w:val="20"/>
                <w:color w:val="auto"/>
              </w:rPr>
            </w:pPr>
            <w:r>
              <w:rPr>
                <w:rFonts w:ascii="Arial" w:cs="Arial" w:eastAsia="Arial" w:hAnsi="Arial"/>
                <w:sz w:val="11"/>
                <w:szCs w:val="11"/>
                <w:b w:val="1"/>
                <w:bCs w:val="1"/>
                <w:color w:val="auto"/>
              </w:rPr>
              <w:t>Cash Distribution</w:t>
            </w:r>
          </w:p>
        </w:tc>
        <w:tc>
          <w:tcPr>
            <w:tcW w:w="1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643"/>
              <w:spacing w:after="0"/>
              <w:rPr>
                <w:sz w:val="20"/>
                <w:szCs w:val="20"/>
                <w:color w:val="auto"/>
              </w:rPr>
            </w:pPr>
            <w:r>
              <w:rPr>
                <w:rFonts w:ascii="Arial" w:cs="Arial" w:eastAsia="Arial" w:hAnsi="Arial"/>
                <w:sz w:val="11"/>
                <w:szCs w:val="11"/>
                <w:b w:val="1"/>
                <w:bCs w:val="1"/>
                <w:color w:val="auto"/>
              </w:rPr>
              <w:t>Per Unit</w:t>
            </w:r>
          </w:p>
        </w:tc>
        <w:tc>
          <w:tcPr>
            <w:tcW w:w="2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303"/>
              <w:spacing w:after="0"/>
              <w:rPr>
                <w:sz w:val="20"/>
                <w:szCs w:val="20"/>
                <w:color w:val="auto"/>
              </w:rPr>
            </w:pPr>
            <w:r>
              <w:rPr>
                <w:rFonts w:ascii="Arial" w:cs="Arial" w:eastAsia="Arial" w:hAnsi="Arial"/>
                <w:sz w:val="11"/>
                <w:szCs w:val="11"/>
                <w:b w:val="1"/>
                <w:bCs w:val="1"/>
                <w:color w:val="auto"/>
              </w:rPr>
              <w:t>Cash Distribution</w:t>
            </w:r>
          </w:p>
        </w:tc>
      </w:tr>
      <w:tr>
        <w:trPr>
          <w:trHeight w:val="196"/>
        </w:trPr>
        <w:tc>
          <w:tcPr>
            <w:tcW w:w="47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20" w:type="dxa"/>
            <w:vAlign w:val="bottom"/>
            <w:gridSpan w:val="4"/>
          </w:tcPr>
          <w:p>
            <w:pPr>
              <w:jc w:val="right"/>
              <w:ind w:right="823"/>
              <w:spacing w:after="0"/>
              <w:rPr>
                <w:sz w:val="20"/>
                <w:szCs w:val="20"/>
                <w:color w:val="auto"/>
              </w:rPr>
            </w:pPr>
            <w:r>
              <w:rPr>
                <w:rFonts w:ascii="Arial" w:cs="Arial" w:eastAsia="Arial" w:hAnsi="Arial"/>
                <w:sz w:val="11"/>
                <w:szCs w:val="11"/>
                <w:b w:val="1"/>
                <w:bCs w:val="1"/>
                <w:color w:val="auto"/>
              </w:rPr>
              <w:t>(in millions, except per unit amounts)</w:t>
            </w: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16"/>
        </w:trPr>
        <w:tc>
          <w:tcPr>
            <w:tcW w:w="4700" w:type="dxa"/>
            <w:vAlign w:val="bottom"/>
            <w:shd w:val="clear" w:color="auto" w:fill="CCEEFF"/>
          </w:tcPr>
          <w:p>
            <w:pPr>
              <w:ind w:left="20"/>
              <w:spacing w:after="0"/>
              <w:rPr>
                <w:sz w:val="20"/>
                <w:szCs w:val="20"/>
                <w:color w:val="auto"/>
              </w:rPr>
            </w:pPr>
            <w:r>
              <w:rPr>
                <w:rFonts w:ascii="Arial" w:cs="Arial" w:eastAsia="Arial" w:hAnsi="Arial"/>
                <w:sz w:val="11"/>
                <w:szCs w:val="11"/>
                <w:color w:val="auto"/>
              </w:rPr>
              <w:t xml:space="preserve">Enable common units </w:t>
            </w:r>
            <w:r>
              <w:rPr>
                <w:rFonts w:ascii="Arial" w:cs="Arial" w:eastAsia="Arial" w:hAnsi="Arial"/>
                <w:sz w:val="8"/>
                <w:szCs w:val="8"/>
                <w:color w:val="auto"/>
              </w:rPr>
              <w:t>(1)</w:t>
            </w:r>
          </w:p>
        </w:tc>
        <w:tc>
          <w:tcPr>
            <w:tcW w:w="1100" w:type="dxa"/>
            <w:vAlign w:val="bottom"/>
            <w:shd w:val="clear" w:color="auto" w:fill="CCEEFF"/>
          </w:tcPr>
          <w:p>
            <w:pPr>
              <w:jc w:val="right"/>
              <w:ind w:right="963"/>
              <w:spacing w:after="0"/>
              <w:rPr>
                <w:sz w:val="20"/>
                <w:szCs w:val="20"/>
                <w:color w:val="auto"/>
              </w:rPr>
            </w:pPr>
            <w:r>
              <w:rPr>
                <w:rFonts w:ascii="Arial" w:cs="Arial" w:eastAsia="Arial" w:hAnsi="Arial"/>
                <w:sz w:val="11"/>
                <w:szCs w:val="11"/>
                <w:color w:val="auto"/>
                <w:w w:val="97"/>
              </w:rPr>
              <w:t>$</w:t>
            </w:r>
          </w:p>
        </w:tc>
        <w:tc>
          <w:tcPr>
            <w:tcW w:w="640" w:type="dxa"/>
            <w:vAlign w:val="bottom"/>
            <w:shd w:val="clear" w:color="auto" w:fill="CCEEFF"/>
          </w:tcPr>
          <w:p>
            <w:pPr>
              <w:jc w:val="right"/>
              <w:ind w:right="183"/>
              <w:spacing w:after="0"/>
              <w:rPr>
                <w:sz w:val="20"/>
                <w:szCs w:val="20"/>
                <w:color w:val="auto"/>
              </w:rPr>
            </w:pPr>
            <w:r>
              <w:rPr>
                <w:rFonts w:ascii="Arial" w:cs="Arial" w:eastAsia="Arial" w:hAnsi="Arial"/>
                <w:sz w:val="11"/>
                <w:szCs w:val="11"/>
                <w:color w:val="auto"/>
              </w:rPr>
              <w:t>0.3180</w:t>
            </w:r>
          </w:p>
        </w:tc>
        <w:tc>
          <w:tcPr>
            <w:tcW w:w="22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w w:val="97"/>
              </w:rPr>
              <w:t>$</w:t>
            </w:r>
          </w:p>
        </w:tc>
        <w:tc>
          <w:tcPr>
            <w:tcW w:w="140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color w:val="auto"/>
              </w:rPr>
              <w:t>74</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380" w:type="dxa"/>
            <w:vAlign w:val="bottom"/>
            <w:shd w:val="clear" w:color="auto" w:fill="CCEEFF"/>
          </w:tcPr>
          <w:p>
            <w:pPr>
              <w:jc w:val="right"/>
              <w:ind w:right="163"/>
              <w:spacing w:after="0"/>
              <w:rPr>
                <w:sz w:val="20"/>
                <w:szCs w:val="20"/>
                <w:color w:val="auto"/>
              </w:rPr>
            </w:pPr>
            <w:r>
              <w:rPr>
                <w:rFonts w:ascii="Arial" w:cs="Arial" w:eastAsia="Arial" w:hAnsi="Arial"/>
                <w:sz w:val="11"/>
                <w:szCs w:val="11"/>
                <w:color w:val="auto"/>
              </w:rPr>
              <w:t>0.9540</w:t>
            </w:r>
          </w:p>
        </w:tc>
        <w:tc>
          <w:tcPr>
            <w:tcW w:w="22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w w:val="97"/>
              </w:rPr>
              <w:t>$</w:t>
            </w:r>
          </w:p>
        </w:tc>
        <w:tc>
          <w:tcPr>
            <w:tcW w:w="136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1"/>
                <w:szCs w:val="11"/>
                <w:color w:val="auto"/>
              </w:rPr>
              <w:t>223</w:t>
            </w:r>
          </w:p>
        </w:tc>
      </w:tr>
      <w:tr>
        <w:trPr>
          <w:trHeight w:val="189"/>
        </w:trPr>
        <w:tc>
          <w:tcPr>
            <w:tcW w:w="4700" w:type="dxa"/>
            <w:vAlign w:val="bottom"/>
          </w:tcPr>
          <w:p>
            <w:pPr>
              <w:ind w:left="360"/>
              <w:spacing w:after="0"/>
              <w:rPr>
                <w:sz w:val="20"/>
                <w:szCs w:val="20"/>
                <w:color w:val="auto"/>
              </w:rPr>
            </w:pPr>
            <w:r>
              <w:rPr>
                <w:rFonts w:ascii="Arial" w:cs="Arial" w:eastAsia="Arial" w:hAnsi="Arial"/>
                <w:sz w:val="11"/>
                <w:szCs w:val="11"/>
                <w:b w:val="1"/>
                <w:bCs w:val="1"/>
                <w:color w:val="auto"/>
              </w:rPr>
              <w:t>Total CERC</w:t>
            </w:r>
          </w:p>
        </w:tc>
        <w:tc>
          <w:tcPr>
            <w:tcW w:w="1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w w:val="97"/>
              </w:rPr>
              <w:t>$</w:t>
            </w:r>
          </w:p>
        </w:tc>
        <w:tc>
          <w:tcPr>
            <w:tcW w:w="140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color w:val="auto"/>
              </w:rPr>
              <w:t>74</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2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w w:val="97"/>
              </w:rPr>
              <w:t>$</w:t>
            </w:r>
          </w:p>
        </w:tc>
        <w:tc>
          <w:tcPr>
            <w:tcW w:w="136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auto"/>
              </w:rPr>
              <w:t>223</w:t>
            </w:r>
          </w:p>
        </w:tc>
      </w:tr>
      <w:tr>
        <w:trPr>
          <w:trHeight w:val="20"/>
        </w:trPr>
        <w:tc>
          <w:tcPr>
            <w:tcW w:w="47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3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42</w:t>
      </w:r>
    </w:p>
    <w:p>
      <w:pPr>
        <w:sectPr>
          <w:pgSz w:w="11900" w:h="16838" w:orient="portrait"/>
          <w:cols w:equalWidth="0" w:num="1">
            <w:col w:w="11460"/>
          </w:cols>
          <w:pgMar w:left="220" w:top="129" w:right="219" w:bottom="1440" w:gutter="0" w:footer="0" w:header="0"/>
        </w:sectPr>
      </w:pPr>
    </w:p>
    <w:bookmarkStart w:id="52" w:name="page53"/>
    <w:bookmarkEnd w:id="52"/>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205" w:lineRule="exact"/>
        <w:rPr>
          <w:sz w:val="20"/>
          <w:szCs w:val="20"/>
          <w:color w:val="auto"/>
        </w:rPr>
      </w:pPr>
    </w:p>
    <w:p>
      <w:pPr>
        <w:ind w:left="260"/>
        <w:spacing w:after="0"/>
        <w:rPr>
          <w:sz w:val="20"/>
          <w:szCs w:val="20"/>
          <w:color w:val="auto"/>
        </w:rPr>
      </w:pPr>
      <w:r>
        <w:rPr>
          <w:rFonts w:ascii="Arial" w:cs="Arial" w:eastAsia="Arial" w:hAnsi="Arial"/>
          <w:sz w:val="14"/>
          <w:szCs w:val="14"/>
          <w:color w:val="auto"/>
        </w:rPr>
        <w:t>(1)  Prior to the Internal Spin in September 2018, distributions from Enable were received by CERC. After such date, distributions from Enable were received by CenterPoint Energy.</w:t>
      </w:r>
    </w:p>
    <w:p>
      <w:pPr>
        <w:spacing w:after="0" w:line="184" w:lineRule="exact"/>
        <w:rPr>
          <w:sz w:val="20"/>
          <w:szCs w:val="20"/>
          <w:color w:val="auto"/>
        </w:rPr>
      </w:pPr>
    </w:p>
    <w:p>
      <w:pPr>
        <w:ind w:left="140"/>
        <w:spacing w:after="0"/>
        <w:rPr>
          <w:sz w:val="20"/>
          <w:szCs w:val="20"/>
          <w:color w:val="auto"/>
        </w:rPr>
      </w:pPr>
      <w:r>
        <w:rPr>
          <w:rFonts w:ascii="Arial" w:cs="Arial" w:eastAsia="Arial" w:hAnsi="Arial"/>
          <w:sz w:val="14"/>
          <w:szCs w:val="14"/>
          <w:b w:val="1"/>
          <w:bCs w:val="1"/>
          <w:i w:val="1"/>
          <w:iCs w:val="1"/>
          <w:color w:val="auto"/>
        </w:rPr>
        <w:t>Transactions with Enable (CenterPoint Energy and CERC):</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5160" w:type="dxa"/>
            <w:vAlign w:val="bottom"/>
          </w:tcPr>
          <w:p>
            <w:pPr>
              <w:spacing w:after="0"/>
              <w:rPr>
                <w:sz w:val="13"/>
                <w:szCs w:val="13"/>
                <w:color w:val="auto"/>
              </w:rPr>
            </w:pPr>
          </w:p>
        </w:tc>
        <w:tc>
          <w:tcPr>
            <w:tcW w:w="2680" w:type="dxa"/>
            <w:vAlign w:val="bottom"/>
            <w:tcBorders>
              <w:bottom w:val="single" w:sz="8" w:color="auto"/>
            </w:tcBorders>
            <w:gridSpan w:val="3"/>
          </w:tcPr>
          <w:p>
            <w:pPr>
              <w:jc w:val="right"/>
              <w:ind w:right="155"/>
              <w:spacing w:after="0"/>
              <w:rPr>
                <w:sz w:val="20"/>
                <w:szCs w:val="20"/>
                <w:color w:val="auto"/>
              </w:rPr>
            </w:pPr>
            <w:r>
              <w:rPr>
                <w:rFonts w:ascii="Arial" w:cs="Arial" w:eastAsia="Arial" w:hAnsi="Arial"/>
                <w:sz w:val="11"/>
                <w:szCs w:val="11"/>
                <w:b w:val="1"/>
                <w:bCs w:val="1"/>
                <w:color w:val="auto"/>
              </w:rPr>
              <w:t>Three Months Ended September 30,</w:t>
            </w:r>
          </w:p>
        </w:tc>
        <w:tc>
          <w:tcPr>
            <w:tcW w:w="4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2640" w:type="dxa"/>
            <w:vAlign w:val="bottom"/>
            <w:tcBorders>
              <w:bottom w:val="single" w:sz="8" w:color="auto"/>
            </w:tcBorders>
            <w:gridSpan w:val="3"/>
          </w:tcPr>
          <w:p>
            <w:pPr>
              <w:jc w:val="right"/>
              <w:ind w:right="591"/>
              <w:spacing w:after="0"/>
              <w:rPr>
                <w:sz w:val="20"/>
                <w:szCs w:val="20"/>
                <w:color w:val="auto"/>
              </w:rPr>
            </w:pPr>
            <w:r>
              <w:rPr>
                <w:rFonts w:ascii="Arial" w:cs="Arial" w:eastAsia="Arial" w:hAnsi="Arial"/>
                <w:sz w:val="11"/>
                <w:szCs w:val="11"/>
                <w:b w:val="1"/>
                <w:bCs w:val="1"/>
                <w:color w:val="auto"/>
              </w:rPr>
              <w:t>Nine Months Ended September 30,</w:t>
            </w:r>
          </w:p>
        </w:tc>
      </w:tr>
      <w:tr>
        <w:trPr>
          <w:trHeight w:val="206"/>
        </w:trPr>
        <w:tc>
          <w:tcPr>
            <w:tcW w:w="5160" w:type="dxa"/>
            <w:vAlign w:val="bottom"/>
          </w:tcPr>
          <w:p>
            <w:pPr>
              <w:spacing w:after="0"/>
              <w:rPr>
                <w:sz w:val="17"/>
                <w:szCs w:val="17"/>
                <w:color w:val="auto"/>
              </w:rPr>
            </w:pPr>
          </w:p>
        </w:tc>
        <w:tc>
          <w:tcPr>
            <w:tcW w:w="1060" w:type="dxa"/>
            <w:vAlign w:val="bottom"/>
            <w:tcBorders>
              <w:bottom w:val="single" w:sz="8" w:color="auto"/>
            </w:tcBorders>
          </w:tcPr>
          <w:p>
            <w:pPr>
              <w:jc w:val="right"/>
              <w:ind w:right="118"/>
              <w:spacing w:after="0"/>
              <w:rPr>
                <w:sz w:val="20"/>
                <w:szCs w:val="20"/>
                <w:color w:val="auto"/>
              </w:rPr>
            </w:pPr>
            <w:r>
              <w:rPr>
                <w:rFonts w:ascii="Arial" w:cs="Arial" w:eastAsia="Arial" w:hAnsi="Arial"/>
                <w:sz w:val="11"/>
                <w:szCs w:val="11"/>
                <w:b w:val="1"/>
                <w:bCs w:val="1"/>
                <w:color w:val="auto"/>
              </w:rPr>
              <w:t>2019</w:t>
            </w:r>
          </w:p>
        </w:tc>
        <w:tc>
          <w:tcPr>
            <w:tcW w:w="4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135"/>
              <w:spacing w:after="0"/>
              <w:rPr>
                <w:sz w:val="20"/>
                <w:szCs w:val="20"/>
                <w:color w:val="auto"/>
              </w:rPr>
            </w:pPr>
            <w:r>
              <w:rPr>
                <w:rFonts w:ascii="Arial" w:cs="Arial" w:eastAsia="Arial" w:hAnsi="Arial"/>
                <w:sz w:val="11"/>
                <w:szCs w:val="11"/>
                <w:b w:val="1"/>
                <w:bCs w:val="1"/>
                <w:color w:val="auto"/>
              </w:rPr>
              <w:t>2018</w:t>
            </w:r>
          </w:p>
        </w:tc>
        <w:tc>
          <w:tcPr>
            <w:tcW w:w="4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573"/>
              <w:spacing w:after="0"/>
              <w:rPr>
                <w:sz w:val="20"/>
                <w:szCs w:val="20"/>
                <w:color w:val="auto"/>
              </w:rPr>
            </w:pPr>
            <w:r>
              <w:rPr>
                <w:rFonts w:ascii="Arial" w:cs="Arial" w:eastAsia="Arial" w:hAnsi="Arial"/>
                <w:sz w:val="11"/>
                <w:szCs w:val="11"/>
                <w:b w:val="1"/>
                <w:bCs w:val="1"/>
                <w:color w:val="auto"/>
              </w:rPr>
              <w:t>2019</w:t>
            </w:r>
          </w:p>
        </w:tc>
        <w:tc>
          <w:tcPr>
            <w:tcW w:w="4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551"/>
              <w:spacing w:after="0"/>
              <w:rPr>
                <w:sz w:val="20"/>
                <w:szCs w:val="20"/>
                <w:color w:val="auto"/>
              </w:rPr>
            </w:pPr>
            <w:r>
              <w:rPr>
                <w:rFonts w:ascii="Arial" w:cs="Arial" w:eastAsia="Arial" w:hAnsi="Arial"/>
                <w:sz w:val="11"/>
                <w:szCs w:val="11"/>
                <w:b w:val="1"/>
                <w:bCs w:val="1"/>
                <w:color w:val="auto"/>
              </w:rPr>
              <w:t>2018</w:t>
            </w:r>
          </w:p>
        </w:tc>
      </w:tr>
      <w:tr>
        <w:trPr>
          <w:trHeight w:val="191"/>
        </w:trPr>
        <w:tc>
          <w:tcPr>
            <w:tcW w:w="5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980" w:type="dxa"/>
            <w:vAlign w:val="bottom"/>
            <w:gridSpan w:val="3"/>
          </w:tcPr>
          <w:p>
            <w:pPr>
              <w:jc w:val="right"/>
              <w:ind w:right="128"/>
              <w:spacing w:after="0"/>
              <w:rPr>
                <w:sz w:val="20"/>
                <w:szCs w:val="20"/>
                <w:color w:val="auto"/>
              </w:rPr>
            </w:pPr>
            <w:r>
              <w:rPr>
                <w:rFonts w:ascii="Arial" w:cs="Arial" w:eastAsia="Arial" w:hAnsi="Arial"/>
                <w:sz w:val="11"/>
                <w:szCs w:val="11"/>
                <w:b w:val="1"/>
                <w:bCs w:val="1"/>
                <w:color w:val="auto"/>
              </w:rPr>
              <w:t>(in millions)</w:t>
            </w:r>
          </w:p>
        </w:tc>
        <w:tc>
          <w:tcPr>
            <w:tcW w:w="10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02"/>
        </w:trPr>
        <w:tc>
          <w:tcPr>
            <w:tcW w:w="5160" w:type="dxa"/>
            <w:vAlign w:val="bottom"/>
          </w:tcPr>
          <w:p>
            <w:pPr>
              <w:ind w:left="20"/>
              <w:spacing w:after="0"/>
              <w:rPr>
                <w:sz w:val="20"/>
                <w:szCs w:val="20"/>
                <w:color w:val="auto"/>
              </w:rPr>
            </w:pPr>
            <w:r>
              <w:rPr>
                <w:rFonts w:ascii="Arial" w:cs="Arial" w:eastAsia="Arial" w:hAnsi="Arial"/>
                <w:sz w:val="14"/>
                <w:szCs w:val="14"/>
                <w:b w:val="1"/>
                <w:bCs w:val="1"/>
                <w:color w:val="auto"/>
              </w:rPr>
              <w:t>CenterPoint Energy</w:t>
            </w:r>
          </w:p>
        </w:tc>
        <w:tc>
          <w:tcPr>
            <w:tcW w:w="10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3"/>
        </w:trPr>
        <w:tc>
          <w:tcPr>
            <w:tcW w:w="5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96"/>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 xml:space="preserve">Natural gas expenses, including transportation and storage costs </w:t>
            </w:r>
            <w:r>
              <w:rPr>
                <w:rFonts w:ascii="Arial" w:cs="Arial" w:eastAsia="Arial" w:hAnsi="Arial"/>
                <w:sz w:val="11"/>
                <w:szCs w:val="11"/>
                <w:color w:val="auto"/>
              </w:rPr>
              <w:t>(1)</w:t>
            </w:r>
          </w:p>
        </w:tc>
        <w:tc>
          <w:tcPr>
            <w:tcW w:w="1060" w:type="dxa"/>
            <w:vAlign w:val="bottom"/>
            <w:tcBorders>
              <w:bottom w:val="single" w:sz="8" w:color="CCEEFF"/>
            </w:tcBorders>
            <w:shd w:val="clear" w:color="auto" w:fill="CCEEFF"/>
          </w:tcPr>
          <w:p>
            <w:pPr>
              <w:jc w:val="right"/>
              <w:ind w:right="898"/>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26</w:t>
            </w:r>
          </w:p>
        </w:tc>
        <w:tc>
          <w:tcPr>
            <w:tcW w:w="1160" w:type="dxa"/>
            <w:vAlign w:val="bottom"/>
            <w:tcBorders>
              <w:bottom w:val="single" w:sz="8" w:color="CCEEFF"/>
            </w:tcBorders>
            <w:shd w:val="clear" w:color="auto" w:fill="CCEEFF"/>
          </w:tcPr>
          <w:p>
            <w:pPr>
              <w:jc w:val="right"/>
              <w:ind w:right="895"/>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23</w:t>
            </w:r>
          </w:p>
        </w:tc>
        <w:tc>
          <w:tcPr>
            <w:tcW w:w="12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4"/>
                <w:szCs w:val="14"/>
                <w:color w:val="auto"/>
              </w:rPr>
              <w:t>89</w:t>
            </w:r>
          </w:p>
        </w:tc>
        <w:tc>
          <w:tcPr>
            <w:tcW w:w="460" w:type="dxa"/>
            <w:vAlign w:val="bottom"/>
            <w:tcBorders>
              <w:bottom w:val="single" w:sz="8" w:color="CCEEFF"/>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89</w:t>
            </w:r>
          </w:p>
        </w:tc>
      </w:tr>
      <w:tr>
        <w:trPr>
          <w:trHeight w:val="193"/>
        </w:trPr>
        <w:tc>
          <w:tcPr>
            <w:tcW w:w="5160" w:type="dxa"/>
            <w:vAlign w:val="bottom"/>
          </w:tcPr>
          <w:p>
            <w:pPr>
              <w:ind w:left="20"/>
              <w:spacing w:after="0"/>
              <w:rPr>
                <w:sz w:val="20"/>
                <w:szCs w:val="20"/>
                <w:color w:val="auto"/>
              </w:rPr>
            </w:pPr>
            <w:r>
              <w:rPr>
                <w:rFonts w:ascii="Arial" w:cs="Arial" w:eastAsia="Arial" w:hAnsi="Arial"/>
                <w:sz w:val="14"/>
                <w:szCs w:val="14"/>
                <w:color w:val="auto"/>
              </w:rPr>
              <w:t xml:space="preserve">Reimbursement of support services </w:t>
            </w:r>
            <w:r>
              <w:rPr>
                <w:rFonts w:ascii="Arial" w:cs="Arial" w:eastAsia="Arial" w:hAnsi="Arial"/>
                <w:sz w:val="11"/>
                <w:szCs w:val="11"/>
                <w:color w:val="auto"/>
              </w:rPr>
              <w:t>(2)</w:t>
            </w:r>
          </w:p>
        </w:tc>
        <w:tc>
          <w:tcPr>
            <w:tcW w:w="1060" w:type="dxa"/>
            <w:vAlign w:val="bottom"/>
          </w:tcPr>
          <w:p>
            <w:pPr>
              <w:spacing w:after="0"/>
              <w:rPr>
                <w:sz w:val="16"/>
                <w:szCs w:val="16"/>
                <w:color w:val="auto"/>
              </w:rPr>
            </w:pPr>
          </w:p>
        </w:tc>
        <w:tc>
          <w:tcPr>
            <w:tcW w:w="4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160" w:type="dxa"/>
            <w:vAlign w:val="bottom"/>
          </w:tcPr>
          <w:p>
            <w:pPr>
              <w:spacing w:after="0"/>
              <w:rPr>
                <w:sz w:val="16"/>
                <w:szCs w:val="16"/>
                <w:color w:val="auto"/>
              </w:rPr>
            </w:pPr>
          </w:p>
        </w:tc>
        <w:tc>
          <w:tcPr>
            <w:tcW w:w="440" w:type="dxa"/>
            <w:vAlign w:val="bottom"/>
          </w:tcPr>
          <w:p>
            <w:pPr>
              <w:jc w:val="right"/>
              <w:ind w:right="51"/>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80" w:type="dxa"/>
            <w:vAlign w:val="bottom"/>
          </w:tcPr>
          <w:p>
            <w:pPr>
              <w:jc w:val="right"/>
              <w:ind w:right="53"/>
              <w:spacing w:after="0"/>
              <w:rPr>
                <w:sz w:val="20"/>
                <w:szCs w:val="20"/>
                <w:color w:val="auto"/>
              </w:rPr>
            </w:pPr>
            <w:r>
              <w:rPr>
                <w:rFonts w:ascii="Arial" w:cs="Arial" w:eastAsia="Arial" w:hAnsi="Arial"/>
                <w:sz w:val="14"/>
                <w:szCs w:val="14"/>
                <w:color w:val="auto"/>
              </w:rPr>
              <w:t>3</w:t>
            </w:r>
          </w:p>
        </w:tc>
        <w:tc>
          <w:tcPr>
            <w:tcW w:w="460" w:type="dxa"/>
            <w:vAlign w:val="bottom"/>
          </w:tcPr>
          <w:p>
            <w:pPr>
              <w:spacing w:after="0"/>
              <w:rPr>
                <w:sz w:val="16"/>
                <w:szCs w:val="16"/>
                <w:color w:val="auto"/>
              </w:rPr>
            </w:pPr>
          </w:p>
        </w:tc>
        <w:tc>
          <w:tcPr>
            <w:tcW w:w="1100" w:type="dxa"/>
            <w:vAlign w:val="bottom"/>
          </w:tcPr>
          <w:p>
            <w:pPr>
              <w:jc w:val="right"/>
              <w:ind w:right="31"/>
              <w:spacing w:after="0"/>
              <w:rPr>
                <w:sz w:val="20"/>
                <w:szCs w:val="20"/>
                <w:color w:val="auto"/>
              </w:rPr>
            </w:pPr>
            <w:r>
              <w:rPr>
                <w:rFonts w:ascii="Arial" w:cs="Arial" w:eastAsia="Arial" w:hAnsi="Arial"/>
                <w:sz w:val="14"/>
                <w:szCs w:val="14"/>
                <w:color w:val="auto"/>
              </w:rPr>
              <w:t>4</w:t>
            </w:r>
          </w:p>
        </w:tc>
      </w:tr>
      <w:tr>
        <w:trPr>
          <w:trHeight w:val="23"/>
        </w:trPr>
        <w:tc>
          <w:tcPr>
            <w:tcW w:w="5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96"/>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CERC</w:t>
            </w:r>
          </w:p>
        </w:tc>
        <w:tc>
          <w:tcPr>
            <w:tcW w:w="106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r>
      <w:tr>
        <w:trPr>
          <w:trHeight w:val="193"/>
        </w:trPr>
        <w:tc>
          <w:tcPr>
            <w:tcW w:w="5160" w:type="dxa"/>
            <w:vAlign w:val="bottom"/>
          </w:tcPr>
          <w:p>
            <w:pPr>
              <w:ind w:left="20"/>
              <w:spacing w:after="0"/>
              <w:rPr>
                <w:sz w:val="20"/>
                <w:szCs w:val="20"/>
                <w:color w:val="auto"/>
              </w:rPr>
            </w:pPr>
            <w:r>
              <w:rPr>
                <w:rFonts w:ascii="Arial" w:cs="Arial" w:eastAsia="Arial" w:hAnsi="Arial"/>
                <w:sz w:val="14"/>
                <w:szCs w:val="14"/>
                <w:color w:val="auto"/>
              </w:rPr>
              <w:t xml:space="preserve">Natural gas expenses, including transportation and storage costs </w:t>
            </w:r>
            <w:r>
              <w:rPr>
                <w:rFonts w:ascii="Arial" w:cs="Arial" w:eastAsia="Arial" w:hAnsi="Arial"/>
                <w:sz w:val="11"/>
                <w:szCs w:val="11"/>
                <w:color w:val="auto"/>
              </w:rPr>
              <w:t>(1)</w:t>
            </w:r>
          </w:p>
        </w:tc>
        <w:tc>
          <w:tcPr>
            <w:tcW w:w="1060" w:type="dxa"/>
            <w:vAlign w:val="bottom"/>
          </w:tcPr>
          <w:p>
            <w:pPr>
              <w:spacing w:after="0"/>
              <w:rPr>
                <w:sz w:val="16"/>
                <w:szCs w:val="16"/>
                <w:color w:val="auto"/>
              </w:rPr>
            </w:pPr>
          </w:p>
        </w:tc>
        <w:tc>
          <w:tcPr>
            <w:tcW w:w="460" w:type="dxa"/>
            <w:vAlign w:val="bottom"/>
          </w:tcPr>
          <w:p>
            <w:pPr>
              <w:jc w:val="right"/>
              <w:ind w:right="68"/>
              <w:spacing w:after="0"/>
              <w:rPr>
                <w:sz w:val="20"/>
                <w:szCs w:val="20"/>
                <w:color w:val="auto"/>
              </w:rPr>
            </w:pPr>
            <w:r>
              <w:rPr>
                <w:rFonts w:ascii="Arial" w:cs="Arial" w:eastAsia="Arial" w:hAnsi="Arial"/>
                <w:sz w:val="14"/>
                <w:szCs w:val="14"/>
                <w:color w:val="auto"/>
              </w:rPr>
              <w:t>26</w:t>
            </w:r>
          </w:p>
        </w:tc>
        <w:tc>
          <w:tcPr>
            <w:tcW w:w="1160" w:type="dxa"/>
            <w:vAlign w:val="bottom"/>
          </w:tcPr>
          <w:p>
            <w:pPr>
              <w:spacing w:after="0"/>
              <w:rPr>
                <w:sz w:val="16"/>
                <w:szCs w:val="16"/>
                <w:color w:val="auto"/>
              </w:rPr>
            </w:pPr>
          </w:p>
        </w:tc>
        <w:tc>
          <w:tcPr>
            <w:tcW w:w="440" w:type="dxa"/>
            <w:vAlign w:val="bottom"/>
          </w:tcPr>
          <w:p>
            <w:pPr>
              <w:jc w:val="right"/>
              <w:ind w:right="51"/>
              <w:spacing w:after="0"/>
              <w:rPr>
                <w:sz w:val="20"/>
                <w:szCs w:val="20"/>
                <w:color w:val="auto"/>
              </w:rPr>
            </w:pPr>
            <w:r>
              <w:rPr>
                <w:rFonts w:ascii="Arial" w:cs="Arial" w:eastAsia="Arial" w:hAnsi="Arial"/>
                <w:sz w:val="14"/>
                <w:szCs w:val="14"/>
                <w:color w:val="auto"/>
              </w:rPr>
              <w:t>23</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80" w:type="dxa"/>
            <w:vAlign w:val="bottom"/>
          </w:tcPr>
          <w:p>
            <w:pPr>
              <w:jc w:val="right"/>
              <w:ind w:right="53"/>
              <w:spacing w:after="0"/>
              <w:rPr>
                <w:sz w:val="20"/>
                <w:szCs w:val="20"/>
                <w:color w:val="auto"/>
              </w:rPr>
            </w:pPr>
            <w:r>
              <w:rPr>
                <w:rFonts w:ascii="Arial" w:cs="Arial" w:eastAsia="Arial" w:hAnsi="Arial"/>
                <w:sz w:val="14"/>
                <w:szCs w:val="14"/>
                <w:color w:val="auto"/>
              </w:rPr>
              <w:t>89</w:t>
            </w:r>
          </w:p>
        </w:tc>
        <w:tc>
          <w:tcPr>
            <w:tcW w:w="460" w:type="dxa"/>
            <w:vAlign w:val="bottom"/>
          </w:tcPr>
          <w:p>
            <w:pPr>
              <w:spacing w:after="0"/>
              <w:rPr>
                <w:sz w:val="16"/>
                <w:szCs w:val="16"/>
                <w:color w:val="auto"/>
              </w:rPr>
            </w:pPr>
          </w:p>
        </w:tc>
        <w:tc>
          <w:tcPr>
            <w:tcW w:w="1100" w:type="dxa"/>
            <w:vAlign w:val="bottom"/>
          </w:tcPr>
          <w:p>
            <w:pPr>
              <w:jc w:val="right"/>
              <w:ind w:right="31"/>
              <w:spacing w:after="0"/>
              <w:rPr>
                <w:sz w:val="20"/>
                <w:szCs w:val="20"/>
                <w:color w:val="auto"/>
              </w:rPr>
            </w:pPr>
            <w:r>
              <w:rPr>
                <w:rFonts w:ascii="Arial" w:cs="Arial" w:eastAsia="Arial" w:hAnsi="Arial"/>
                <w:sz w:val="14"/>
                <w:szCs w:val="14"/>
                <w:color w:val="auto"/>
              </w:rPr>
              <w:t>89</w:t>
            </w:r>
          </w:p>
        </w:tc>
      </w:tr>
      <w:tr>
        <w:trPr>
          <w:trHeight w:val="23"/>
        </w:trPr>
        <w:tc>
          <w:tcPr>
            <w:tcW w:w="5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93"/>
        </w:trPr>
        <w:tc>
          <w:tcPr>
            <w:tcW w:w="5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 xml:space="preserve">Reimbursement of support services </w:t>
            </w:r>
            <w:r>
              <w:rPr>
                <w:rFonts w:ascii="Arial" w:cs="Arial" w:eastAsia="Arial" w:hAnsi="Arial"/>
                <w:sz w:val="11"/>
                <w:szCs w:val="11"/>
                <w:color w:val="auto"/>
              </w:rPr>
              <w:t>(2)</w:t>
            </w:r>
          </w:p>
        </w:tc>
        <w:tc>
          <w:tcPr>
            <w:tcW w:w="1060" w:type="dxa"/>
            <w:vAlign w:val="bottom"/>
            <w:shd w:val="clear" w:color="auto" w:fill="CCEEFF"/>
          </w:tcPr>
          <w:p>
            <w:pPr>
              <w:spacing w:after="0"/>
              <w:rPr>
                <w:sz w:val="16"/>
                <w:szCs w:val="16"/>
                <w:color w:val="auto"/>
              </w:rPr>
            </w:pPr>
          </w:p>
        </w:tc>
        <w:tc>
          <w:tcPr>
            <w:tcW w:w="4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spacing w:after="0"/>
              <w:rPr>
                <w:sz w:val="16"/>
                <w:szCs w:val="16"/>
                <w:color w:val="auto"/>
              </w:rPr>
            </w:pPr>
          </w:p>
        </w:tc>
        <w:tc>
          <w:tcPr>
            <w:tcW w:w="44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53"/>
              <w:spacing w:after="0"/>
              <w:rPr>
                <w:sz w:val="20"/>
                <w:szCs w:val="20"/>
                <w:color w:val="auto"/>
              </w:rPr>
            </w:pPr>
            <w:r>
              <w:rPr>
                <w:rFonts w:ascii="Arial" w:cs="Arial" w:eastAsia="Arial" w:hAnsi="Arial"/>
                <w:sz w:val="14"/>
                <w:szCs w:val="14"/>
                <w:color w:val="auto"/>
              </w:rPr>
              <w:t>3</w:t>
            </w:r>
          </w:p>
        </w:tc>
        <w:tc>
          <w:tcPr>
            <w:tcW w:w="46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4</w:t>
            </w:r>
          </w:p>
        </w:tc>
      </w:tr>
      <w:tr>
        <w:trPr>
          <w:trHeight w:val="23"/>
        </w:trPr>
        <w:tc>
          <w:tcPr>
            <w:tcW w:w="5160" w:type="dxa"/>
            <w:vAlign w:val="bottom"/>
            <w:shd w:val="clear" w:color="auto" w:fill="CCEEFF"/>
          </w:tcPr>
          <w:p>
            <w:pPr>
              <w:spacing w:after="0" w:line="20" w:lineRule="exact"/>
              <w:rPr>
                <w:sz w:val="1"/>
                <w:szCs w:val="1"/>
                <w:color w:val="auto"/>
              </w:rPr>
            </w:pPr>
          </w:p>
        </w:tc>
        <w:tc>
          <w:tcPr>
            <w:tcW w:w="106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16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08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r>
    </w:tbl>
    <w:p>
      <w:pPr>
        <w:spacing w:after="0" w:line="162" w:lineRule="exact"/>
        <w:rPr>
          <w:sz w:val="20"/>
          <w:szCs w:val="20"/>
          <w:color w:val="auto"/>
        </w:rPr>
      </w:pPr>
    </w:p>
    <w:p>
      <w:pPr>
        <w:ind w:left="520" w:hanging="255"/>
        <w:spacing w:after="0"/>
        <w:tabs>
          <w:tab w:leader="none" w:pos="5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Included in Non-utility costs of revenues, including natural gas on CenterPoint Energy’s and CERC’s respective Condensed Statements of Consolidated Income.</w:t>
      </w:r>
    </w:p>
    <w:p>
      <w:pPr>
        <w:spacing w:after="0" w:line="183" w:lineRule="exact"/>
        <w:rPr>
          <w:rFonts w:ascii="Arial" w:cs="Arial" w:eastAsia="Arial" w:hAnsi="Arial"/>
          <w:sz w:val="14"/>
          <w:szCs w:val="14"/>
          <w:color w:val="auto"/>
        </w:rPr>
      </w:pPr>
    </w:p>
    <w:p>
      <w:pPr>
        <w:ind w:left="520" w:hanging="255"/>
        <w:spacing w:after="0"/>
        <w:tabs>
          <w:tab w:leader="none" w:pos="5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Represents amounts billed for certain support services provided to Enable. Actual support services costs are recorded net of reimbursement.</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51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760" w:type="dxa"/>
            <w:vAlign w:val="bottom"/>
            <w:tcBorders>
              <w:bottom w:val="single" w:sz="8" w:color="auto"/>
            </w:tcBorders>
            <w:gridSpan w:val="4"/>
          </w:tcPr>
          <w:p>
            <w:pPr>
              <w:jc w:val="right"/>
              <w:ind w:right="274"/>
              <w:spacing w:after="0"/>
              <w:rPr>
                <w:sz w:val="20"/>
                <w:szCs w:val="20"/>
                <w:color w:val="auto"/>
              </w:rPr>
            </w:pPr>
            <w:r>
              <w:rPr>
                <w:rFonts w:ascii="Arial" w:cs="Arial" w:eastAsia="Arial" w:hAnsi="Arial"/>
                <w:sz w:val="11"/>
                <w:szCs w:val="11"/>
                <w:b w:val="1"/>
                <w:bCs w:val="1"/>
                <w:color w:val="auto"/>
              </w:rPr>
              <w:t>September 30, 2019</w:t>
            </w:r>
          </w:p>
        </w:tc>
        <w:tc>
          <w:tcPr>
            <w:tcW w:w="4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ind w:right="370"/>
              <w:spacing w:after="0"/>
              <w:rPr>
                <w:sz w:val="20"/>
                <w:szCs w:val="20"/>
                <w:color w:val="auto"/>
              </w:rPr>
            </w:pPr>
            <w:r>
              <w:rPr>
                <w:rFonts w:ascii="Arial" w:cs="Arial" w:eastAsia="Arial" w:hAnsi="Arial"/>
                <w:sz w:val="11"/>
                <w:szCs w:val="11"/>
                <w:b w:val="1"/>
                <w:bCs w:val="1"/>
                <w:color w:val="auto"/>
                <w:w w:val="90"/>
              </w:rPr>
              <w:t>December 31, 2018</w:t>
            </w:r>
          </w:p>
        </w:tc>
      </w:tr>
      <w:tr>
        <w:trPr>
          <w:trHeight w:val="191"/>
        </w:trPr>
        <w:tc>
          <w:tcPr>
            <w:tcW w:w="5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80" w:type="dxa"/>
            <w:vAlign w:val="bottom"/>
            <w:gridSpan w:val="3"/>
          </w:tcPr>
          <w:p>
            <w:pPr>
              <w:ind w:left="480"/>
              <w:spacing w:after="0"/>
              <w:rPr>
                <w:sz w:val="20"/>
                <w:szCs w:val="20"/>
                <w:color w:val="auto"/>
              </w:rPr>
            </w:pPr>
            <w:r>
              <w:rPr>
                <w:rFonts w:ascii="Arial" w:cs="Arial" w:eastAsia="Arial" w:hAnsi="Arial"/>
                <w:sz w:val="11"/>
                <w:szCs w:val="11"/>
                <w:b w:val="1"/>
                <w:bCs w:val="1"/>
                <w:color w:val="auto"/>
              </w:rPr>
              <w:t>(in millions)</w:t>
            </w: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02"/>
        </w:trPr>
        <w:tc>
          <w:tcPr>
            <w:tcW w:w="5160" w:type="dxa"/>
            <w:vAlign w:val="bottom"/>
          </w:tcPr>
          <w:p>
            <w:pPr>
              <w:ind w:left="20"/>
              <w:spacing w:after="0"/>
              <w:rPr>
                <w:sz w:val="20"/>
                <w:szCs w:val="20"/>
                <w:color w:val="auto"/>
              </w:rPr>
            </w:pPr>
            <w:r>
              <w:rPr>
                <w:rFonts w:ascii="Arial" w:cs="Arial" w:eastAsia="Arial" w:hAnsi="Arial"/>
                <w:sz w:val="14"/>
                <w:szCs w:val="14"/>
                <w:b w:val="1"/>
                <w:bCs w:val="1"/>
                <w:color w:val="auto"/>
              </w:rPr>
              <w:t>CenterPoint Energy</w:t>
            </w:r>
          </w:p>
        </w:tc>
        <w:tc>
          <w:tcPr>
            <w:tcW w:w="10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3"/>
        </w:trPr>
        <w:tc>
          <w:tcPr>
            <w:tcW w:w="5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196"/>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Accounts payable for natural gas purchases from Enable</w:t>
            </w:r>
          </w:p>
        </w:tc>
        <w:tc>
          <w:tcPr>
            <w:tcW w:w="102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ind w:right="431"/>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44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11</w:t>
            </w:r>
          </w:p>
        </w:tc>
      </w:tr>
      <w:tr>
        <w:trPr>
          <w:trHeight w:val="193"/>
        </w:trPr>
        <w:tc>
          <w:tcPr>
            <w:tcW w:w="5160" w:type="dxa"/>
            <w:vAlign w:val="bottom"/>
          </w:tcPr>
          <w:p>
            <w:pPr>
              <w:ind w:left="20"/>
              <w:spacing w:after="0"/>
              <w:rPr>
                <w:sz w:val="20"/>
                <w:szCs w:val="20"/>
                <w:color w:val="auto"/>
              </w:rPr>
            </w:pPr>
            <w:r>
              <w:rPr>
                <w:rFonts w:ascii="Arial" w:cs="Arial" w:eastAsia="Arial" w:hAnsi="Arial"/>
                <w:sz w:val="14"/>
                <w:szCs w:val="14"/>
                <w:color w:val="auto"/>
              </w:rPr>
              <w:t>Accounts receivable for amounts billed for services provided to Enable</w:t>
            </w:r>
          </w:p>
        </w:tc>
        <w:tc>
          <w:tcPr>
            <w:tcW w:w="10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w:t>
            </w: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jc w:val="right"/>
              <w:ind w:right="30"/>
              <w:spacing w:after="0"/>
              <w:rPr>
                <w:sz w:val="20"/>
                <w:szCs w:val="20"/>
                <w:color w:val="auto"/>
              </w:rPr>
            </w:pPr>
            <w:r>
              <w:rPr>
                <w:rFonts w:ascii="Arial" w:cs="Arial" w:eastAsia="Arial" w:hAnsi="Arial"/>
                <w:sz w:val="14"/>
                <w:szCs w:val="14"/>
                <w:color w:val="auto"/>
              </w:rPr>
              <w:t>2</w:t>
            </w:r>
          </w:p>
        </w:tc>
      </w:tr>
      <w:tr>
        <w:trPr>
          <w:trHeight w:val="23"/>
        </w:trPr>
        <w:tc>
          <w:tcPr>
            <w:tcW w:w="5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196"/>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CERC</w:t>
            </w:r>
          </w:p>
        </w:tc>
        <w:tc>
          <w:tcPr>
            <w:tcW w:w="102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spacing w:after="0"/>
              <w:rPr>
                <w:sz w:val="17"/>
                <w:szCs w:val="17"/>
                <w:color w:val="auto"/>
              </w:rPr>
            </w:pPr>
          </w:p>
        </w:tc>
      </w:tr>
      <w:tr>
        <w:trPr>
          <w:trHeight w:val="193"/>
        </w:trPr>
        <w:tc>
          <w:tcPr>
            <w:tcW w:w="5160" w:type="dxa"/>
            <w:vAlign w:val="bottom"/>
          </w:tcPr>
          <w:p>
            <w:pPr>
              <w:ind w:left="20"/>
              <w:spacing w:after="0"/>
              <w:rPr>
                <w:sz w:val="20"/>
                <w:szCs w:val="20"/>
                <w:color w:val="auto"/>
              </w:rPr>
            </w:pPr>
            <w:r>
              <w:rPr>
                <w:rFonts w:ascii="Arial" w:cs="Arial" w:eastAsia="Arial" w:hAnsi="Arial"/>
                <w:sz w:val="14"/>
                <w:szCs w:val="14"/>
                <w:color w:val="auto"/>
              </w:rPr>
              <w:t>Accounts payable for natural gas purchases from Enable</w:t>
            </w:r>
          </w:p>
        </w:tc>
        <w:tc>
          <w:tcPr>
            <w:tcW w:w="10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9</w:t>
            </w: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jc w:val="right"/>
              <w:ind w:right="30"/>
              <w:spacing w:after="0"/>
              <w:rPr>
                <w:sz w:val="20"/>
                <w:szCs w:val="20"/>
                <w:color w:val="auto"/>
              </w:rPr>
            </w:pPr>
            <w:r>
              <w:rPr>
                <w:rFonts w:ascii="Arial" w:cs="Arial" w:eastAsia="Arial" w:hAnsi="Arial"/>
                <w:sz w:val="14"/>
                <w:szCs w:val="14"/>
                <w:color w:val="auto"/>
              </w:rPr>
              <w:t>11</w:t>
            </w:r>
          </w:p>
        </w:tc>
      </w:tr>
      <w:tr>
        <w:trPr>
          <w:trHeight w:val="23"/>
        </w:trPr>
        <w:tc>
          <w:tcPr>
            <w:tcW w:w="5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196"/>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Accounts receivable for amounts billed for services provided to Enable</w:t>
            </w:r>
          </w:p>
        </w:tc>
        <w:tc>
          <w:tcPr>
            <w:tcW w:w="102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4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2</w:t>
            </w:r>
          </w:p>
        </w:tc>
      </w:tr>
      <w:tr>
        <w:trPr>
          <w:trHeight w:val="516"/>
        </w:trPr>
        <w:tc>
          <w:tcPr>
            <w:tcW w:w="5160" w:type="dxa"/>
            <w:vAlign w:val="bottom"/>
          </w:tcPr>
          <w:p>
            <w:pPr>
              <w:ind w:left="260"/>
              <w:spacing w:after="0"/>
              <w:rPr>
                <w:sz w:val="20"/>
                <w:szCs w:val="20"/>
                <w:color w:val="auto"/>
              </w:rPr>
            </w:pPr>
            <w:r>
              <w:rPr>
                <w:rFonts w:ascii="Arial" w:cs="Arial" w:eastAsia="Arial" w:hAnsi="Arial"/>
                <w:sz w:val="14"/>
                <w:szCs w:val="14"/>
                <w:color w:val="auto"/>
                <w:w w:val="97"/>
              </w:rPr>
              <w:t>Summarized unaudited consolidated income information for Enable is as follows:</w:t>
            </w:r>
          </w:p>
        </w:tc>
        <w:tc>
          <w:tcPr>
            <w:tcW w:w="10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320"/>
        </w:trPr>
        <w:tc>
          <w:tcPr>
            <w:tcW w:w="5160" w:type="dxa"/>
            <w:vAlign w:val="bottom"/>
          </w:tcPr>
          <w:p>
            <w:pPr>
              <w:spacing w:after="0"/>
              <w:rPr>
                <w:sz w:val="24"/>
                <w:szCs w:val="24"/>
                <w:color w:val="auto"/>
              </w:rPr>
            </w:pPr>
          </w:p>
        </w:tc>
        <w:tc>
          <w:tcPr>
            <w:tcW w:w="2520" w:type="dxa"/>
            <w:vAlign w:val="bottom"/>
            <w:tcBorders>
              <w:bottom w:val="single" w:sz="8" w:color="auto"/>
            </w:tcBorders>
            <w:gridSpan w:val="4"/>
          </w:tcPr>
          <w:p>
            <w:pPr>
              <w:jc w:val="right"/>
              <w:spacing w:after="0"/>
              <w:rPr>
                <w:sz w:val="20"/>
                <w:szCs w:val="20"/>
                <w:color w:val="auto"/>
              </w:rPr>
            </w:pPr>
            <w:r>
              <w:rPr>
                <w:rFonts w:ascii="Arial" w:cs="Arial" w:eastAsia="Arial" w:hAnsi="Arial"/>
                <w:sz w:val="11"/>
                <w:szCs w:val="11"/>
                <w:b w:val="1"/>
                <w:bCs w:val="1"/>
                <w:color w:val="auto"/>
              </w:rPr>
              <w:t>Three Months Ended September 30,</w:t>
            </w:r>
          </w:p>
        </w:tc>
        <w:tc>
          <w:tcPr>
            <w:tcW w:w="6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5"/>
          </w:tcPr>
          <w:p>
            <w:pPr>
              <w:jc w:val="right"/>
              <w:ind w:right="590"/>
              <w:spacing w:after="0"/>
              <w:rPr>
                <w:sz w:val="20"/>
                <w:szCs w:val="20"/>
                <w:color w:val="auto"/>
              </w:rPr>
            </w:pPr>
            <w:r>
              <w:rPr>
                <w:rFonts w:ascii="Arial" w:cs="Arial" w:eastAsia="Arial" w:hAnsi="Arial"/>
                <w:sz w:val="11"/>
                <w:szCs w:val="11"/>
                <w:b w:val="1"/>
                <w:bCs w:val="1"/>
                <w:color w:val="auto"/>
              </w:rPr>
              <w:t>Nine Months Ended September 30,</w:t>
            </w:r>
          </w:p>
        </w:tc>
      </w:tr>
      <w:tr>
        <w:trPr>
          <w:trHeight w:val="206"/>
        </w:trPr>
        <w:tc>
          <w:tcPr>
            <w:tcW w:w="5160" w:type="dxa"/>
            <w:vAlign w:val="bottom"/>
          </w:tcPr>
          <w:p>
            <w:pPr>
              <w:spacing w:after="0"/>
              <w:rPr>
                <w:sz w:val="17"/>
                <w:szCs w:val="17"/>
                <w:color w:val="auto"/>
              </w:rPr>
            </w:pPr>
          </w:p>
        </w:tc>
        <w:tc>
          <w:tcPr>
            <w:tcW w:w="1020" w:type="dxa"/>
            <w:vAlign w:val="bottom"/>
            <w:tcBorders>
              <w:bottom w:val="single" w:sz="8" w:color="auto"/>
            </w:tcBorders>
          </w:tcPr>
          <w:p>
            <w:pPr>
              <w:jc w:val="right"/>
              <w:ind w:right="74"/>
              <w:spacing w:after="0"/>
              <w:rPr>
                <w:sz w:val="20"/>
                <w:szCs w:val="20"/>
                <w:color w:val="auto"/>
              </w:rPr>
            </w:pPr>
            <w:r>
              <w:rPr>
                <w:rFonts w:ascii="Arial" w:cs="Arial" w:eastAsia="Arial" w:hAnsi="Arial"/>
                <w:sz w:val="11"/>
                <w:szCs w:val="11"/>
                <w:b w:val="1"/>
                <w:bCs w:val="1"/>
                <w:color w:val="auto"/>
              </w:rPr>
              <w:t>2019</w:t>
            </w:r>
          </w:p>
        </w:tc>
        <w:tc>
          <w:tcPr>
            <w:tcW w:w="4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2018</w:t>
            </w:r>
          </w:p>
        </w:tc>
        <w:tc>
          <w:tcPr>
            <w:tcW w:w="6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114"/>
              <w:spacing w:after="0"/>
              <w:rPr>
                <w:sz w:val="20"/>
                <w:szCs w:val="20"/>
                <w:color w:val="auto"/>
              </w:rPr>
            </w:pPr>
            <w:r>
              <w:rPr>
                <w:rFonts w:ascii="Arial" w:cs="Arial" w:eastAsia="Arial" w:hAnsi="Arial"/>
                <w:sz w:val="11"/>
                <w:szCs w:val="11"/>
                <w:b w:val="1"/>
                <w:bCs w:val="1"/>
                <w:color w:val="auto"/>
              </w:rPr>
              <w:t>2019</w:t>
            </w:r>
          </w:p>
        </w:tc>
        <w:tc>
          <w:tcPr>
            <w:tcW w:w="4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550"/>
              <w:spacing w:after="0"/>
              <w:rPr>
                <w:sz w:val="20"/>
                <w:szCs w:val="20"/>
                <w:color w:val="auto"/>
              </w:rPr>
            </w:pPr>
            <w:r>
              <w:rPr>
                <w:rFonts w:ascii="Arial" w:cs="Arial" w:eastAsia="Arial" w:hAnsi="Arial"/>
                <w:sz w:val="11"/>
                <w:szCs w:val="11"/>
                <w:b w:val="1"/>
                <w:bCs w:val="1"/>
                <w:color w:val="auto"/>
              </w:rPr>
              <w:t>2018</w:t>
            </w:r>
          </w:p>
        </w:tc>
      </w:tr>
      <w:tr>
        <w:trPr>
          <w:trHeight w:val="196"/>
        </w:trPr>
        <w:tc>
          <w:tcPr>
            <w:tcW w:w="5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40" w:type="dxa"/>
            <w:vAlign w:val="bottom"/>
            <w:gridSpan w:val="3"/>
          </w:tcPr>
          <w:p>
            <w:pPr>
              <w:jc w:val="right"/>
              <w:ind w:right="128"/>
              <w:spacing w:after="0"/>
              <w:rPr>
                <w:sz w:val="20"/>
                <w:szCs w:val="20"/>
                <w:color w:val="auto"/>
              </w:rPr>
            </w:pPr>
            <w:r>
              <w:rPr>
                <w:rFonts w:ascii="Arial" w:cs="Arial" w:eastAsia="Arial" w:hAnsi="Arial"/>
                <w:sz w:val="11"/>
                <w:szCs w:val="11"/>
                <w:b w:val="1"/>
                <w:bCs w:val="1"/>
                <w:color w:val="auto"/>
              </w:rPr>
              <w:t>(in millions)</w:t>
            </w:r>
          </w:p>
        </w:tc>
        <w:tc>
          <w:tcPr>
            <w:tcW w:w="6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0"/>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Operating revenues</w:t>
            </w:r>
          </w:p>
        </w:tc>
        <w:tc>
          <w:tcPr>
            <w:tcW w:w="1020" w:type="dxa"/>
            <w:vAlign w:val="bottom"/>
            <w:tcBorders>
              <w:bottom w:val="single" w:sz="8" w:color="CCEEFF"/>
            </w:tcBorders>
            <w:shd w:val="clear" w:color="auto" w:fill="CCEEFF"/>
          </w:tcPr>
          <w:p>
            <w:pPr>
              <w:jc w:val="right"/>
              <w:ind w:right="854"/>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699</w:t>
            </w:r>
          </w:p>
        </w:tc>
        <w:tc>
          <w:tcPr>
            <w:tcW w:w="12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ind w:right="732"/>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928</w:t>
            </w:r>
          </w:p>
        </w:tc>
        <w:tc>
          <w:tcPr>
            <w:tcW w:w="12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w w:val="91"/>
              </w:rPr>
              <w:t>2,229</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2,481</w:t>
            </w:r>
          </w:p>
        </w:tc>
      </w:tr>
      <w:tr>
        <w:trPr>
          <w:trHeight w:val="193"/>
        </w:trPr>
        <w:tc>
          <w:tcPr>
            <w:tcW w:w="5160" w:type="dxa"/>
            <w:vAlign w:val="bottom"/>
          </w:tcPr>
          <w:p>
            <w:pPr>
              <w:ind w:left="20"/>
              <w:spacing w:after="0"/>
              <w:rPr>
                <w:sz w:val="20"/>
                <w:szCs w:val="20"/>
                <w:color w:val="auto"/>
              </w:rPr>
            </w:pPr>
            <w:r>
              <w:rPr>
                <w:rFonts w:ascii="Arial" w:cs="Arial" w:eastAsia="Arial" w:hAnsi="Arial"/>
                <w:sz w:val="14"/>
                <w:szCs w:val="14"/>
                <w:color w:val="auto"/>
              </w:rPr>
              <w:t>Cost of sales, excluding depreciation and amortization</w:t>
            </w:r>
          </w:p>
        </w:tc>
        <w:tc>
          <w:tcPr>
            <w:tcW w:w="1020" w:type="dxa"/>
            <w:vAlign w:val="bottom"/>
          </w:tcPr>
          <w:p>
            <w:pPr>
              <w:spacing w:after="0"/>
              <w:rPr>
                <w:sz w:val="16"/>
                <w:szCs w:val="16"/>
                <w:color w:val="auto"/>
              </w:rPr>
            </w:pPr>
          </w:p>
        </w:tc>
        <w:tc>
          <w:tcPr>
            <w:tcW w:w="480" w:type="dxa"/>
            <w:vAlign w:val="bottom"/>
          </w:tcPr>
          <w:p>
            <w:pPr>
              <w:jc w:val="right"/>
              <w:ind w:right="48"/>
              <w:spacing w:after="0"/>
              <w:rPr>
                <w:sz w:val="20"/>
                <w:szCs w:val="20"/>
                <w:color w:val="auto"/>
              </w:rPr>
            </w:pPr>
            <w:r>
              <w:rPr>
                <w:rFonts w:ascii="Arial" w:cs="Arial" w:eastAsia="Arial" w:hAnsi="Arial"/>
                <w:sz w:val="14"/>
                <w:szCs w:val="14"/>
                <w:color w:val="auto"/>
              </w:rPr>
              <w:t>263</w:t>
            </w: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0" w:type="dxa"/>
            <w:vAlign w:val="bottom"/>
          </w:tcPr>
          <w:p>
            <w:pPr>
              <w:jc w:val="right"/>
              <w:ind w:right="51"/>
              <w:spacing w:after="0"/>
              <w:rPr>
                <w:sz w:val="20"/>
                <w:szCs w:val="20"/>
                <w:color w:val="auto"/>
              </w:rPr>
            </w:pPr>
            <w:r>
              <w:rPr>
                <w:rFonts w:ascii="Arial" w:cs="Arial" w:eastAsia="Arial" w:hAnsi="Arial"/>
                <w:sz w:val="14"/>
                <w:szCs w:val="14"/>
                <w:color w:val="auto"/>
              </w:rPr>
              <w:t>516</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40" w:type="dxa"/>
            <w:vAlign w:val="bottom"/>
          </w:tcPr>
          <w:p>
            <w:pPr>
              <w:jc w:val="right"/>
              <w:ind w:right="28"/>
              <w:spacing w:after="0"/>
              <w:rPr>
                <w:sz w:val="20"/>
                <w:szCs w:val="20"/>
                <w:color w:val="auto"/>
              </w:rPr>
            </w:pPr>
            <w:r>
              <w:rPr>
                <w:rFonts w:ascii="Arial" w:cs="Arial" w:eastAsia="Arial" w:hAnsi="Arial"/>
                <w:sz w:val="14"/>
                <w:szCs w:val="14"/>
                <w:color w:val="auto"/>
              </w:rPr>
              <w:t>958</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jc w:val="right"/>
              <w:ind w:right="30"/>
              <w:spacing w:after="0"/>
              <w:rPr>
                <w:sz w:val="20"/>
                <w:szCs w:val="20"/>
                <w:color w:val="auto"/>
              </w:rPr>
            </w:pPr>
            <w:r>
              <w:rPr>
                <w:rFonts w:ascii="Arial" w:cs="Arial" w:eastAsia="Arial" w:hAnsi="Arial"/>
                <w:sz w:val="14"/>
                <w:szCs w:val="14"/>
                <w:color w:val="auto"/>
              </w:rPr>
              <w:t>1,335</w:t>
            </w:r>
          </w:p>
        </w:tc>
      </w:tr>
      <w:tr>
        <w:trPr>
          <w:trHeight w:val="23"/>
        </w:trPr>
        <w:tc>
          <w:tcPr>
            <w:tcW w:w="5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196"/>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Depreciation and amortization</w:t>
            </w:r>
          </w:p>
        </w:tc>
        <w:tc>
          <w:tcPr>
            <w:tcW w:w="102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108</w:t>
            </w:r>
          </w:p>
        </w:tc>
        <w:tc>
          <w:tcPr>
            <w:tcW w:w="12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100</w:t>
            </w:r>
          </w:p>
        </w:tc>
        <w:tc>
          <w:tcPr>
            <w:tcW w:w="12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323</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292</w:t>
            </w:r>
          </w:p>
        </w:tc>
      </w:tr>
      <w:tr>
        <w:trPr>
          <w:trHeight w:val="193"/>
        </w:trPr>
        <w:tc>
          <w:tcPr>
            <w:tcW w:w="5160" w:type="dxa"/>
            <w:vAlign w:val="bottom"/>
          </w:tcPr>
          <w:p>
            <w:pPr>
              <w:ind w:left="20"/>
              <w:spacing w:after="0"/>
              <w:rPr>
                <w:sz w:val="20"/>
                <w:szCs w:val="20"/>
                <w:color w:val="auto"/>
              </w:rPr>
            </w:pPr>
            <w:r>
              <w:rPr>
                <w:rFonts w:ascii="Arial" w:cs="Arial" w:eastAsia="Arial" w:hAnsi="Arial"/>
                <w:sz w:val="14"/>
                <w:szCs w:val="14"/>
                <w:color w:val="auto"/>
              </w:rPr>
              <w:t>Operating income</w:t>
            </w:r>
          </w:p>
        </w:tc>
        <w:tc>
          <w:tcPr>
            <w:tcW w:w="1020" w:type="dxa"/>
            <w:vAlign w:val="bottom"/>
          </w:tcPr>
          <w:p>
            <w:pPr>
              <w:spacing w:after="0"/>
              <w:rPr>
                <w:sz w:val="16"/>
                <w:szCs w:val="16"/>
                <w:color w:val="auto"/>
              </w:rPr>
            </w:pPr>
          </w:p>
        </w:tc>
        <w:tc>
          <w:tcPr>
            <w:tcW w:w="480" w:type="dxa"/>
            <w:vAlign w:val="bottom"/>
          </w:tcPr>
          <w:p>
            <w:pPr>
              <w:jc w:val="right"/>
              <w:ind w:right="48"/>
              <w:spacing w:after="0"/>
              <w:rPr>
                <w:sz w:val="20"/>
                <w:szCs w:val="20"/>
                <w:color w:val="auto"/>
              </w:rPr>
            </w:pPr>
            <w:r>
              <w:rPr>
                <w:rFonts w:ascii="Arial" w:cs="Arial" w:eastAsia="Arial" w:hAnsi="Arial"/>
                <w:sz w:val="14"/>
                <w:szCs w:val="14"/>
                <w:color w:val="auto"/>
              </w:rPr>
              <w:t>175</w:t>
            </w: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0" w:type="dxa"/>
            <w:vAlign w:val="bottom"/>
          </w:tcPr>
          <w:p>
            <w:pPr>
              <w:jc w:val="right"/>
              <w:ind w:right="51"/>
              <w:spacing w:after="0"/>
              <w:rPr>
                <w:sz w:val="20"/>
                <w:szCs w:val="20"/>
                <w:color w:val="auto"/>
              </w:rPr>
            </w:pPr>
            <w:r>
              <w:rPr>
                <w:rFonts w:ascii="Arial" w:cs="Arial" w:eastAsia="Arial" w:hAnsi="Arial"/>
                <w:sz w:val="14"/>
                <w:szCs w:val="14"/>
                <w:color w:val="auto"/>
              </w:rPr>
              <w:t>171</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40" w:type="dxa"/>
            <w:vAlign w:val="bottom"/>
          </w:tcPr>
          <w:p>
            <w:pPr>
              <w:jc w:val="right"/>
              <w:ind w:right="28"/>
              <w:spacing w:after="0"/>
              <w:rPr>
                <w:sz w:val="20"/>
                <w:szCs w:val="20"/>
                <w:color w:val="auto"/>
              </w:rPr>
            </w:pPr>
            <w:r>
              <w:rPr>
                <w:rFonts w:ascii="Arial" w:cs="Arial" w:eastAsia="Arial" w:hAnsi="Arial"/>
                <w:sz w:val="14"/>
                <w:szCs w:val="14"/>
                <w:color w:val="auto"/>
              </w:rPr>
              <w:t>507</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jc w:val="right"/>
              <w:ind w:right="30"/>
              <w:spacing w:after="0"/>
              <w:rPr>
                <w:sz w:val="20"/>
                <w:szCs w:val="20"/>
                <w:color w:val="auto"/>
              </w:rPr>
            </w:pPr>
            <w:r>
              <w:rPr>
                <w:rFonts w:ascii="Arial" w:cs="Arial" w:eastAsia="Arial" w:hAnsi="Arial"/>
                <w:sz w:val="14"/>
                <w:szCs w:val="14"/>
                <w:color w:val="auto"/>
              </w:rPr>
              <w:t>436</w:t>
            </w:r>
          </w:p>
        </w:tc>
      </w:tr>
      <w:tr>
        <w:trPr>
          <w:trHeight w:val="23"/>
        </w:trPr>
        <w:tc>
          <w:tcPr>
            <w:tcW w:w="5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196"/>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income attributable to Enable common units</w:t>
            </w:r>
          </w:p>
        </w:tc>
        <w:tc>
          <w:tcPr>
            <w:tcW w:w="102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123</w:t>
            </w:r>
          </w:p>
        </w:tc>
        <w:tc>
          <w:tcPr>
            <w:tcW w:w="12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129</w:t>
            </w:r>
          </w:p>
        </w:tc>
        <w:tc>
          <w:tcPr>
            <w:tcW w:w="12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351</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320</w:t>
            </w:r>
          </w:p>
        </w:tc>
      </w:tr>
      <w:tr>
        <w:trPr>
          <w:trHeight w:val="193"/>
        </w:trPr>
        <w:tc>
          <w:tcPr>
            <w:tcW w:w="5160" w:type="dxa"/>
            <w:vAlign w:val="bottom"/>
          </w:tcPr>
          <w:p>
            <w:pPr>
              <w:ind w:left="20"/>
              <w:spacing w:after="0"/>
              <w:rPr>
                <w:sz w:val="20"/>
                <w:szCs w:val="20"/>
                <w:color w:val="auto"/>
              </w:rPr>
            </w:pPr>
            <w:r>
              <w:rPr>
                <w:rFonts w:ascii="Arial" w:cs="Arial" w:eastAsia="Arial" w:hAnsi="Arial"/>
                <w:sz w:val="14"/>
                <w:szCs w:val="14"/>
                <w:b w:val="1"/>
                <w:bCs w:val="1"/>
                <w:color w:val="auto"/>
              </w:rPr>
              <w:t>Reconciliation of Equity in Earnings (Losses), net:</w:t>
            </w:r>
          </w:p>
        </w:tc>
        <w:tc>
          <w:tcPr>
            <w:tcW w:w="10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3"/>
        </w:trPr>
        <w:tc>
          <w:tcPr>
            <w:tcW w:w="5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196"/>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CenterPoint Energy’s interest</w:t>
            </w:r>
          </w:p>
        </w:tc>
        <w:tc>
          <w:tcPr>
            <w:tcW w:w="1020" w:type="dxa"/>
            <w:vAlign w:val="bottom"/>
            <w:tcBorders>
              <w:bottom w:val="single" w:sz="8" w:color="CCEEFF"/>
            </w:tcBorders>
            <w:shd w:val="clear" w:color="auto" w:fill="CCEEFF"/>
          </w:tcPr>
          <w:p>
            <w:pPr>
              <w:jc w:val="right"/>
              <w:ind w:right="854"/>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66</w:t>
            </w:r>
          </w:p>
        </w:tc>
        <w:tc>
          <w:tcPr>
            <w:tcW w:w="12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ind w:right="732"/>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70</w:t>
            </w:r>
          </w:p>
        </w:tc>
        <w:tc>
          <w:tcPr>
            <w:tcW w:w="12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189</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173</w:t>
            </w:r>
          </w:p>
        </w:tc>
      </w:tr>
      <w:tr>
        <w:trPr>
          <w:trHeight w:val="193"/>
        </w:trPr>
        <w:tc>
          <w:tcPr>
            <w:tcW w:w="5160" w:type="dxa"/>
            <w:vAlign w:val="bottom"/>
          </w:tcPr>
          <w:p>
            <w:pPr>
              <w:ind w:left="20"/>
              <w:spacing w:after="0"/>
              <w:rPr>
                <w:sz w:val="20"/>
                <w:szCs w:val="20"/>
                <w:color w:val="auto"/>
              </w:rPr>
            </w:pPr>
            <w:r>
              <w:rPr>
                <w:rFonts w:ascii="Arial" w:cs="Arial" w:eastAsia="Arial" w:hAnsi="Arial"/>
                <w:sz w:val="14"/>
                <w:szCs w:val="14"/>
                <w:color w:val="auto"/>
              </w:rPr>
              <w:t>Basis difference amortization (1)</w:t>
            </w:r>
          </w:p>
        </w:tc>
        <w:tc>
          <w:tcPr>
            <w:tcW w:w="1020" w:type="dxa"/>
            <w:vAlign w:val="bottom"/>
          </w:tcPr>
          <w:p>
            <w:pPr>
              <w:spacing w:after="0"/>
              <w:rPr>
                <w:sz w:val="16"/>
                <w:szCs w:val="16"/>
                <w:color w:val="auto"/>
              </w:rPr>
            </w:pPr>
          </w:p>
        </w:tc>
        <w:tc>
          <w:tcPr>
            <w:tcW w:w="480" w:type="dxa"/>
            <w:vAlign w:val="bottom"/>
          </w:tcPr>
          <w:p>
            <w:pPr>
              <w:jc w:val="right"/>
              <w:ind w:right="48"/>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0" w:type="dxa"/>
            <w:vAlign w:val="bottom"/>
          </w:tcPr>
          <w:p>
            <w:pPr>
              <w:jc w:val="right"/>
              <w:ind w:right="51"/>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40" w:type="dxa"/>
            <w:vAlign w:val="bottom"/>
          </w:tcPr>
          <w:p>
            <w:pPr>
              <w:jc w:val="right"/>
              <w:ind w:right="28"/>
              <w:spacing w:after="0"/>
              <w:rPr>
                <w:sz w:val="20"/>
                <w:szCs w:val="20"/>
                <w:color w:val="auto"/>
              </w:rPr>
            </w:pPr>
            <w:r>
              <w:rPr>
                <w:rFonts w:ascii="Arial" w:cs="Arial" w:eastAsia="Arial" w:hAnsi="Arial"/>
                <w:sz w:val="14"/>
                <w:szCs w:val="14"/>
                <w:color w:val="auto"/>
              </w:rPr>
              <w:t>35</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jc w:val="right"/>
              <w:ind w:right="30"/>
              <w:spacing w:after="0"/>
              <w:rPr>
                <w:sz w:val="20"/>
                <w:szCs w:val="20"/>
                <w:color w:val="auto"/>
              </w:rPr>
            </w:pPr>
            <w:r>
              <w:rPr>
                <w:rFonts w:ascii="Arial" w:cs="Arial" w:eastAsia="Arial" w:hAnsi="Arial"/>
                <w:sz w:val="14"/>
                <w:szCs w:val="14"/>
                <w:color w:val="auto"/>
              </w:rPr>
              <w:t>35</w:t>
            </w:r>
          </w:p>
        </w:tc>
      </w:tr>
      <w:tr>
        <w:trPr>
          <w:trHeight w:val="23"/>
        </w:trPr>
        <w:tc>
          <w:tcPr>
            <w:tcW w:w="5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216"/>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Loss on dilution, net of proportional basis difference recognition</w:t>
            </w:r>
          </w:p>
        </w:tc>
        <w:tc>
          <w:tcPr>
            <w:tcW w:w="102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r>
      <w:tr>
        <w:trPr>
          <w:trHeight w:val="200"/>
        </w:trPr>
        <w:tc>
          <w:tcPr>
            <w:tcW w:w="5160" w:type="dxa"/>
            <w:vAlign w:val="bottom"/>
          </w:tcPr>
          <w:p>
            <w:pPr>
              <w:ind w:left="20"/>
              <w:spacing w:after="0"/>
              <w:rPr>
                <w:sz w:val="20"/>
                <w:szCs w:val="20"/>
                <w:color w:val="auto"/>
              </w:rPr>
            </w:pPr>
            <w:r>
              <w:rPr>
                <w:rFonts w:ascii="Arial" w:cs="Arial" w:eastAsia="Arial" w:hAnsi="Arial"/>
                <w:sz w:val="14"/>
                <w:szCs w:val="14"/>
                <w:color w:val="auto"/>
              </w:rPr>
              <w:t>CenterPoint Energy’s equity in earnings, net</w:t>
            </w:r>
          </w:p>
        </w:tc>
        <w:tc>
          <w:tcPr>
            <w:tcW w:w="1020" w:type="dxa"/>
            <w:vAlign w:val="bottom"/>
            <w:tcBorders>
              <w:top w:val="single" w:sz="8" w:color="auto"/>
              <w:bottom w:val="single" w:sz="8" w:color="auto"/>
            </w:tcBorders>
          </w:tcPr>
          <w:p>
            <w:pPr>
              <w:jc w:val="right"/>
              <w:ind w:right="854"/>
              <w:spacing w:after="0"/>
              <w:rPr>
                <w:sz w:val="20"/>
                <w:szCs w:val="20"/>
                <w:color w:val="auto"/>
              </w:rPr>
            </w:pPr>
            <w:r>
              <w:rPr>
                <w:rFonts w:ascii="Arial" w:cs="Arial" w:eastAsia="Arial" w:hAnsi="Arial"/>
                <w:sz w:val="14"/>
                <w:szCs w:val="14"/>
                <w:color w:val="auto"/>
              </w:rPr>
              <w:t>$</w:t>
            </w:r>
          </w:p>
        </w:tc>
        <w:tc>
          <w:tcPr>
            <w:tcW w:w="4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77</w:t>
            </w:r>
          </w:p>
        </w:tc>
        <w:tc>
          <w:tcPr>
            <w:tcW w:w="120" w:type="dxa"/>
            <w:vAlign w:val="bottom"/>
          </w:tcPr>
          <w:p>
            <w:pPr>
              <w:spacing w:after="0"/>
              <w:rPr>
                <w:sz w:val="17"/>
                <w:szCs w:val="17"/>
                <w:color w:val="auto"/>
              </w:rPr>
            </w:pPr>
          </w:p>
        </w:tc>
        <w:tc>
          <w:tcPr>
            <w:tcW w:w="900" w:type="dxa"/>
            <w:vAlign w:val="bottom"/>
            <w:tcBorders>
              <w:top w:val="single" w:sz="8" w:color="auto"/>
              <w:bottom w:val="single" w:sz="8" w:color="auto"/>
            </w:tcBorders>
          </w:tcPr>
          <w:p>
            <w:pPr>
              <w:jc w:val="right"/>
              <w:ind w:right="732"/>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4"/>
                <w:szCs w:val="14"/>
                <w:color w:val="auto"/>
              </w:rPr>
              <w:t>81</w:t>
            </w:r>
          </w:p>
        </w:tc>
        <w:tc>
          <w:tcPr>
            <w:tcW w:w="120" w:type="dxa"/>
            <w:vAlign w:val="bottom"/>
          </w:tcPr>
          <w:p>
            <w:pPr>
              <w:spacing w:after="0"/>
              <w:rPr>
                <w:sz w:val="17"/>
                <w:szCs w:val="17"/>
                <w:color w:val="auto"/>
              </w:rPr>
            </w:pPr>
          </w:p>
        </w:tc>
        <w:tc>
          <w:tcPr>
            <w:tcW w:w="420" w:type="dxa"/>
            <w:vAlign w:val="bottom"/>
            <w:tcBorders>
              <w:top w:val="single" w:sz="8" w:color="auto"/>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auto"/>
            </w:tcBorders>
          </w:tcPr>
          <w:p>
            <w:pPr>
              <w:spacing w:after="0"/>
              <w:rPr>
                <w:sz w:val="17"/>
                <w:szCs w:val="17"/>
                <w:color w:val="auto"/>
              </w:rPr>
            </w:pPr>
          </w:p>
        </w:tc>
        <w:tc>
          <w:tcPr>
            <w:tcW w:w="4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213</w:t>
            </w:r>
          </w:p>
        </w:tc>
        <w:tc>
          <w:tcPr>
            <w:tcW w:w="12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3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4"/>
                <w:szCs w:val="14"/>
                <w:color w:val="auto"/>
              </w:rPr>
              <w:t>208</w:t>
            </w:r>
          </w:p>
        </w:tc>
      </w:tr>
      <w:tr>
        <w:trPr>
          <w:trHeight w:val="20"/>
        </w:trPr>
        <w:tc>
          <w:tcPr>
            <w:tcW w:w="51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334" w:lineRule="exact"/>
        <w:rPr>
          <w:sz w:val="20"/>
          <w:szCs w:val="20"/>
          <w:color w:val="auto"/>
        </w:rPr>
      </w:pPr>
    </w:p>
    <w:p>
      <w:pPr>
        <w:ind w:left="520" w:hanging="255"/>
        <w:spacing w:after="0" w:line="288" w:lineRule="auto"/>
        <w:tabs>
          <w:tab w:leader="none" w:pos="520" w:val="left"/>
        </w:tabs>
        <w:numPr>
          <w:ilvl w:val="0"/>
          <w:numId w:val="29"/>
        </w:numPr>
        <w:rPr>
          <w:rFonts w:ascii="Arial" w:cs="Arial" w:eastAsia="Arial" w:hAnsi="Arial"/>
          <w:sz w:val="14"/>
          <w:szCs w:val="14"/>
          <w:color w:val="auto"/>
        </w:rPr>
      </w:pPr>
      <w:r>
        <w:rPr>
          <w:rFonts w:ascii="Arial" w:cs="Arial" w:eastAsia="Arial" w:hAnsi="Arial"/>
          <w:sz w:val="14"/>
          <w:szCs w:val="14"/>
          <w:color w:val="auto"/>
        </w:rPr>
        <w:t>Equity in earnings of unconsolidated affiliate includes CenterPoint Energy’s share of Enable earnings adjusted for the amortization of the basis difference of CenterPoint Energy’s original investment in Enable and its underlying equity in net assets of Enable. The basis difference is being amortized through the year 2048.</w:t>
      </w: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43</w:t>
      </w:r>
    </w:p>
    <w:p>
      <w:pPr>
        <w:sectPr>
          <w:pgSz w:w="11900" w:h="16838" w:orient="portrait"/>
          <w:cols w:equalWidth="0" w:num="1">
            <w:col w:w="11460"/>
          </w:cols>
          <w:pgMar w:left="220" w:top="129" w:right="219" w:bottom="1440" w:gutter="0" w:footer="0" w:header="0"/>
        </w:sectPr>
      </w:pPr>
    </w:p>
    <w:bookmarkStart w:id="53" w:name="page54"/>
    <w:bookmarkEnd w:id="53"/>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205" w:lineRule="exact"/>
        <w:rPr>
          <w:sz w:val="20"/>
          <w:szCs w:val="20"/>
          <w:color w:val="auto"/>
        </w:rPr>
      </w:pPr>
    </w:p>
    <w:p>
      <w:pPr>
        <w:ind w:left="260"/>
        <w:spacing w:after="0"/>
        <w:rPr>
          <w:sz w:val="20"/>
          <w:szCs w:val="20"/>
          <w:color w:val="auto"/>
        </w:rPr>
      </w:pPr>
      <w:r>
        <w:rPr>
          <w:rFonts w:ascii="Arial" w:cs="Arial" w:eastAsia="Arial" w:hAnsi="Arial"/>
          <w:sz w:val="14"/>
          <w:szCs w:val="14"/>
          <w:color w:val="auto"/>
        </w:rPr>
        <w:t>Summarized unaudited consolidated balance sheet information for Enable is as follows: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768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700" w:type="dxa"/>
            <w:vAlign w:val="bottom"/>
            <w:tcBorders>
              <w:bottom w:val="single" w:sz="8" w:color="auto"/>
            </w:tcBorders>
            <w:gridSpan w:val="2"/>
          </w:tcPr>
          <w:p>
            <w:pPr>
              <w:ind w:left="180"/>
              <w:spacing w:after="0"/>
              <w:rPr>
                <w:sz w:val="20"/>
                <w:szCs w:val="20"/>
                <w:color w:val="auto"/>
              </w:rPr>
            </w:pPr>
            <w:r>
              <w:rPr>
                <w:rFonts w:ascii="Arial" w:cs="Arial" w:eastAsia="Arial" w:hAnsi="Arial"/>
                <w:sz w:val="11"/>
                <w:szCs w:val="11"/>
                <w:b w:val="1"/>
                <w:bCs w:val="1"/>
                <w:color w:val="auto"/>
              </w:rPr>
              <w:t>September 30, 2019</w:t>
            </w:r>
          </w:p>
        </w:tc>
        <w:tc>
          <w:tcPr>
            <w:tcW w:w="32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jc w:val="right"/>
              <w:ind w:right="369"/>
              <w:spacing w:after="0"/>
              <w:rPr>
                <w:sz w:val="20"/>
                <w:szCs w:val="20"/>
                <w:color w:val="auto"/>
              </w:rPr>
            </w:pPr>
            <w:r>
              <w:rPr>
                <w:rFonts w:ascii="Arial" w:cs="Arial" w:eastAsia="Arial" w:hAnsi="Arial"/>
                <w:sz w:val="11"/>
                <w:szCs w:val="11"/>
                <w:b w:val="1"/>
                <w:bCs w:val="1"/>
                <w:color w:val="auto"/>
              </w:rPr>
              <w:t>December 31, 2018</w:t>
            </w:r>
          </w:p>
        </w:tc>
      </w:tr>
      <w:tr>
        <w:trPr>
          <w:trHeight w:val="196"/>
        </w:trPr>
        <w:tc>
          <w:tcPr>
            <w:tcW w:w="7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20" w:type="dxa"/>
            <w:vAlign w:val="bottom"/>
            <w:gridSpan w:val="3"/>
          </w:tcPr>
          <w:p>
            <w:pPr>
              <w:jc w:val="right"/>
              <w:ind w:right="28"/>
              <w:spacing w:after="0"/>
              <w:rPr>
                <w:sz w:val="20"/>
                <w:szCs w:val="20"/>
                <w:color w:val="auto"/>
              </w:rPr>
            </w:pPr>
            <w:r>
              <w:rPr>
                <w:rFonts w:ascii="Arial" w:cs="Arial" w:eastAsia="Arial" w:hAnsi="Arial"/>
                <w:sz w:val="11"/>
                <w:szCs w:val="11"/>
                <w:b w:val="1"/>
                <w:bCs w:val="1"/>
                <w:color w:val="auto"/>
              </w:rPr>
              <w:t>(in millions)</w:t>
            </w:r>
          </w:p>
        </w:tc>
        <w:tc>
          <w:tcPr>
            <w:tcW w:w="1480" w:type="dxa"/>
            <w:vAlign w:val="bottom"/>
          </w:tcPr>
          <w:p>
            <w:pPr>
              <w:spacing w:after="0"/>
              <w:rPr>
                <w:sz w:val="17"/>
                <w:szCs w:val="17"/>
                <w:color w:val="auto"/>
              </w:rPr>
            </w:pPr>
          </w:p>
        </w:tc>
      </w:tr>
      <w:tr>
        <w:trPr>
          <w:trHeight w:val="200"/>
        </w:trPr>
        <w:tc>
          <w:tcPr>
            <w:tcW w:w="7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Current assets</w:t>
            </w:r>
          </w:p>
        </w:tc>
        <w:tc>
          <w:tcPr>
            <w:tcW w:w="28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5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417</w:t>
            </w:r>
          </w:p>
        </w:tc>
        <w:tc>
          <w:tcPr>
            <w:tcW w:w="1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48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449</w:t>
            </w:r>
          </w:p>
        </w:tc>
      </w:tr>
      <w:tr>
        <w:trPr>
          <w:trHeight w:val="193"/>
        </w:trPr>
        <w:tc>
          <w:tcPr>
            <w:tcW w:w="7680" w:type="dxa"/>
            <w:vAlign w:val="bottom"/>
          </w:tcPr>
          <w:p>
            <w:pPr>
              <w:ind w:left="20"/>
              <w:spacing w:after="0"/>
              <w:rPr>
                <w:sz w:val="20"/>
                <w:szCs w:val="20"/>
                <w:color w:val="auto"/>
              </w:rPr>
            </w:pPr>
            <w:r>
              <w:rPr>
                <w:rFonts w:ascii="Arial" w:cs="Arial" w:eastAsia="Arial" w:hAnsi="Arial"/>
                <w:sz w:val="14"/>
                <w:szCs w:val="14"/>
                <w:color w:val="auto"/>
              </w:rPr>
              <w:t>Non-current assets</w:t>
            </w:r>
          </w:p>
        </w:tc>
        <w:tc>
          <w:tcPr>
            <w:tcW w:w="280" w:type="dxa"/>
            <w:vAlign w:val="bottom"/>
          </w:tcPr>
          <w:p>
            <w:pPr>
              <w:spacing w:after="0"/>
              <w:rPr>
                <w:sz w:val="16"/>
                <w:szCs w:val="16"/>
                <w:color w:val="auto"/>
              </w:rPr>
            </w:pPr>
          </w:p>
        </w:tc>
        <w:tc>
          <w:tcPr>
            <w:tcW w:w="1580" w:type="dxa"/>
            <w:vAlign w:val="bottom"/>
          </w:tcPr>
          <w:p>
            <w:pPr>
              <w:jc w:val="right"/>
              <w:ind w:right="50"/>
              <w:spacing w:after="0"/>
              <w:rPr>
                <w:sz w:val="20"/>
                <w:szCs w:val="20"/>
                <w:color w:val="auto"/>
              </w:rPr>
            </w:pPr>
            <w:r>
              <w:rPr>
                <w:rFonts w:ascii="Arial" w:cs="Arial" w:eastAsia="Arial" w:hAnsi="Arial"/>
                <w:sz w:val="14"/>
                <w:szCs w:val="14"/>
                <w:color w:val="auto"/>
              </w:rPr>
              <w:t>12,018</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80" w:type="dxa"/>
            <w:vAlign w:val="bottom"/>
          </w:tcPr>
          <w:p>
            <w:pPr>
              <w:jc w:val="right"/>
              <w:ind w:right="29"/>
              <w:spacing w:after="0"/>
              <w:rPr>
                <w:sz w:val="20"/>
                <w:szCs w:val="20"/>
                <w:color w:val="auto"/>
              </w:rPr>
            </w:pPr>
            <w:r>
              <w:rPr>
                <w:rFonts w:ascii="Arial" w:cs="Arial" w:eastAsia="Arial" w:hAnsi="Arial"/>
                <w:sz w:val="14"/>
                <w:szCs w:val="14"/>
                <w:color w:val="auto"/>
              </w:rPr>
              <w:t>11,995</w:t>
            </w:r>
          </w:p>
        </w:tc>
      </w:tr>
      <w:tr>
        <w:trPr>
          <w:trHeight w:val="23"/>
        </w:trPr>
        <w:tc>
          <w:tcPr>
            <w:tcW w:w="7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96"/>
        </w:trPr>
        <w:tc>
          <w:tcPr>
            <w:tcW w:w="7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Current liabilities</w:t>
            </w:r>
          </w:p>
        </w:tc>
        <w:tc>
          <w:tcPr>
            <w:tcW w:w="280" w:type="dxa"/>
            <w:vAlign w:val="bottom"/>
            <w:tcBorders>
              <w:bottom w:val="single" w:sz="8" w:color="CCEEFF"/>
            </w:tcBorders>
            <w:shd w:val="clear" w:color="auto" w:fill="CCEEFF"/>
          </w:tcPr>
          <w:p>
            <w:pPr>
              <w:spacing w:after="0"/>
              <w:rPr>
                <w:sz w:val="17"/>
                <w:szCs w:val="17"/>
                <w:color w:val="auto"/>
              </w:rPr>
            </w:pPr>
          </w:p>
        </w:tc>
        <w:tc>
          <w:tcPr>
            <w:tcW w:w="15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819</w:t>
            </w:r>
          </w:p>
        </w:tc>
        <w:tc>
          <w:tcPr>
            <w:tcW w:w="1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1,615</w:t>
            </w:r>
          </w:p>
        </w:tc>
      </w:tr>
      <w:tr>
        <w:trPr>
          <w:trHeight w:val="193"/>
        </w:trPr>
        <w:tc>
          <w:tcPr>
            <w:tcW w:w="7680" w:type="dxa"/>
            <w:vAlign w:val="bottom"/>
          </w:tcPr>
          <w:p>
            <w:pPr>
              <w:ind w:left="20"/>
              <w:spacing w:after="0"/>
              <w:rPr>
                <w:sz w:val="20"/>
                <w:szCs w:val="20"/>
                <w:color w:val="auto"/>
              </w:rPr>
            </w:pPr>
            <w:r>
              <w:rPr>
                <w:rFonts w:ascii="Arial" w:cs="Arial" w:eastAsia="Arial" w:hAnsi="Arial"/>
                <w:sz w:val="14"/>
                <w:szCs w:val="14"/>
                <w:color w:val="auto"/>
              </w:rPr>
              <w:t>Non-current liabilities</w:t>
            </w:r>
          </w:p>
        </w:tc>
        <w:tc>
          <w:tcPr>
            <w:tcW w:w="280" w:type="dxa"/>
            <w:vAlign w:val="bottom"/>
          </w:tcPr>
          <w:p>
            <w:pPr>
              <w:spacing w:after="0"/>
              <w:rPr>
                <w:sz w:val="16"/>
                <w:szCs w:val="16"/>
                <w:color w:val="auto"/>
              </w:rPr>
            </w:pPr>
          </w:p>
        </w:tc>
        <w:tc>
          <w:tcPr>
            <w:tcW w:w="1580" w:type="dxa"/>
            <w:vAlign w:val="bottom"/>
          </w:tcPr>
          <w:p>
            <w:pPr>
              <w:jc w:val="right"/>
              <w:ind w:right="50"/>
              <w:spacing w:after="0"/>
              <w:rPr>
                <w:sz w:val="20"/>
                <w:szCs w:val="20"/>
                <w:color w:val="auto"/>
              </w:rPr>
            </w:pPr>
            <w:r>
              <w:rPr>
                <w:rFonts w:ascii="Arial" w:cs="Arial" w:eastAsia="Arial" w:hAnsi="Arial"/>
                <w:sz w:val="14"/>
                <w:szCs w:val="14"/>
                <w:color w:val="auto"/>
              </w:rPr>
              <w:t>4,076</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80" w:type="dxa"/>
            <w:vAlign w:val="bottom"/>
          </w:tcPr>
          <w:p>
            <w:pPr>
              <w:jc w:val="right"/>
              <w:ind w:right="29"/>
              <w:spacing w:after="0"/>
              <w:rPr>
                <w:sz w:val="20"/>
                <w:szCs w:val="20"/>
                <w:color w:val="auto"/>
              </w:rPr>
            </w:pPr>
            <w:r>
              <w:rPr>
                <w:rFonts w:ascii="Arial" w:cs="Arial" w:eastAsia="Arial" w:hAnsi="Arial"/>
                <w:sz w:val="14"/>
                <w:szCs w:val="14"/>
                <w:color w:val="auto"/>
              </w:rPr>
              <w:t>3,211</w:t>
            </w:r>
          </w:p>
        </w:tc>
      </w:tr>
      <w:tr>
        <w:trPr>
          <w:trHeight w:val="23"/>
        </w:trPr>
        <w:tc>
          <w:tcPr>
            <w:tcW w:w="7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96"/>
        </w:trPr>
        <w:tc>
          <w:tcPr>
            <w:tcW w:w="7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Non-controlling interest</w:t>
            </w:r>
          </w:p>
        </w:tc>
        <w:tc>
          <w:tcPr>
            <w:tcW w:w="280" w:type="dxa"/>
            <w:vAlign w:val="bottom"/>
            <w:tcBorders>
              <w:bottom w:val="single" w:sz="8" w:color="CCEEFF"/>
            </w:tcBorders>
            <w:shd w:val="clear" w:color="auto" w:fill="CCEEFF"/>
          </w:tcPr>
          <w:p>
            <w:pPr>
              <w:spacing w:after="0"/>
              <w:rPr>
                <w:sz w:val="17"/>
                <w:szCs w:val="17"/>
                <w:color w:val="auto"/>
              </w:rPr>
            </w:pPr>
          </w:p>
        </w:tc>
        <w:tc>
          <w:tcPr>
            <w:tcW w:w="15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37</w:t>
            </w:r>
          </w:p>
        </w:tc>
        <w:tc>
          <w:tcPr>
            <w:tcW w:w="1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38</w:t>
            </w:r>
          </w:p>
        </w:tc>
      </w:tr>
      <w:tr>
        <w:trPr>
          <w:trHeight w:val="193"/>
        </w:trPr>
        <w:tc>
          <w:tcPr>
            <w:tcW w:w="7680" w:type="dxa"/>
            <w:vAlign w:val="bottom"/>
          </w:tcPr>
          <w:p>
            <w:pPr>
              <w:ind w:left="20"/>
              <w:spacing w:after="0"/>
              <w:rPr>
                <w:sz w:val="20"/>
                <w:szCs w:val="20"/>
                <w:color w:val="auto"/>
              </w:rPr>
            </w:pPr>
            <w:r>
              <w:rPr>
                <w:rFonts w:ascii="Arial" w:cs="Arial" w:eastAsia="Arial" w:hAnsi="Arial"/>
                <w:sz w:val="14"/>
                <w:szCs w:val="14"/>
                <w:color w:val="auto"/>
              </w:rPr>
              <w:t>Preferred equity</w:t>
            </w:r>
          </w:p>
        </w:tc>
        <w:tc>
          <w:tcPr>
            <w:tcW w:w="280" w:type="dxa"/>
            <w:vAlign w:val="bottom"/>
          </w:tcPr>
          <w:p>
            <w:pPr>
              <w:spacing w:after="0"/>
              <w:rPr>
                <w:sz w:val="16"/>
                <w:szCs w:val="16"/>
                <w:color w:val="auto"/>
              </w:rPr>
            </w:pPr>
          </w:p>
        </w:tc>
        <w:tc>
          <w:tcPr>
            <w:tcW w:w="1580" w:type="dxa"/>
            <w:vAlign w:val="bottom"/>
          </w:tcPr>
          <w:p>
            <w:pPr>
              <w:jc w:val="right"/>
              <w:ind w:right="50"/>
              <w:spacing w:after="0"/>
              <w:rPr>
                <w:sz w:val="20"/>
                <w:szCs w:val="20"/>
                <w:color w:val="auto"/>
              </w:rPr>
            </w:pPr>
            <w:r>
              <w:rPr>
                <w:rFonts w:ascii="Arial" w:cs="Arial" w:eastAsia="Arial" w:hAnsi="Arial"/>
                <w:sz w:val="14"/>
                <w:szCs w:val="14"/>
                <w:color w:val="auto"/>
              </w:rPr>
              <w:t>362</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80" w:type="dxa"/>
            <w:vAlign w:val="bottom"/>
          </w:tcPr>
          <w:p>
            <w:pPr>
              <w:jc w:val="right"/>
              <w:ind w:right="29"/>
              <w:spacing w:after="0"/>
              <w:rPr>
                <w:sz w:val="20"/>
                <w:szCs w:val="20"/>
                <w:color w:val="auto"/>
              </w:rPr>
            </w:pPr>
            <w:r>
              <w:rPr>
                <w:rFonts w:ascii="Arial" w:cs="Arial" w:eastAsia="Arial" w:hAnsi="Arial"/>
                <w:sz w:val="14"/>
                <w:szCs w:val="14"/>
                <w:color w:val="auto"/>
              </w:rPr>
              <w:t>362</w:t>
            </w:r>
          </w:p>
        </w:tc>
      </w:tr>
      <w:tr>
        <w:trPr>
          <w:trHeight w:val="23"/>
        </w:trPr>
        <w:tc>
          <w:tcPr>
            <w:tcW w:w="7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96"/>
        </w:trPr>
        <w:tc>
          <w:tcPr>
            <w:tcW w:w="7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Accumulated other comprehensive loss</w:t>
            </w:r>
          </w:p>
        </w:tc>
        <w:tc>
          <w:tcPr>
            <w:tcW w:w="280" w:type="dxa"/>
            <w:vAlign w:val="bottom"/>
            <w:tcBorders>
              <w:bottom w:val="single" w:sz="8" w:color="CCEEFF"/>
            </w:tcBorders>
            <w:shd w:val="clear" w:color="auto" w:fill="CCEEFF"/>
          </w:tcPr>
          <w:p>
            <w:pPr>
              <w:spacing w:after="0"/>
              <w:rPr>
                <w:sz w:val="17"/>
                <w:szCs w:val="17"/>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(4)</w:t>
            </w:r>
          </w:p>
        </w:tc>
        <w:tc>
          <w:tcPr>
            <w:tcW w:w="1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r>
      <w:tr>
        <w:trPr>
          <w:trHeight w:val="193"/>
        </w:trPr>
        <w:tc>
          <w:tcPr>
            <w:tcW w:w="7680" w:type="dxa"/>
            <w:vAlign w:val="bottom"/>
          </w:tcPr>
          <w:p>
            <w:pPr>
              <w:ind w:left="20"/>
              <w:spacing w:after="0"/>
              <w:rPr>
                <w:sz w:val="20"/>
                <w:szCs w:val="20"/>
                <w:color w:val="auto"/>
              </w:rPr>
            </w:pPr>
            <w:r>
              <w:rPr>
                <w:rFonts w:ascii="Arial" w:cs="Arial" w:eastAsia="Arial" w:hAnsi="Arial"/>
                <w:sz w:val="14"/>
                <w:szCs w:val="14"/>
                <w:color w:val="auto"/>
              </w:rPr>
              <w:t>Enable partners’ equity</w:t>
            </w:r>
          </w:p>
        </w:tc>
        <w:tc>
          <w:tcPr>
            <w:tcW w:w="280" w:type="dxa"/>
            <w:vAlign w:val="bottom"/>
          </w:tcPr>
          <w:p>
            <w:pPr>
              <w:spacing w:after="0"/>
              <w:rPr>
                <w:sz w:val="16"/>
                <w:szCs w:val="16"/>
                <w:color w:val="auto"/>
              </w:rPr>
            </w:pPr>
          </w:p>
        </w:tc>
        <w:tc>
          <w:tcPr>
            <w:tcW w:w="1580" w:type="dxa"/>
            <w:vAlign w:val="bottom"/>
          </w:tcPr>
          <w:p>
            <w:pPr>
              <w:jc w:val="right"/>
              <w:ind w:right="50"/>
              <w:spacing w:after="0"/>
              <w:rPr>
                <w:sz w:val="20"/>
                <w:szCs w:val="20"/>
                <w:color w:val="auto"/>
              </w:rPr>
            </w:pPr>
            <w:r>
              <w:rPr>
                <w:rFonts w:ascii="Arial" w:cs="Arial" w:eastAsia="Arial" w:hAnsi="Arial"/>
                <w:sz w:val="14"/>
                <w:szCs w:val="14"/>
                <w:color w:val="auto"/>
              </w:rPr>
              <w:t>7,145</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80" w:type="dxa"/>
            <w:vAlign w:val="bottom"/>
          </w:tcPr>
          <w:p>
            <w:pPr>
              <w:jc w:val="right"/>
              <w:ind w:right="29"/>
              <w:spacing w:after="0"/>
              <w:rPr>
                <w:sz w:val="20"/>
                <w:szCs w:val="20"/>
                <w:color w:val="auto"/>
              </w:rPr>
            </w:pPr>
            <w:r>
              <w:rPr>
                <w:rFonts w:ascii="Arial" w:cs="Arial" w:eastAsia="Arial" w:hAnsi="Arial"/>
                <w:sz w:val="14"/>
                <w:szCs w:val="14"/>
                <w:color w:val="auto"/>
              </w:rPr>
              <w:t>7,218</w:t>
            </w:r>
          </w:p>
        </w:tc>
      </w:tr>
      <w:tr>
        <w:trPr>
          <w:trHeight w:val="23"/>
        </w:trPr>
        <w:tc>
          <w:tcPr>
            <w:tcW w:w="7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96"/>
        </w:trPr>
        <w:tc>
          <w:tcPr>
            <w:tcW w:w="7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Reconciliation of Investment in Enable:</w:t>
            </w:r>
          </w:p>
        </w:tc>
        <w:tc>
          <w:tcPr>
            <w:tcW w:w="280" w:type="dxa"/>
            <w:vAlign w:val="bottom"/>
            <w:tcBorders>
              <w:bottom w:val="single" w:sz="8" w:color="CCEEFF"/>
            </w:tcBorders>
            <w:shd w:val="clear" w:color="auto" w:fill="CCEEFF"/>
          </w:tcPr>
          <w:p>
            <w:pPr>
              <w:spacing w:after="0"/>
              <w:rPr>
                <w:sz w:val="17"/>
                <w:szCs w:val="17"/>
                <w:color w:val="auto"/>
              </w:rPr>
            </w:pPr>
          </w:p>
        </w:tc>
        <w:tc>
          <w:tcPr>
            <w:tcW w:w="15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spacing w:after="0"/>
              <w:rPr>
                <w:sz w:val="17"/>
                <w:szCs w:val="17"/>
                <w:color w:val="auto"/>
              </w:rPr>
            </w:pPr>
          </w:p>
        </w:tc>
      </w:tr>
      <w:tr>
        <w:trPr>
          <w:trHeight w:val="193"/>
        </w:trPr>
        <w:tc>
          <w:tcPr>
            <w:tcW w:w="7680" w:type="dxa"/>
            <w:vAlign w:val="bottom"/>
          </w:tcPr>
          <w:p>
            <w:pPr>
              <w:ind w:left="20"/>
              <w:spacing w:after="0"/>
              <w:rPr>
                <w:sz w:val="20"/>
                <w:szCs w:val="20"/>
                <w:color w:val="auto"/>
              </w:rPr>
            </w:pPr>
            <w:r>
              <w:rPr>
                <w:rFonts w:ascii="Arial" w:cs="Arial" w:eastAsia="Arial" w:hAnsi="Arial"/>
                <w:sz w:val="14"/>
                <w:szCs w:val="14"/>
                <w:color w:val="auto"/>
              </w:rPr>
              <w:t>CenterPoint Energy’s ownership interest in Enable partners’ equity</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580" w:type="dxa"/>
            <w:vAlign w:val="bottom"/>
          </w:tcPr>
          <w:p>
            <w:pPr>
              <w:jc w:val="right"/>
              <w:ind w:right="50"/>
              <w:spacing w:after="0"/>
              <w:rPr>
                <w:sz w:val="20"/>
                <w:szCs w:val="20"/>
                <w:color w:val="auto"/>
              </w:rPr>
            </w:pPr>
            <w:r>
              <w:rPr>
                <w:rFonts w:ascii="Arial" w:cs="Arial" w:eastAsia="Arial" w:hAnsi="Arial"/>
                <w:sz w:val="14"/>
                <w:szCs w:val="14"/>
                <w:color w:val="auto"/>
              </w:rPr>
              <w:t>3,838</w:t>
            </w:r>
          </w:p>
        </w:tc>
        <w:tc>
          <w:tcPr>
            <w:tcW w:w="120" w:type="dxa"/>
            <w:vAlign w:val="bottom"/>
          </w:tcPr>
          <w:p>
            <w:pPr>
              <w:spacing w:after="0"/>
              <w:rPr>
                <w:sz w:val="16"/>
                <w:szCs w:val="16"/>
                <w:color w:val="auto"/>
              </w:rPr>
            </w:pP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480" w:type="dxa"/>
            <w:vAlign w:val="bottom"/>
          </w:tcPr>
          <w:p>
            <w:pPr>
              <w:jc w:val="right"/>
              <w:ind w:right="29"/>
              <w:spacing w:after="0"/>
              <w:rPr>
                <w:sz w:val="20"/>
                <w:szCs w:val="20"/>
                <w:color w:val="auto"/>
              </w:rPr>
            </w:pPr>
            <w:r>
              <w:rPr>
                <w:rFonts w:ascii="Arial" w:cs="Arial" w:eastAsia="Arial" w:hAnsi="Arial"/>
                <w:sz w:val="14"/>
                <w:szCs w:val="14"/>
                <w:color w:val="auto"/>
              </w:rPr>
              <w:t>3,896</w:t>
            </w:r>
          </w:p>
        </w:tc>
      </w:tr>
      <w:tr>
        <w:trPr>
          <w:trHeight w:val="23"/>
        </w:trPr>
        <w:tc>
          <w:tcPr>
            <w:tcW w:w="7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216"/>
        </w:trPr>
        <w:tc>
          <w:tcPr>
            <w:tcW w:w="7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CenterPoint Energy’s basis difference</w:t>
            </w:r>
          </w:p>
        </w:tc>
        <w:tc>
          <w:tcPr>
            <w:tcW w:w="280" w:type="dxa"/>
            <w:vAlign w:val="bottom"/>
            <w:tcBorders>
              <w:bottom w:val="single" w:sz="8" w:color="CCEEFF"/>
            </w:tcBorders>
            <w:shd w:val="clear" w:color="auto" w:fill="CCEEFF"/>
          </w:tcPr>
          <w:p>
            <w:pPr>
              <w:spacing w:after="0"/>
              <w:rPr>
                <w:sz w:val="18"/>
                <w:szCs w:val="18"/>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(1,371)</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(1,414)</w:t>
            </w:r>
          </w:p>
        </w:tc>
      </w:tr>
      <w:tr>
        <w:trPr>
          <w:trHeight w:val="200"/>
        </w:trPr>
        <w:tc>
          <w:tcPr>
            <w:tcW w:w="7680" w:type="dxa"/>
            <w:vAlign w:val="bottom"/>
          </w:tcPr>
          <w:p>
            <w:pPr>
              <w:ind w:left="20"/>
              <w:spacing w:after="0"/>
              <w:rPr>
                <w:sz w:val="20"/>
                <w:szCs w:val="20"/>
                <w:color w:val="auto"/>
              </w:rPr>
            </w:pPr>
            <w:r>
              <w:rPr>
                <w:rFonts w:ascii="Arial" w:cs="Arial" w:eastAsia="Arial" w:hAnsi="Arial"/>
                <w:sz w:val="14"/>
                <w:szCs w:val="14"/>
                <w:color w:val="auto"/>
              </w:rPr>
              <w:t>CenterPoint Energy’s equity method investment in Enable</w:t>
            </w:r>
          </w:p>
        </w:tc>
        <w:tc>
          <w:tcPr>
            <w:tcW w:w="28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58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4"/>
                <w:szCs w:val="14"/>
                <w:color w:val="auto"/>
              </w:rPr>
              <w:t>2,467</w:t>
            </w:r>
          </w:p>
        </w:tc>
        <w:tc>
          <w:tcPr>
            <w:tcW w:w="120" w:type="dxa"/>
            <w:vAlign w:val="bottom"/>
          </w:tcPr>
          <w:p>
            <w:pPr>
              <w:spacing w:after="0"/>
              <w:rPr>
                <w:sz w:val="17"/>
                <w:szCs w:val="17"/>
                <w:color w:val="auto"/>
              </w:rPr>
            </w:pPr>
          </w:p>
        </w:tc>
        <w:tc>
          <w:tcPr>
            <w:tcW w:w="32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4"/>
                <w:szCs w:val="14"/>
                <w:color w:val="auto"/>
                <w:w w:val="76"/>
              </w:rPr>
              <w:t>$</w:t>
            </w:r>
          </w:p>
        </w:tc>
        <w:tc>
          <w:tcPr>
            <w:tcW w:w="148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2,482</w:t>
            </w:r>
          </w:p>
        </w:tc>
      </w:tr>
      <w:tr>
        <w:trPr>
          <w:trHeight w:val="20"/>
        </w:trPr>
        <w:tc>
          <w:tcPr>
            <w:tcW w:w="76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334" w:lineRule="exact"/>
        <w:rPr>
          <w:sz w:val="20"/>
          <w:szCs w:val="20"/>
          <w:color w:val="auto"/>
        </w:rPr>
      </w:pPr>
    </w:p>
    <w:p>
      <w:pPr>
        <w:ind w:left="140"/>
        <w:spacing w:after="0"/>
        <w:rPr>
          <w:sz w:val="20"/>
          <w:szCs w:val="20"/>
          <w:color w:val="auto"/>
        </w:rPr>
      </w:pPr>
      <w:r>
        <w:rPr>
          <w:rFonts w:ascii="Arial" w:cs="Arial" w:eastAsia="Arial" w:hAnsi="Arial"/>
          <w:sz w:val="14"/>
          <w:szCs w:val="14"/>
          <w:b w:val="1"/>
          <w:bCs w:val="1"/>
          <w:i w:val="1"/>
          <w:iCs w:val="1"/>
          <w:color w:val="auto"/>
        </w:rPr>
        <w:t>Discontinued Operations (CERC):</w:t>
      </w:r>
    </w:p>
    <w:p>
      <w:pPr>
        <w:spacing w:after="0" w:line="184" w:lineRule="exact"/>
        <w:rPr>
          <w:sz w:val="20"/>
          <w:szCs w:val="20"/>
          <w:color w:val="auto"/>
        </w:rPr>
      </w:pPr>
    </w:p>
    <w:p>
      <w:pPr>
        <w:jc w:val="both"/>
        <w:ind w:firstLine="259"/>
        <w:spacing w:after="0" w:line="272" w:lineRule="auto"/>
        <w:rPr>
          <w:sz w:val="20"/>
          <w:szCs w:val="20"/>
          <w:color w:val="auto"/>
        </w:rPr>
      </w:pPr>
      <w:r>
        <w:rPr>
          <w:rFonts w:ascii="Arial" w:cs="Arial" w:eastAsia="Arial" w:hAnsi="Arial"/>
          <w:sz w:val="14"/>
          <w:szCs w:val="14"/>
          <w:color w:val="auto"/>
        </w:rPr>
        <w:t>On September 4, 2018, CERC completed the Internal Spin. CERC executed the Internal Spin to, among other things, enhance the access of CERC and CenterPoint Energy to low cost debt and equity through increased transparency and understandability of the financial statements, improve CERC’s credit quality by eliminating the exposure to Enable’s midstream business and provide clarity of internal reporting and performance metrics to enhance management’s decision making for CERC and CNP Midstream.</w:t>
      </w:r>
    </w:p>
    <w:p>
      <w:pPr>
        <w:spacing w:after="0" w:line="142" w:lineRule="exact"/>
        <w:rPr>
          <w:sz w:val="20"/>
          <w:szCs w:val="20"/>
          <w:color w:val="auto"/>
        </w:rPr>
      </w:pPr>
    </w:p>
    <w:p>
      <w:pPr>
        <w:jc w:val="both"/>
        <w:ind w:firstLine="259"/>
        <w:spacing w:after="0" w:line="294" w:lineRule="auto"/>
        <w:rPr>
          <w:sz w:val="20"/>
          <w:szCs w:val="20"/>
          <w:color w:val="auto"/>
        </w:rPr>
      </w:pPr>
      <w:r>
        <w:rPr>
          <w:rFonts w:ascii="Arial" w:cs="Arial" w:eastAsia="Arial" w:hAnsi="Arial"/>
          <w:sz w:val="13"/>
          <w:szCs w:val="13"/>
          <w:color w:val="auto"/>
        </w:rPr>
        <w:t>The Internal Spin represents a significant strategic shift that has a material effect on CERC’s operations and financial results and, as a result, CERC’s distribution of its equity investment in Enable met the criteria for discontinued operations classification. CERC has no continuing involvement with Enable other than its natural gas purchases from Enable. Therefore, CERC’s equity in earnings and related income taxes have been classified as Income from discontinued operations, net of tax, in CERC’s Condensed Statements of Consolidated Income for the periods presented. The following table presents amounts included in Income from discontinued operations, net of tax in CERC’s Condensed Statements of Consolidated Income.</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7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980" w:type="dxa"/>
            <w:vAlign w:val="bottom"/>
            <w:gridSpan w:val="2"/>
          </w:tcPr>
          <w:p>
            <w:pPr>
              <w:jc w:val="right"/>
              <w:ind w:right="220"/>
              <w:spacing w:after="0"/>
              <w:rPr>
                <w:sz w:val="20"/>
                <w:szCs w:val="20"/>
                <w:color w:val="auto"/>
              </w:rPr>
            </w:pPr>
            <w:r>
              <w:rPr>
                <w:rFonts w:ascii="Arial" w:cs="Arial" w:eastAsia="Arial" w:hAnsi="Arial"/>
                <w:sz w:val="11"/>
                <w:szCs w:val="11"/>
                <w:b w:val="1"/>
                <w:bCs w:val="1"/>
                <w:color w:val="auto"/>
                <w:w w:val="93"/>
              </w:rPr>
              <w:t>Three months ended September 30,</w:t>
            </w:r>
          </w:p>
        </w:tc>
        <w:tc>
          <w:tcPr>
            <w:tcW w:w="100" w:type="dxa"/>
            <w:vAlign w:val="bottom"/>
          </w:tcPr>
          <w:p>
            <w:pPr>
              <w:spacing w:after="0"/>
              <w:rPr>
                <w:sz w:val="10"/>
                <w:szCs w:val="10"/>
                <w:color w:val="auto"/>
              </w:rPr>
            </w:pPr>
          </w:p>
        </w:tc>
        <w:tc>
          <w:tcPr>
            <w:tcW w:w="1820" w:type="dxa"/>
            <w:vAlign w:val="bottom"/>
          </w:tcPr>
          <w:p>
            <w:pPr>
              <w:jc w:val="right"/>
              <w:ind w:right="54"/>
              <w:spacing w:after="0"/>
              <w:rPr>
                <w:sz w:val="20"/>
                <w:szCs w:val="20"/>
                <w:color w:val="auto"/>
              </w:rPr>
            </w:pPr>
            <w:r>
              <w:rPr>
                <w:rFonts w:ascii="Arial" w:cs="Arial" w:eastAsia="Arial" w:hAnsi="Arial"/>
                <w:sz w:val="11"/>
                <w:szCs w:val="11"/>
                <w:b w:val="1"/>
                <w:bCs w:val="1"/>
                <w:color w:val="auto"/>
                <w:w w:val="93"/>
              </w:rPr>
              <w:t>Nine months ended September 30,</w:t>
            </w:r>
          </w:p>
        </w:tc>
      </w:tr>
      <w:tr>
        <w:trPr>
          <w:trHeight w:val="153"/>
        </w:trPr>
        <w:tc>
          <w:tcPr>
            <w:tcW w:w="73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860" w:type="dxa"/>
            <w:vAlign w:val="bottom"/>
            <w:tcBorders>
              <w:bottom w:val="single" w:sz="8" w:color="auto"/>
            </w:tcBorders>
          </w:tcPr>
          <w:p>
            <w:pPr>
              <w:jc w:val="right"/>
              <w:ind w:right="795"/>
              <w:spacing w:after="0"/>
              <w:rPr>
                <w:sz w:val="20"/>
                <w:szCs w:val="20"/>
                <w:color w:val="auto"/>
              </w:rPr>
            </w:pPr>
            <w:r>
              <w:rPr>
                <w:rFonts w:ascii="Arial" w:cs="Arial" w:eastAsia="Arial" w:hAnsi="Arial"/>
                <w:sz w:val="11"/>
                <w:szCs w:val="11"/>
                <w:b w:val="1"/>
                <w:bCs w:val="1"/>
                <w:color w:val="auto"/>
              </w:rPr>
              <w:t>2018</w:t>
            </w:r>
          </w:p>
        </w:tc>
        <w:tc>
          <w:tcPr>
            <w:tcW w:w="1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820" w:type="dxa"/>
            <w:vAlign w:val="bottom"/>
            <w:tcBorders>
              <w:bottom w:val="single" w:sz="8" w:color="auto"/>
            </w:tcBorders>
          </w:tcPr>
          <w:p>
            <w:pPr>
              <w:jc w:val="right"/>
              <w:ind w:right="774"/>
              <w:spacing w:after="0"/>
              <w:rPr>
                <w:sz w:val="20"/>
                <w:szCs w:val="20"/>
                <w:color w:val="auto"/>
              </w:rPr>
            </w:pPr>
            <w:r>
              <w:rPr>
                <w:rFonts w:ascii="Arial" w:cs="Arial" w:eastAsia="Arial" w:hAnsi="Arial"/>
                <w:sz w:val="11"/>
                <w:szCs w:val="11"/>
                <w:b w:val="1"/>
                <w:bCs w:val="1"/>
                <w:color w:val="auto"/>
              </w:rPr>
              <w:t>2018</w:t>
            </w:r>
          </w:p>
        </w:tc>
      </w:tr>
      <w:tr>
        <w:trPr>
          <w:trHeight w:val="196"/>
        </w:trPr>
        <w:tc>
          <w:tcPr>
            <w:tcW w:w="7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900" w:type="dxa"/>
            <w:vAlign w:val="bottom"/>
            <w:gridSpan w:val="4"/>
          </w:tcPr>
          <w:p>
            <w:pPr>
              <w:jc w:val="right"/>
              <w:ind w:right="1694"/>
              <w:spacing w:after="0"/>
              <w:rPr>
                <w:sz w:val="20"/>
                <w:szCs w:val="20"/>
                <w:color w:val="auto"/>
              </w:rPr>
            </w:pPr>
            <w:r>
              <w:rPr>
                <w:rFonts w:ascii="Arial" w:cs="Arial" w:eastAsia="Arial" w:hAnsi="Arial"/>
                <w:sz w:val="11"/>
                <w:szCs w:val="11"/>
                <w:b w:val="1"/>
                <w:bCs w:val="1"/>
                <w:color w:val="auto"/>
              </w:rPr>
              <w:t>(in millions)</w:t>
            </w:r>
          </w:p>
        </w:tc>
      </w:tr>
      <w:tr>
        <w:trPr>
          <w:trHeight w:val="200"/>
        </w:trPr>
        <w:tc>
          <w:tcPr>
            <w:tcW w:w="74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Equity in earnings of unconsolidated affiliate, net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4"/>
                <w:szCs w:val="14"/>
                <w:color w:val="auto"/>
              </w:rPr>
              <w:t>57</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8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4"/>
                <w:szCs w:val="14"/>
                <w:color w:val="auto"/>
              </w:rPr>
              <w:t>184</w:t>
            </w:r>
          </w:p>
        </w:tc>
      </w:tr>
      <w:tr>
        <w:trPr>
          <w:trHeight w:val="193"/>
        </w:trPr>
        <w:tc>
          <w:tcPr>
            <w:tcW w:w="7460" w:type="dxa"/>
            <w:vAlign w:val="bottom"/>
            <w:gridSpan w:val="2"/>
          </w:tcPr>
          <w:p>
            <w:pPr>
              <w:ind w:left="20"/>
              <w:spacing w:after="0"/>
              <w:rPr>
                <w:sz w:val="20"/>
                <w:szCs w:val="20"/>
                <w:color w:val="auto"/>
              </w:rPr>
            </w:pPr>
            <w:r>
              <w:rPr>
                <w:rFonts w:ascii="Arial" w:cs="Arial" w:eastAsia="Arial" w:hAnsi="Arial"/>
                <w:sz w:val="14"/>
                <w:szCs w:val="14"/>
                <w:color w:val="auto"/>
              </w:rPr>
              <w:t>Income tax expense</w:t>
            </w:r>
          </w:p>
        </w:tc>
        <w:tc>
          <w:tcPr>
            <w:tcW w:w="100" w:type="dxa"/>
            <w:vAlign w:val="bottom"/>
          </w:tcPr>
          <w:p>
            <w:pPr>
              <w:spacing w:after="0"/>
              <w:rPr>
                <w:sz w:val="16"/>
                <w:szCs w:val="16"/>
                <w:color w:val="auto"/>
              </w:rPr>
            </w:pPr>
          </w:p>
        </w:tc>
        <w:tc>
          <w:tcPr>
            <w:tcW w:w="1860" w:type="dxa"/>
            <w:vAlign w:val="bottom"/>
          </w:tcPr>
          <w:p>
            <w:pPr>
              <w:jc w:val="right"/>
              <w:ind w:right="55"/>
              <w:spacing w:after="0"/>
              <w:rPr>
                <w:sz w:val="20"/>
                <w:szCs w:val="20"/>
                <w:color w:val="auto"/>
              </w:rPr>
            </w:pPr>
            <w:r>
              <w:rPr>
                <w:rFonts w:ascii="Arial" w:cs="Arial" w:eastAsia="Arial" w:hAnsi="Arial"/>
                <w:sz w:val="14"/>
                <w:szCs w:val="14"/>
                <w:color w:val="auto"/>
              </w:rPr>
              <w:t>13</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20" w:type="dxa"/>
            <w:vAlign w:val="bottom"/>
          </w:tcPr>
          <w:p>
            <w:pPr>
              <w:jc w:val="right"/>
              <w:ind w:right="34"/>
              <w:spacing w:after="0"/>
              <w:rPr>
                <w:sz w:val="20"/>
                <w:szCs w:val="20"/>
                <w:color w:val="auto"/>
              </w:rPr>
            </w:pPr>
            <w:r>
              <w:rPr>
                <w:rFonts w:ascii="Arial" w:cs="Arial" w:eastAsia="Arial" w:hAnsi="Arial"/>
                <w:sz w:val="14"/>
                <w:szCs w:val="14"/>
                <w:color w:val="auto"/>
              </w:rPr>
              <w:t>44</w:t>
            </w:r>
          </w:p>
        </w:tc>
      </w:tr>
      <w:tr>
        <w:trPr>
          <w:trHeight w:val="23"/>
        </w:trPr>
        <w:tc>
          <w:tcPr>
            <w:tcW w:w="73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r>
        <w:trPr>
          <w:trHeight w:val="200"/>
        </w:trPr>
        <w:tc>
          <w:tcPr>
            <w:tcW w:w="74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Income from discontinued operations, net of tax</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6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4"/>
                <w:szCs w:val="14"/>
                <w:color w:val="auto"/>
              </w:rPr>
              <w:t>44</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8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4"/>
                <w:szCs w:val="14"/>
                <w:color w:val="auto"/>
              </w:rPr>
              <w:t>140</w:t>
            </w:r>
          </w:p>
        </w:tc>
      </w:tr>
      <w:tr>
        <w:trPr>
          <w:trHeight w:val="20"/>
        </w:trPr>
        <w:tc>
          <w:tcPr>
            <w:tcW w:w="7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330" w:lineRule="exact"/>
        <w:rPr>
          <w:sz w:val="20"/>
          <w:szCs w:val="20"/>
          <w:color w:val="auto"/>
        </w:rPr>
      </w:pPr>
    </w:p>
    <w:p>
      <w:pPr>
        <w:ind w:left="280" w:hanging="274"/>
        <w:spacing w:after="0"/>
        <w:tabs>
          <w:tab w:leader="none" w:pos="280" w:val="left"/>
        </w:tabs>
        <w:numPr>
          <w:ilvl w:val="0"/>
          <w:numId w:val="30"/>
        </w:numPr>
        <w:rPr>
          <w:rFonts w:ascii="Arial" w:cs="Arial" w:eastAsia="Arial" w:hAnsi="Arial"/>
          <w:sz w:val="14"/>
          <w:szCs w:val="14"/>
          <w:b w:val="1"/>
          <w:bCs w:val="1"/>
          <w:color w:val="auto"/>
        </w:rPr>
      </w:pPr>
      <w:r>
        <w:rPr>
          <w:rFonts w:ascii="Arial" w:cs="Arial" w:eastAsia="Arial" w:hAnsi="Arial"/>
          <w:sz w:val="14"/>
          <w:szCs w:val="14"/>
          <w:b w:val="1"/>
          <w:bCs w:val="1"/>
          <w:color w:val="auto"/>
        </w:rPr>
        <w:t>Goodwill and Other Intangibles (CenterPoint Energy and CERC)</w:t>
      </w:r>
    </w:p>
    <w:p>
      <w:pPr>
        <w:spacing w:after="0" w:line="187" w:lineRule="exact"/>
        <w:rPr>
          <w:rFonts w:ascii="Arial" w:cs="Arial" w:eastAsia="Arial" w:hAnsi="Arial"/>
          <w:sz w:val="14"/>
          <w:szCs w:val="14"/>
          <w:b w:val="1"/>
          <w:bCs w:val="1"/>
          <w:color w:val="auto"/>
        </w:rPr>
      </w:pPr>
    </w:p>
    <w:p>
      <w:pPr>
        <w:ind w:left="260"/>
        <w:spacing w:after="0"/>
        <w:rPr>
          <w:rFonts w:ascii="Arial" w:cs="Arial" w:eastAsia="Arial" w:hAnsi="Arial"/>
          <w:sz w:val="14"/>
          <w:szCs w:val="14"/>
          <w:b w:val="1"/>
          <w:bCs w:val="1"/>
          <w:color w:val="auto"/>
        </w:rPr>
      </w:pPr>
      <w:r>
        <w:rPr>
          <w:rFonts w:ascii="Arial" w:cs="Arial" w:eastAsia="Arial" w:hAnsi="Arial"/>
          <w:sz w:val="14"/>
          <w:szCs w:val="14"/>
          <w:color w:val="auto"/>
        </w:rPr>
        <w:t>CenterPoint Energy’s goodwill by reportable segment as of December 31, 2018 and changes in the carrying amount of goodwill as of September 30, 2019 is as follows: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67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40" w:type="dxa"/>
            <w:vAlign w:val="bottom"/>
            <w:gridSpan w:val="2"/>
            <w:vMerge w:val="restart"/>
          </w:tcPr>
          <w:p>
            <w:pPr>
              <w:ind w:left="100"/>
              <w:spacing w:after="0"/>
              <w:rPr>
                <w:sz w:val="20"/>
                <w:szCs w:val="20"/>
                <w:color w:val="auto"/>
              </w:rPr>
            </w:pPr>
            <w:r>
              <w:rPr>
                <w:rFonts w:ascii="Arial" w:cs="Arial" w:eastAsia="Arial" w:hAnsi="Arial"/>
                <w:sz w:val="11"/>
                <w:szCs w:val="11"/>
                <w:b w:val="1"/>
                <w:bCs w:val="1"/>
                <w:color w:val="auto"/>
              </w:rPr>
              <w:t>December 31, 2018</w:t>
            </w:r>
          </w:p>
        </w:tc>
        <w:tc>
          <w:tcPr>
            <w:tcW w:w="260" w:type="dxa"/>
            <w:vAlign w:val="bottom"/>
          </w:tcPr>
          <w:p>
            <w:pPr>
              <w:spacing w:after="0"/>
              <w:rPr>
                <w:sz w:val="10"/>
                <w:szCs w:val="10"/>
                <w:color w:val="auto"/>
              </w:rPr>
            </w:pPr>
          </w:p>
        </w:tc>
        <w:tc>
          <w:tcPr>
            <w:tcW w:w="1340" w:type="dxa"/>
            <w:vAlign w:val="bottom"/>
            <w:gridSpan w:val="2"/>
            <w:vMerge w:val="restart"/>
          </w:tcPr>
          <w:p>
            <w:pPr>
              <w:ind w:left="180"/>
              <w:spacing w:after="0"/>
              <w:rPr>
                <w:sz w:val="20"/>
                <w:szCs w:val="20"/>
                <w:color w:val="auto"/>
              </w:rPr>
            </w:pPr>
            <w:r>
              <w:rPr>
                <w:rFonts w:ascii="Arial" w:cs="Arial" w:eastAsia="Arial" w:hAnsi="Arial"/>
                <w:sz w:val="11"/>
                <w:szCs w:val="11"/>
                <w:b w:val="1"/>
                <w:bCs w:val="1"/>
                <w:color w:val="auto"/>
              </w:rPr>
              <w:t xml:space="preserve">Additions </w:t>
            </w:r>
            <w:r>
              <w:rPr>
                <w:rFonts w:ascii="Arial" w:cs="Arial" w:eastAsia="Arial" w:hAnsi="Arial"/>
                <w:sz w:val="8"/>
                <w:szCs w:val="8"/>
                <w:b w:val="1"/>
                <w:bCs w:val="1"/>
                <w:color w:val="auto"/>
              </w:rPr>
              <w:t>(1)</w:t>
            </w:r>
          </w:p>
        </w:tc>
        <w:tc>
          <w:tcPr>
            <w:tcW w:w="220" w:type="dxa"/>
            <w:vAlign w:val="bottom"/>
          </w:tcPr>
          <w:p>
            <w:pPr>
              <w:spacing w:after="0"/>
              <w:rPr>
                <w:sz w:val="10"/>
                <w:szCs w:val="10"/>
                <w:color w:val="auto"/>
              </w:rPr>
            </w:pPr>
          </w:p>
        </w:tc>
        <w:tc>
          <w:tcPr>
            <w:tcW w:w="1240" w:type="dxa"/>
            <w:vAlign w:val="bottom"/>
          </w:tcPr>
          <w:p>
            <w:pPr>
              <w:jc w:val="right"/>
              <w:ind w:right="332"/>
              <w:spacing w:after="0"/>
              <w:rPr>
                <w:sz w:val="20"/>
                <w:szCs w:val="20"/>
                <w:color w:val="auto"/>
              </w:rPr>
            </w:pPr>
            <w:r>
              <w:rPr>
                <w:rFonts w:ascii="Arial" w:cs="Arial" w:eastAsia="Arial" w:hAnsi="Arial"/>
                <w:sz w:val="11"/>
                <w:szCs w:val="11"/>
                <w:b w:val="1"/>
                <w:bCs w:val="1"/>
                <w:color w:val="auto"/>
              </w:rPr>
              <w:t>September 30,</w:t>
            </w:r>
          </w:p>
        </w:tc>
        <w:tc>
          <w:tcPr>
            <w:tcW w:w="0" w:type="dxa"/>
            <w:vAlign w:val="bottom"/>
          </w:tcPr>
          <w:p>
            <w:pPr>
              <w:spacing w:after="0"/>
              <w:rPr>
                <w:sz w:val="1"/>
                <w:szCs w:val="1"/>
                <w:color w:val="auto"/>
              </w:rPr>
            </w:pPr>
          </w:p>
        </w:tc>
      </w:tr>
      <w:tr>
        <w:trPr>
          <w:trHeight w:val="153"/>
        </w:trPr>
        <w:tc>
          <w:tcPr>
            <w:tcW w:w="67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gridSpan w:val="2"/>
            <w:vMerge w:val="continue"/>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gridSpan w:val="2"/>
            <w:vMerge w:val="continue"/>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552"/>
              <w:spacing w:after="0"/>
              <w:rPr>
                <w:sz w:val="20"/>
                <w:szCs w:val="20"/>
                <w:color w:val="auto"/>
              </w:rPr>
            </w:pPr>
            <w:r>
              <w:rPr>
                <w:rFonts w:ascii="Arial" w:cs="Arial" w:eastAsia="Arial" w:hAnsi="Arial"/>
                <w:sz w:val="11"/>
                <w:szCs w:val="11"/>
                <w:b w:val="1"/>
                <w:bCs w:val="1"/>
                <w:color w:val="auto"/>
              </w:rPr>
              <w:t>2019</w:t>
            </w:r>
          </w:p>
        </w:tc>
        <w:tc>
          <w:tcPr>
            <w:tcW w:w="0" w:type="dxa"/>
            <w:vAlign w:val="bottom"/>
          </w:tcPr>
          <w:p>
            <w:pPr>
              <w:spacing w:after="0"/>
              <w:rPr>
                <w:sz w:val="1"/>
                <w:szCs w:val="1"/>
                <w:color w:val="auto"/>
              </w:rPr>
            </w:pPr>
          </w:p>
        </w:tc>
      </w:tr>
      <w:tr>
        <w:trPr>
          <w:trHeight w:val="196"/>
        </w:trPr>
        <w:tc>
          <w:tcPr>
            <w:tcW w:w="6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gridSpan w:val="2"/>
          </w:tcPr>
          <w:p>
            <w:pPr>
              <w:ind w:left="180"/>
              <w:spacing w:after="0"/>
              <w:rPr>
                <w:sz w:val="20"/>
                <w:szCs w:val="20"/>
                <w:color w:val="auto"/>
              </w:rPr>
            </w:pPr>
            <w:r>
              <w:rPr>
                <w:rFonts w:ascii="Arial" w:cs="Arial" w:eastAsia="Arial" w:hAnsi="Arial"/>
                <w:sz w:val="11"/>
                <w:szCs w:val="11"/>
                <w:b w:val="1"/>
                <w:bCs w:val="1"/>
                <w:color w:val="auto"/>
              </w:rPr>
              <w:t>(in millions)</w:t>
            </w: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6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Indiana Electric Integrated</w:t>
            </w: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4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1,008</w:t>
            </w: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1,008</w:t>
            </w:r>
          </w:p>
        </w:tc>
        <w:tc>
          <w:tcPr>
            <w:tcW w:w="0" w:type="dxa"/>
            <w:vAlign w:val="bottom"/>
          </w:tcPr>
          <w:p>
            <w:pPr>
              <w:spacing w:after="0"/>
              <w:rPr>
                <w:sz w:val="1"/>
                <w:szCs w:val="1"/>
                <w:color w:val="auto"/>
              </w:rPr>
            </w:pPr>
          </w:p>
        </w:tc>
      </w:tr>
      <w:tr>
        <w:trPr>
          <w:trHeight w:val="193"/>
        </w:trPr>
        <w:tc>
          <w:tcPr>
            <w:tcW w:w="6780" w:type="dxa"/>
            <w:vAlign w:val="bottom"/>
          </w:tcPr>
          <w:p>
            <w:pPr>
              <w:ind w:left="20"/>
              <w:spacing w:after="0"/>
              <w:rPr>
                <w:sz w:val="20"/>
                <w:szCs w:val="20"/>
                <w:color w:val="auto"/>
              </w:rPr>
            </w:pPr>
            <w:r>
              <w:rPr>
                <w:rFonts w:ascii="Arial" w:cs="Arial" w:eastAsia="Arial" w:hAnsi="Arial"/>
                <w:sz w:val="14"/>
                <w:szCs w:val="14"/>
                <w:color w:val="auto"/>
              </w:rPr>
              <w:t>Natural Gas Distribution</w:t>
            </w:r>
          </w:p>
        </w:tc>
        <w:tc>
          <w:tcPr>
            <w:tcW w:w="180" w:type="dxa"/>
            <w:vAlign w:val="bottom"/>
          </w:tcPr>
          <w:p>
            <w:pPr>
              <w:spacing w:after="0"/>
              <w:rPr>
                <w:sz w:val="16"/>
                <w:szCs w:val="16"/>
                <w:color w:val="auto"/>
              </w:rPr>
            </w:pPr>
          </w:p>
        </w:tc>
        <w:tc>
          <w:tcPr>
            <w:tcW w:w="1320" w:type="dxa"/>
            <w:vAlign w:val="bottom"/>
          </w:tcPr>
          <w:p>
            <w:pPr>
              <w:jc w:val="right"/>
              <w:ind w:right="50"/>
              <w:spacing w:after="0"/>
              <w:rPr>
                <w:sz w:val="20"/>
                <w:szCs w:val="20"/>
                <w:color w:val="auto"/>
              </w:rPr>
            </w:pPr>
            <w:r>
              <w:rPr>
                <w:rFonts w:ascii="Arial" w:cs="Arial" w:eastAsia="Arial" w:hAnsi="Arial"/>
                <w:sz w:val="14"/>
                <w:szCs w:val="14"/>
                <w:color w:val="auto"/>
              </w:rPr>
              <w:t>746</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ind w:right="32"/>
              <w:spacing w:after="0"/>
              <w:rPr>
                <w:sz w:val="20"/>
                <w:szCs w:val="20"/>
                <w:color w:val="auto"/>
              </w:rPr>
            </w:pPr>
            <w:r>
              <w:rPr>
                <w:rFonts w:ascii="Arial" w:cs="Arial" w:eastAsia="Arial" w:hAnsi="Arial"/>
                <w:sz w:val="14"/>
                <w:szCs w:val="14"/>
                <w:color w:val="auto"/>
              </w:rPr>
              <w:t>2,529</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jc w:val="right"/>
              <w:ind w:right="32"/>
              <w:spacing w:after="0"/>
              <w:rPr>
                <w:sz w:val="20"/>
                <w:szCs w:val="20"/>
                <w:color w:val="auto"/>
              </w:rPr>
            </w:pPr>
            <w:r>
              <w:rPr>
                <w:rFonts w:ascii="Arial" w:cs="Arial" w:eastAsia="Arial" w:hAnsi="Arial"/>
                <w:sz w:val="14"/>
                <w:szCs w:val="14"/>
                <w:color w:val="auto"/>
              </w:rPr>
              <w:t>3,275</w:t>
            </w:r>
          </w:p>
        </w:tc>
        <w:tc>
          <w:tcPr>
            <w:tcW w:w="0" w:type="dxa"/>
            <w:vAlign w:val="bottom"/>
          </w:tcPr>
          <w:p>
            <w:pPr>
              <w:spacing w:after="0"/>
              <w:rPr>
                <w:sz w:val="1"/>
                <w:szCs w:val="1"/>
                <w:color w:val="auto"/>
              </w:rPr>
            </w:pPr>
          </w:p>
        </w:tc>
      </w:tr>
      <w:tr>
        <w:trPr>
          <w:trHeight w:val="23"/>
        </w:trPr>
        <w:tc>
          <w:tcPr>
            <w:tcW w:w="6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 xml:space="preserve">Energy Services </w:t>
            </w:r>
            <w:r>
              <w:rPr>
                <w:rFonts w:ascii="Arial" w:cs="Arial" w:eastAsia="Arial" w:hAnsi="Arial"/>
                <w:sz w:val="11"/>
                <w:szCs w:val="11"/>
                <w:color w:val="auto"/>
              </w:rPr>
              <w:t>(2)</w:t>
            </w:r>
          </w:p>
        </w:tc>
        <w:tc>
          <w:tcPr>
            <w:tcW w:w="18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110</w:t>
            </w: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110</w:t>
            </w:r>
          </w:p>
        </w:tc>
        <w:tc>
          <w:tcPr>
            <w:tcW w:w="0" w:type="dxa"/>
            <w:vAlign w:val="bottom"/>
          </w:tcPr>
          <w:p>
            <w:pPr>
              <w:spacing w:after="0"/>
              <w:rPr>
                <w:sz w:val="1"/>
                <w:szCs w:val="1"/>
                <w:color w:val="auto"/>
              </w:rPr>
            </w:pPr>
          </w:p>
        </w:tc>
      </w:tr>
      <w:tr>
        <w:trPr>
          <w:trHeight w:val="193"/>
        </w:trPr>
        <w:tc>
          <w:tcPr>
            <w:tcW w:w="6780" w:type="dxa"/>
            <w:vAlign w:val="bottom"/>
          </w:tcPr>
          <w:p>
            <w:pPr>
              <w:ind w:left="20"/>
              <w:spacing w:after="0"/>
              <w:rPr>
                <w:sz w:val="20"/>
                <w:szCs w:val="20"/>
                <w:color w:val="auto"/>
              </w:rPr>
            </w:pPr>
            <w:r>
              <w:rPr>
                <w:rFonts w:ascii="Arial" w:cs="Arial" w:eastAsia="Arial" w:hAnsi="Arial"/>
                <w:sz w:val="14"/>
                <w:szCs w:val="14"/>
                <w:color w:val="auto"/>
              </w:rPr>
              <w:t>Infrastructure Services</w:t>
            </w:r>
          </w:p>
        </w:tc>
        <w:tc>
          <w:tcPr>
            <w:tcW w:w="180" w:type="dxa"/>
            <w:vAlign w:val="bottom"/>
          </w:tcPr>
          <w:p>
            <w:pPr>
              <w:spacing w:after="0"/>
              <w:rPr>
                <w:sz w:val="16"/>
                <w:szCs w:val="16"/>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1220" w:type="dxa"/>
            <w:vAlign w:val="bottom"/>
          </w:tcPr>
          <w:p>
            <w:pPr>
              <w:jc w:val="right"/>
              <w:ind w:right="32"/>
              <w:spacing w:after="0"/>
              <w:rPr>
                <w:sz w:val="20"/>
                <w:szCs w:val="20"/>
                <w:color w:val="auto"/>
              </w:rPr>
            </w:pPr>
            <w:r>
              <w:rPr>
                <w:rFonts w:ascii="Arial" w:cs="Arial" w:eastAsia="Arial" w:hAnsi="Arial"/>
                <w:sz w:val="14"/>
                <w:szCs w:val="14"/>
                <w:color w:val="auto"/>
              </w:rPr>
              <w:t>355</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jc w:val="right"/>
              <w:ind w:right="32"/>
              <w:spacing w:after="0"/>
              <w:rPr>
                <w:sz w:val="20"/>
                <w:szCs w:val="20"/>
                <w:color w:val="auto"/>
              </w:rPr>
            </w:pPr>
            <w:r>
              <w:rPr>
                <w:rFonts w:ascii="Arial" w:cs="Arial" w:eastAsia="Arial" w:hAnsi="Arial"/>
                <w:sz w:val="14"/>
                <w:szCs w:val="14"/>
                <w:color w:val="auto"/>
              </w:rPr>
              <w:t>355</w:t>
            </w:r>
          </w:p>
        </w:tc>
        <w:tc>
          <w:tcPr>
            <w:tcW w:w="0" w:type="dxa"/>
            <w:vAlign w:val="bottom"/>
          </w:tcPr>
          <w:p>
            <w:pPr>
              <w:spacing w:after="0"/>
              <w:rPr>
                <w:sz w:val="1"/>
                <w:szCs w:val="1"/>
                <w:color w:val="auto"/>
              </w:rPr>
            </w:pPr>
          </w:p>
        </w:tc>
      </w:tr>
      <w:tr>
        <w:trPr>
          <w:trHeight w:val="23"/>
        </w:trPr>
        <w:tc>
          <w:tcPr>
            <w:tcW w:w="6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6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Corporate and Other</w:t>
            </w:r>
          </w:p>
        </w:tc>
        <w:tc>
          <w:tcPr>
            <w:tcW w:w="18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11</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420</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431</w:t>
            </w:r>
          </w:p>
        </w:tc>
        <w:tc>
          <w:tcPr>
            <w:tcW w:w="0" w:type="dxa"/>
            <w:vAlign w:val="bottom"/>
          </w:tcPr>
          <w:p>
            <w:pPr>
              <w:spacing w:after="0"/>
              <w:rPr>
                <w:sz w:val="1"/>
                <w:szCs w:val="1"/>
                <w:color w:val="auto"/>
              </w:rPr>
            </w:pPr>
          </w:p>
        </w:tc>
      </w:tr>
      <w:tr>
        <w:trPr>
          <w:trHeight w:val="200"/>
        </w:trPr>
        <w:tc>
          <w:tcPr>
            <w:tcW w:w="6780" w:type="dxa"/>
            <w:vAlign w:val="bottom"/>
          </w:tcPr>
          <w:p>
            <w:pPr>
              <w:ind w:left="140"/>
              <w:spacing w:after="0"/>
              <w:rPr>
                <w:sz w:val="20"/>
                <w:szCs w:val="20"/>
                <w:color w:val="auto"/>
              </w:rPr>
            </w:pPr>
            <w:r>
              <w:rPr>
                <w:rFonts w:ascii="Arial" w:cs="Arial" w:eastAsia="Arial" w:hAnsi="Arial"/>
                <w:sz w:val="14"/>
                <w:szCs w:val="14"/>
                <w:color w:val="auto"/>
              </w:rPr>
              <w:t>Total</w:t>
            </w: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132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4"/>
                <w:szCs w:val="14"/>
                <w:color w:val="auto"/>
              </w:rPr>
              <w:t>867</w:t>
            </w:r>
          </w:p>
        </w:tc>
        <w:tc>
          <w:tcPr>
            <w:tcW w:w="12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4"/>
                <w:szCs w:val="14"/>
                <w:color w:val="auto"/>
              </w:rPr>
              <w:t>4,312</w:t>
            </w:r>
          </w:p>
        </w:tc>
        <w:tc>
          <w:tcPr>
            <w:tcW w:w="12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4"/>
                <w:szCs w:val="14"/>
                <w:color w:val="auto"/>
              </w:rPr>
              <w:t>5,179</w:t>
            </w:r>
          </w:p>
        </w:tc>
        <w:tc>
          <w:tcPr>
            <w:tcW w:w="0" w:type="dxa"/>
            <w:vAlign w:val="bottom"/>
          </w:tcPr>
          <w:p>
            <w:pPr>
              <w:spacing w:after="0"/>
              <w:rPr>
                <w:sz w:val="1"/>
                <w:szCs w:val="1"/>
                <w:color w:val="auto"/>
              </w:rPr>
            </w:pPr>
          </w:p>
        </w:tc>
      </w:tr>
      <w:tr>
        <w:trPr>
          <w:trHeight w:val="20"/>
        </w:trPr>
        <w:tc>
          <w:tcPr>
            <w:tcW w:w="67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9" w:lineRule="exact"/>
        <w:rPr>
          <w:sz w:val="20"/>
          <w:szCs w:val="20"/>
          <w:color w:val="auto"/>
        </w:rPr>
      </w:pPr>
    </w:p>
    <w:p>
      <w:pPr>
        <w:ind w:left="5660" w:right="3740" w:hanging="5395"/>
        <w:spacing w:after="0" w:line="722" w:lineRule="auto"/>
        <w:tabs>
          <w:tab w:leader="none" w:pos="521" w:val="left"/>
        </w:tabs>
        <w:numPr>
          <w:ilvl w:val="0"/>
          <w:numId w:val="31"/>
        </w:numPr>
        <w:rPr>
          <w:rFonts w:ascii="Arial" w:cs="Arial" w:eastAsia="Arial" w:hAnsi="Arial"/>
          <w:sz w:val="14"/>
          <w:szCs w:val="14"/>
          <w:color w:val="auto"/>
        </w:rPr>
      </w:pPr>
      <w:r>
        <w:rPr>
          <w:rFonts w:ascii="Arial" w:cs="Arial" w:eastAsia="Arial" w:hAnsi="Arial"/>
          <w:sz w:val="14"/>
          <w:szCs w:val="14"/>
          <w:color w:val="auto"/>
        </w:rPr>
        <w:t>The allocation of goodwill to reportable segments subsequent to the Merger is preliminary and subject to change. See Note 3. 44</w:t>
      </w:r>
    </w:p>
    <w:p>
      <w:pPr>
        <w:sectPr>
          <w:pgSz w:w="11900" w:h="16838" w:orient="portrait"/>
          <w:cols w:equalWidth="0" w:num="1">
            <w:col w:w="11460"/>
          </w:cols>
          <w:pgMar w:left="220" w:top="129" w:right="219" w:bottom="1440" w:gutter="0" w:footer="0" w:header="0"/>
        </w:sectPr>
      </w:pPr>
    </w:p>
    <w:bookmarkStart w:id="54" w:name="page55"/>
    <w:bookmarkEnd w:id="54"/>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205" w:lineRule="exact"/>
        <w:rPr>
          <w:sz w:val="20"/>
          <w:szCs w:val="20"/>
          <w:color w:val="auto"/>
        </w:rPr>
      </w:pPr>
    </w:p>
    <w:p>
      <w:pPr>
        <w:ind w:left="260"/>
        <w:spacing w:after="0"/>
        <w:rPr>
          <w:sz w:val="20"/>
          <w:szCs w:val="20"/>
          <w:color w:val="auto"/>
        </w:rPr>
      </w:pPr>
      <w:r>
        <w:rPr>
          <w:rFonts w:ascii="Arial" w:cs="Arial" w:eastAsia="Arial" w:hAnsi="Arial"/>
          <w:sz w:val="14"/>
          <w:szCs w:val="14"/>
          <w:color w:val="auto"/>
        </w:rPr>
        <w:t>(2)  Amount presented is net of the accumulated goodwill impairment charge of $252 million recorded in 2012.</w:t>
      </w:r>
    </w:p>
    <w:p>
      <w:pPr>
        <w:spacing w:after="0" w:line="108" w:lineRule="exact"/>
        <w:rPr>
          <w:sz w:val="20"/>
          <w:szCs w:val="20"/>
          <w:color w:val="auto"/>
        </w:rPr>
      </w:pPr>
    </w:p>
    <w:p>
      <w:pPr>
        <w:ind w:left="260"/>
        <w:spacing w:after="0"/>
        <w:rPr>
          <w:sz w:val="20"/>
          <w:szCs w:val="20"/>
          <w:color w:val="auto"/>
        </w:rPr>
      </w:pPr>
      <w:r>
        <w:rPr>
          <w:rFonts w:ascii="Arial" w:cs="Arial" w:eastAsia="Arial" w:hAnsi="Arial"/>
          <w:sz w:val="14"/>
          <w:szCs w:val="14"/>
          <w:color w:val="auto"/>
        </w:rPr>
        <w:t>CERC’s goodwill by reportable segment as of September 30, 2019 and December 31, 2018 is as follows: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7680" w:type="dxa"/>
            <w:vAlign w:val="bottom"/>
          </w:tcPr>
          <w:p>
            <w:pPr>
              <w:spacing w:after="0"/>
              <w:rPr>
                <w:sz w:val="13"/>
                <w:szCs w:val="13"/>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September 30, 2019</w:t>
            </w:r>
          </w:p>
        </w:tc>
        <w:tc>
          <w:tcPr>
            <w:tcW w:w="4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jc w:val="right"/>
              <w:ind w:right="371"/>
              <w:spacing w:after="0"/>
              <w:rPr>
                <w:sz w:val="20"/>
                <w:szCs w:val="20"/>
                <w:color w:val="auto"/>
              </w:rPr>
            </w:pPr>
            <w:r>
              <w:rPr>
                <w:rFonts w:ascii="Arial" w:cs="Arial" w:eastAsia="Arial" w:hAnsi="Arial"/>
                <w:sz w:val="11"/>
                <w:szCs w:val="11"/>
                <w:b w:val="1"/>
                <w:bCs w:val="1"/>
                <w:color w:val="auto"/>
              </w:rPr>
              <w:t>December 31, 2018</w:t>
            </w:r>
          </w:p>
        </w:tc>
      </w:tr>
      <w:tr>
        <w:trPr>
          <w:trHeight w:val="196"/>
        </w:trPr>
        <w:tc>
          <w:tcPr>
            <w:tcW w:w="76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840" w:type="dxa"/>
            <w:vAlign w:val="bottom"/>
            <w:gridSpan w:val="3"/>
          </w:tcPr>
          <w:p>
            <w:pPr>
              <w:jc w:val="right"/>
              <w:ind w:right="28"/>
              <w:spacing w:after="0"/>
              <w:rPr>
                <w:sz w:val="20"/>
                <w:szCs w:val="20"/>
                <w:color w:val="auto"/>
              </w:rPr>
            </w:pPr>
            <w:r>
              <w:rPr>
                <w:rFonts w:ascii="Arial" w:cs="Arial" w:eastAsia="Arial" w:hAnsi="Arial"/>
                <w:sz w:val="11"/>
                <w:szCs w:val="11"/>
                <w:b w:val="1"/>
                <w:bCs w:val="1"/>
                <w:color w:val="auto"/>
              </w:rPr>
              <w:t>(in millions)</w:t>
            </w:r>
          </w:p>
        </w:tc>
        <w:tc>
          <w:tcPr>
            <w:tcW w:w="1480" w:type="dxa"/>
            <w:vAlign w:val="bottom"/>
          </w:tcPr>
          <w:p>
            <w:pPr>
              <w:spacing w:after="0"/>
              <w:rPr>
                <w:sz w:val="17"/>
                <w:szCs w:val="17"/>
                <w:color w:val="auto"/>
              </w:rPr>
            </w:pPr>
          </w:p>
        </w:tc>
      </w:tr>
      <w:tr>
        <w:trPr>
          <w:trHeight w:val="200"/>
        </w:trPr>
        <w:tc>
          <w:tcPr>
            <w:tcW w:w="7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Natural Gas Distribution</w:t>
            </w:r>
          </w:p>
        </w:tc>
        <w:tc>
          <w:tcPr>
            <w:tcW w:w="1460" w:type="dxa"/>
            <w:vAlign w:val="bottom"/>
            <w:tcBorders>
              <w:bottom w:val="single" w:sz="8" w:color="CCEEFF"/>
            </w:tcBorders>
            <w:shd w:val="clear" w:color="auto" w:fill="CCEEFF"/>
          </w:tcPr>
          <w:p>
            <w:pPr>
              <w:jc w:val="right"/>
              <w:ind w:right="1293"/>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746</w:t>
            </w:r>
          </w:p>
        </w:tc>
        <w:tc>
          <w:tcPr>
            <w:tcW w:w="1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746</w:t>
            </w:r>
          </w:p>
        </w:tc>
      </w:tr>
      <w:tr>
        <w:trPr>
          <w:trHeight w:val="193"/>
        </w:trPr>
        <w:tc>
          <w:tcPr>
            <w:tcW w:w="7680" w:type="dxa"/>
            <w:vAlign w:val="bottom"/>
          </w:tcPr>
          <w:p>
            <w:pPr>
              <w:ind w:left="20"/>
              <w:spacing w:after="0"/>
              <w:rPr>
                <w:sz w:val="20"/>
                <w:szCs w:val="20"/>
                <w:color w:val="auto"/>
              </w:rPr>
            </w:pPr>
            <w:r>
              <w:rPr>
                <w:rFonts w:ascii="Arial" w:cs="Arial" w:eastAsia="Arial" w:hAnsi="Arial"/>
                <w:sz w:val="14"/>
                <w:szCs w:val="14"/>
                <w:color w:val="auto"/>
              </w:rPr>
              <w:t xml:space="preserve">Energy Services </w:t>
            </w:r>
            <w:r>
              <w:rPr>
                <w:rFonts w:ascii="Arial" w:cs="Arial" w:eastAsia="Arial" w:hAnsi="Arial"/>
                <w:sz w:val="11"/>
                <w:szCs w:val="11"/>
                <w:color w:val="auto"/>
              </w:rPr>
              <w:t>(1)</w:t>
            </w:r>
          </w:p>
        </w:tc>
        <w:tc>
          <w:tcPr>
            <w:tcW w:w="1460" w:type="dxa"/>
            <w:vAlign w:val="bottom"/>
          </w:tcPr>
          <w:p>
            <w:pPr>
              <w:spacing w:after="0"/>
              <w:rPr>
                <w:sz w:val="16"/>
                <w:szCs w:val="16"/>
                <w:color w:val="auto"/>
              </w:rPr>
            </w:pPr>
          </w:p>
        </w:tc>
        <w:tc>
          <w:tcPr>
            <w:tcW w:w="400" w:type="dxa"/>
            <w:vAlign w:val="bottom"/>
          </w:tcPr>
          <w:p>
            <w:pPr>
              <w:jc w:val="right"/>
              <w:ind w:right="51"/>
              <w:spacing w:after="0"/>
              <w:rPr>
                <w:sz w:val="20"/>
                <w:szCs w:val="20"/>
                <w:color w:val="auto"/>
              </w:rPr>
            </w:pPr>
            <w:r>
              <w:rPr>
                <w:rFonts w:ascii="Arial" w:cs="Arial" w:eastAsia="Arial" w:hAnsi="Arial"/>
                <w:sz w:val="14"/>
                <w:szCs w:val="14"/>
                <w:color w:val="auto"/>
              </w:rPr>
              <w:t>110</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80" w:type="dxa"/>
            <w:vAlign w:val="bottom"/>
          </w:tcPr>
          <w:p>
            <w:pPr>
              <w:jc w:val="right"/>
              <w:ind w:right="31"/>
              <w:spacing w:after="0"/>
              <w:rPr>
                <w:sz w:val="20"/>
                <w:szCs w:val="20"/>
                <w:color w:val="auto"/>
              </w:rPr>
            </w:pPr>
            <w:r>
              <w:rPr>
                <w:rFonts w:ascii="Arial" w:cs="Arial" w:eastAsia="Arial" w:hAnsi="Arial"/>
                <w:sz w:val="14"/>
                <w:szCs w:val="14"/>
                <w:color w:val="auto"/>
              </w:rPr>
              <w:t>110</w:t>
            </w:r>
          </w:p>
        </w:tc>
      </w:tr>
      <w:tr>
        <w:trPr>
          <w:trHeight w:val="23"/>
        </w:trPr>
        <w:tc>
          <w:tcPr>
            <w:tcW w:w="76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216"/>
        </w:trPr>
        <w:tc>
          <w:tcPr>
            <w:tcW w:w="7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Corporate and Other</w:t>
            </w:r>
          </w:p>
        </w:tc>
        <w:tc>
          <w:tcPr>
            <w:tcW w:w="146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11</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11</w:t>
            </w:r>
          </w:p>
        </w:tc>
      </w:tr>
      <w:tr>
        <w:trPr>
          <w:trHeight w:val="200"/>
        </w:trPr>
        <w:tc>
          <w:tcPr>
            <w:tcW w:w="7680" w:type="dxa"/>
            <w:vAlign w:val="bottom"/>
          </w:tcPr>
          <w:p>
            <w:pPr>
              <w:ind w:left="140"/>
              <w:spacing w:after="0"/>
              <w:rPr>
                <w:sz w:val="20"/>
                <w:szCs w:val="20"/>
                <w:color w:val="auto"/>
              </w:rPr>
            </w:pPr>
            <w:r>
              <w:rPr>
                <w:rFonts w:ascii="Arial" w:cs="Arial" w:eastAsia="Arial" w:hAnsi="Arial"/>
                <w:sz w:val="14"/>
                <w:szCs w:val="14"/>
                <w:color w:val="auto"/>
              </w:rPr>
              <w:t>Total</w:t>
            </w:r>
          </w:p>
        </w:tc>
        <w:tc>
          <w:tcPr>
            <w:tcW w:w="1460" w:type="dxa"/>
            <w:vAlign w:val="bottom"/>
            <w:tcBorders>
              <w:top w:val="single" w:sz="8" w:color="auto"/>
              <w:bottom w:val="single" w:sz="8" w:color="auto"/>
            </w:tcBorders>
          </w:tcPr>
          <w:p>
            <w:pPr>
              <w:jc w:val="right"/>
              <w:ind w:right="1293"/>
              <w:spacing w:after="0"/>
              <w:rPr>
                <w:sz w:val="20"/>
                <w:szCs w:val="20"/>
                <w:color w:val="auto"/>
              </w:rPr>
            </w:pPr>
            <w:r>
              <w:rPr>
                <w:rFonts w:ascii="Arial" w:cs="Arial" w:eastAsia="Arial" w:hAnsi="Arial"/>
                <w:sz w:val="14"/>
                <w:szCs w:val="14"/>
                <w:color w:val="auto"/>
              </w:rPr>
              <w:t>$</w:t>
            </w:r>
          </w:p>
        </w:tc>
        <w:tc>
          <w:tcPr>
            <w:tcW w:w="40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4"/>
                <w:szCs w:val="14"/>
                <w:color w:val="auto"/>
              </w:rPr>
              <w:t>867</w:t>
            </w:r>
          </w:p>
        </w:tc>
        <w:tc>
          <w:tcPr>
            <w:tcW w:w="120" w:type="dxa"/>
            <w:vAlign w:val="bottom"/>
          </w:tcPr>
          <w:p>
            <w:pPr>
              <w:spacing w:after="0"/>
              <w:rPr>
                <w:sz w:val="17"/>
                <w:szCs w:val="17"/>
                <w:color w:val="auto"/>
              </w:rPr>
            </w:pPr>
          </w:p>
        </w:tc>
        <w:tc>
          <w:tcPr>
            <w:tcW w:w="32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4"/>
                <w:szCs w:val="14"/>
                <w:color w:val="auto"/>
                <w:w w:val="76"/>
              </w:rPr>
              <w:t>$</w:t>
            </w:r>
          </w:p>
        </w:tc>
        <w:tc>
          <w:tcPr>
            <w:tcW w:w="14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4"/>
                <w:szCs w:val="14"/>
                <w:color w:val="auto"/>
              </w:rPr>
              <w:t>867</w:t>
            </w:r>
          </w:p>
        </w:tc>
      </w:tr>
      <w:tr>
        <w:trPr>
          <w:trHeight w:val="20"/>
        </w:trPr>
        <w:tc>
          <w:tcPr>
            <w:tcW w:w="768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334" w:lineRule="exact"/>
        <w:rPr>
          <w:sz w:val="20"/>
          <w:szCs w:val="20"/>
          <w:color w:val="auto"/>
        </w:rPr>
      </w:pPr>
    </w:p>
    <w:p>
      <w:pPr>
        <w:ind w:left="260"/>
        <w:spacing w:after="0"/>
        <w:rPr>
          <w:sz w:val="20"/>
          <w:szCs w:val="20"/>
          <w:color w:val="auto"/>
        </w:rPr>
      </w:pPr>
      <w:r>
        <w:rPr>
          <w:rFonts w:ascii="Arial" w:cs="Arial" w:eastAsia="Arial" w:hAnsi="Arial"/>
          <w:sz w:val="14"/>
          <w:szCs w:val="14"/>
          <w:color w:val="auto"/>
        </w:rPr>
        <w:t>(1)  Amount presented is net of the accumulated goodwill impairment charge of $252 million recorded in 2012.</w:t>
      </w:r>
    </w:p>
    <w:p>
      <w:pPr>
        <w:spacing w:after="0" w:line="108" w:lineRule="exact"/>
        <w:rPr>
          <w:sz w:val="20"/>
          <w:szCs w:val="20"/>
          <w:color w:val="auto"/>
        </w:rPr>
      </w:pPr>
    </w:p>
    <w:p>
      <w:pPr>
        <w:jc w:val="both"/>
        <w:ind w:firstLine="259"/>
        <w:spacing w:after="0" w:line="294" w:lineRule="auto"/>
        <w:rPr>
          <w:sz w:val="20"/>
          <w:szCs w:val="20"/>
          <w:color w:val="auto"/>
        </w:rPr>
      </w:pPr>
      <w:r>
        <w:rPr>
          <w:rFonts w:ascii="Arial" w:cs="Arial" w:eastAsia="Arial" w:hAnsi="Arial"/>
          <w:sz w:val="13"/>
          <w:szCs w:val="13"/>
          <w:color w:val="auto"/>
        </w:rPr>
        <w:t>CenterPoint Energy and CERC perform goodwill impairment tests at least annually and evaluate goodwill when events or changes in circumstances indicate that its carrying value may not be recoverable. The impairment evaluation for goodwill is performed by comparing the fair value of each reporting unit with the carrying amount of the reporting unit, including goodwill. The estimated fair value of the reporting unit is primarily determined based on an income approach or a weighted combination of income and market approaches. If the carrying amount is in excess of the estimated fair value of the reporting unit, then the excess amount is the impairment charge that should be recorded, not to exceed the carrying amount of goodwill. See Note 2.</w:t>
      </w:r>
    </w:p>
    <w:p>
      <w:pPr>
        <w:spacing w:after="0" w:line="130" w:lineRule="exact"/>
        <w:rPr>
          <w:sz w:val="20"/>
          <w:szCs w:val="20"/>
          <w:color w:val="auto"/>
        </w:rPr>
      </w:pPr>
    </w:p>
    <w:p>
      <w:pPr>
        <w:jc w:val="both"/>
        <w:ind w:firstLine="259"/>
        <w:spacing w:after="0" w:line="272" w:lineRule="auto"/>
        <w:rPr>
          <w:sz w:val="20"/>
          <w:szCs w:val="20"/>
          <w:color w:val="auto"/>
        </w:rPr>
      </w:pPr>
      <w:r>
        <w:rPr>
          <w:rFonts w:ascii="Arial" w:cs="Arial" w:eastAsia="Arial" w:hAnsi="Arial"/>
          <w:sz w:val="14"/>
          <w:szCs w:val="14"/>
          <w:color w:val="auto"/>
        </w:rPr>
        <w:t>CenterPoint Energy and CERC performed the annual goodwill impairment test in the third quarter of 2019 and determined that no goodwill impairment charge was required for any reporting unit. The reporting units approximate the reportable segments, with the exception of ESG, which is a separate reporting unit but included in CenterPoint Energy’s Corporate and Other reportable segment.</w:t>
      </w:r>
    </w:p>
    <w:p>
      <w:pPr>
        <w:spacing w:after="0" w:line="142" w:lineRule="exact"/>
        <w:rPr>
          <w:sz w:val="20"/>
          <w:szCs w:val="20"/>
          <w:color w:val="auto"/>
        </w:rPr>
      </w:pPr>
    </w:p>
    <w:p>
      <w:pPr>
        <w:jc w:val="both"/>
        <w:ind w:firstLine="259"/>
        <w:spacing w:after="0" w:line="328" w:lineRule="auto"/>
        <w:rPr>
          <w:sz w:val="20"/>
          <w:szCs w:val="20"/>
          <w:color w:val="auto"/>
        </w:rPr>
      </w:pPr>
      <w:r>
        <w:rPr>
          <w:rFonts w:ascii="Arial" w:cs="Arial" w:eastAsia="Arial" w:hAnsi="Arial"/>
          <w:sz w:val="13"/>
          <w:szCs w:val="13"/>
          <w:color w:val="auto"/>
        </w:rPr>
        <w:t>The tables below present information on CenterPoint Energy’s other intangible assets recorded in Intangible assets, net on CenterPoint Energy’s Condensed Consolidated Balance Sheets and the related amortization expense included in Depreciation and amortization on CenterPoint Energy’s Condensed Statements of Consolidated Income, unless otherwise indicated.</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42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gridSpan w:val="3"/>
          </w:tcPr>
          <w:p>
            <w:pPr>
              <w:ind w:left="40"/>
              <w:spacing w:after="0"/>
              <w:rPr>
                <w:sz w:val="20"/>
                <w:szCs w:val="20"/>
                <w:color w:val="auto"/>
              </w:rPr>
            </w:pPr>
            <w:r>
              <w:rPr>
                <w:rFonts w:ascii="Arial" w:cs="Arial" w:eastAsia="Arial" w:hAnsi="Arial"/>
                <w:sz w:val="11"/>
                <w:szCs w:val="11"/>
                <w:b w:val="1"/>
                <w:bCs w:val="1"/>
                <w:color w:val="auto"/>
              </w:rPr>
              <w:t>September 30, 2019</w:t>
            </w:r>
          </w:p>
        </w:tc>
        <w:tc>
          <w:tcPr>
            <w:tcW w:w="1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gridSpan w:val="3"/>
          </w:tcPr>
          <w:p>
            <w:pPr>
              <w:ind w:left="60"/>
              <w:spacing w:after="0"/>
              <w:rPr>
                <w:sz w:val="20"/>
                <w:szCs w:val="20"/>
                <w:color w:val="auto"/>
              </w:rPr>
            </w:pPr>
            <w:r>
              <w:rPr>
                <w:rFonts w:ascii="Arial" w:cs="Arial" w:eastAsia="Arial" w:hAnsi="Arial"/>
                <w:sz w:val="11"/>
                <w:szCs w:val="11"/>
                <w:b w:val="1"/>
                <w:bCs w:val="1"/>
                <w:color w:val="auto"/>
              </w:rPr>
              <w:t>December 31, 2018</w:t>
            </w:r>
          </w:p>
        </w:tc>
        <w:tc>
          <w:tcPr>
            <w:tcW w:w="1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8"/>
        </w:trPr>
        <w:tc>
          <w:tcPr>
            <w:tcW w:w="4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gridSpan w:val="2"/>
          </w:tcPr>
          <w:p>
            <w:pPr>
              <w:jc w:val="center"/>
              <w:ind w:right="260"/>
              <w:spacing w:after="0" w:line="119" w:lineRule="exact"/>
              <w:rPr>
                <w:sz w:val="20"/>
                <w:szCs w:val="20"/>
                <w:color w:val="auto"/>
              </w:rPr>
            </w:pPr>
            <w:r>
              <w:rPr>
                <w:rFonts w:ascii="Arial" w:cs="Arial" w:eastAsia="Arial" w:hAnsi="Arial"/>
                <w:sz w:val="11"/>
                <w:szCs w:val="11"/>
                <w:b w:val="1"/>
                <w:bCs w:val="1"/>
                <w:color w:val="auto"/>
                <w:w w:val="94"/>
              </w:rPr>
              <w:t>Gross Carrying</w:t>
            </w:r>
          </w:p>
        </w:tc>
        <w:tc>
          <w:tcPr>
            <w:tcW w:w="160" w:type="dxa"/>
            <w:vAlign w:val="bottom"/>
          </w:tcPr>
          <w:p>
            <w:pPr>
              <w:spacing w:after="0"/>
              <w:rPr>
                <w:sz w:val="10"/>
                <w:szCs w:val="10"/>
                <w:color w:val="auto"/>
              </w:rPr>
            </w:pPr>
          </w:p>
        </w:tc>
        <w:tc>
          <w:tcPr>
            <w:tcW w:w="1120" w:type="dxa"/>
            <w:vAlign w:val="bottom"/>
            <w:gridSpan w:val="2"/>
          </w:tcPr>
          <w:p>
            <w:pPr>
              <w:ind w:left="100"/>
              <w:spacing w:after="0" w:line="119" w:lineRule="exact"/>
              <w:rPr>
                <w:sz w:val="20"/>
                <w:szCs w:val="20"/>
                <w:color w:val="auto"/>
              </w:rPr>
            </w:pPr>
            <w:r>
              <w:rPr>
                <w:rFonts w:ascii="Arial" w:cs="Arial" w:eastAsia="Arial" w:hAnsi="Arial"/>
                <w:sz w:val="11"/>
                <w:szCs w:val="11"/>
                <w:b w:val="1"/>
                <w:bCs w:val="1"/>
                <w:color w:val="auto"/>
              </w:rPr>
              <w:t>Accumulated</w:t>
            </w:r>
          </w:p>
        </w:tc>
        <w:tc>
          <w:tcPr>
            <w:tcW w:w="160" w:type="dxa"/>
            <w:vAlign w:val="bottom"/>
          </w:tcPr>
          <w:p>
            <w:pPr>
              <w:spacing w:after="0"/>
              <w:rPr>
                <w:sz w:val="10"/>
                <w:szCs w:val="10"/>
                <w:color w:val="auto"/>
              </w:rPr>
            </w:pPr>
          </w:p>
        </w:tc>
        <w:tc>
          <w:tcPr>
            <w:tcW w:w="10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Net Balance</w:t>
            </w:r>
          </w:p>
        </w:tc>
        <w:tc>
          <w:tcPr>
            <w:tcW w:w="120" w:type="dxa"/>
            <w:vAlign w:val="bottom"/>
          </w:tcPr>
          <w:p>
            <w:pPr>
              <w:spacing w:after="0"/>
              <w:rPr>
                <w:sz w:val="10"/>
                <w:szCs w:val="10"/>
                <w:color w:val="auto"/>
              </w:rPr>
            </w:pPr>
          </w:p>
        </w:tc>
        <w:tc>
          <w:tcPr>
            <w:tcW w:w="1100" w:type="dxa"/>
            <w:vAlign w:val="bottom"/>
            <w:gridSpan w:val="2"/>
          </w:tcPr>
          <w:p>
            <w:pPr>
              <w:jc w:val="center"/>
              <w:ind w:right="220"/>
              <w:spacing w:after="0" w:line="119" w:lineRule="exact"/>
              <w:rPr>
                <w:sz w:val="20"/>
                <w:szCs w:val="20"/>
                <w:color w:val="auto"/>
              </w:rPr>
            </w:pPr>
            <w:r>
              <w:rPr>
                <w:rFonts w:ascii="Arial" w:cs="Arial" w:eastAsia="Arial" w:hAnsi="Arial"/>
                <w:sz w:val="11"/>
                <w:szCs w:val="11"/>
                <w:b w:val="1"/>
                <w:bCs w:val="1"/>
                <w:color w:val="auto"/>
                <w:w w:val="94"/>
              </w:rPr>
              <w:t>Gross Carrying</w:t>
            </w:r>
          </w:p>
        </w:tc>
        <w:tc>
          <w:tcPr>
            <w:tcW w:w="180" w:type="dxa"/>
            <w:vAlign w:val="bottom"/>
          </w:tcPr>
          <w:p>
            <w:pPr>
              <w:spacing w:after="0"/>
              <w:rPr>
                <w:sz w:val="10"/>
                <w:szCs w:val="10"/>
                <w:color w:val="auto"/>
              </w:rPr>
            </w:pPr>
          </w:p>
        </w:tc>
        <w:tc>
          <w:tcPr>
            <w:tcW w:w="1060" w:type="dxa"/>
            <w:vAlign w:val="bottom"/>
            <w:gridSpan w:val="2"/>
          </w:tcPr>
          <w:p>
            <w:pPr>
              <w:ind w:left="80"/>
              <w:spacing w:after="0" w:line="119" w:lineRule="exact"/>
              <w:rPr>
                <w:sz w:val="20"/>
                <w:szCs w:val="20"/>
                <w:color w:val="auto"/>
              </w:rPr>
            </w:pPr>
            <w:r>
              <w:rPr>
                <w:rFonts w:ascii="Arial" w:cs="Arial" w:eastAsia="Arial" w:hAnsi="Arial"/>
                <w:sz w:val="11"/>
                <w:szCs w:val="11"/>
                <w:b w:val="1"/>
                <w:bCs w:val="1"/>
                <w:color w:val="auto"/>
              </w:rPr>
              <w:t>Accumulated</w:t>
            </w:r>
          </w:p>
        </w:tc>
        <w:tc>
          <w:tcPr>
            <w:tcW w:w="160" w:type="dxa"/>
            <w:vAlign w:val="bottom"/>
          </w:tcPr>
          <w:p>
            <w:pPr>
              <w:spacing w:after="0"/>
              <w:rPr>
                <w:sz w:val="10"/>
                <w:szCs w:val="10"/>
                <w:color w:val="auto"/>
              </w:rPr>
            </w:pPr>
          </w:p>
        </w:tc>
        <w:tc>
          <w:tcPr>
            <w:tcW w:w="860" w:type="dxa"/>
            <w:vAlign w:val="bottom"/>
            <w:vMerge w:val="restart"/>
          </w:tcPr>
          <w:p>
            <w:pPr>
              <w:jc w:val="right"/>
              <w:ind w:right="130"/>
              <w:spacing w:after="0"/>
              <w:rPr>
                <w:sz w:val="20"/>
                <w:szCs w:val="20"/>
                <w:color w:val="auto"/>
              </w:rPr>
            </w:pPr>
            <w:r>
              <w:rPr>
                <w:rFonts w:ascii="Arial" w:cs="Arial" w:eastAsia="Arial" w:hAnsi="Arial"/>
                <w:sz w:val="11"/>
                <w:szCs w:val="11"/>
                <w:b w:val="1"/>
                <w:bCs w:val="1"/>
                <w:color w:val="auto"/>
              </w:rPr>
              <w:t>Net Balance</w:t>
            </w:r>
          </w:p>
        </w:tc>
        <w:tc>
          <w:tcPr>
            <w:tcW w:w="0" w:type="dxa"/>
            <w:vAlign w:val="bottom"/>
          </w:tcPr>
          <w:p>
            <w:pPr>
              <w:spacing w:after="0"/>
              <w:rPr>
                <w:sz w:val="1"/>
                <w:szCs w:val="1"/>
                <w:color w:val="auto"/>
              </w:rPr>
            </w:pPr>
          </w:p>
        </w:tc>
      </w:tr>
      <w:tr>
        <w:trPr>
          <w:trHeight w:val="153"/>
        </w:trPr>
        <w:tc>
          <w:tcPr>
            <w:tcW w:w="42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1"/>
                <w:szCs w:val="11"/>
                <w:b w:val="1"/>
                <w:bCs w:val="1"/>
                <w:color w:val="auto"/>
                <w:w w:val="96"/>
              </w:rPr>
              <w:t>Amount</w:t>
            </w:r>
          </w:p>
        </w:tc>
        <w:tc>
          <w:tcPr>
            <w:tcW w:w="1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gridSpan w:val="2"/>
          </w:tcPr>
          <w:p>
            <w:pPr>
              <w:ind w:left="80"/>
              <w:spacing w:after="0"/>
              <w:rPr>
                <w:sz w:val="20"/>
                <w:szCs w:val="20"/>
                <w:color w:val="auto"/>
              </w:rPr>
            </w:pPr>
            <w:r>
              <w:rPr>
                <w:rFonts w:ascii="Arial" w:cs="Arial" w:eastAsia="Arial" w:hAnsi="Arial"/>
                <w:sz w:val="11"/>
                <w:szCs w:val="11"/>
                <w:b w:val="1"/>
                <w:bCs w:val="1"/>
                <w:color w:val="auto"/>
              </w:rPr>
              <w:t>Amortization</w:t>
            </w:r>
          </w:p>
        </w:tc>
        <w:tc>
          <w:tcPr>
            <w:tcW w:w="1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gridSpan w:val="2"/>
            <w:vMerge w:val="continue"/>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1"/>
                <w:szCs w:val="11"/>
                <w:b w:val="1"/>
                <w:bCs w:val="1"/>
                <w:color w:val="auto"/>
                <w:w w:val="96"/>
              </w:rPr>
              <w:t>Amount</w:t>
            </w:r>
          </w:p>
        </w:tc>
        <w:tc>
          <w:tcPr>
            <w:tcW w:w="18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gridSpan w:val="2"/>
          </w:tcPr>
          <w:p>
            <w:pPr>
              <w:ind w:left="60"/>
              <w:spacing w:after="0"/>
              <w:rPr>
                <w:sz w:val="20"/>
                <w:szCs w:val="20"/>
                <w:color w:val="auto"/>
              </w:rPr>
            </w:pPr>
            <w:r>
              <w:rPr>
                <w:rFonts w:ascii="Arial" w:cs="Arial" w:eastAsia="Arial" w:hAnsi="Arial"/>
                <w:sz w:val="11"/>
                <w:szCs w:val="11"/>
                <w:b w:val="1"/>
                <w:bCs w:val="1"/>
                <w:color w:val="auto"/>
              </w:rPr>
              <w:t>Amortization</w:t>
            </w:r>
          </w:p>
        </w:tc>
        <w:tc>
          <w:tcPr>
            <w:tcW w:w="1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4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20" w:type="dxa"/>
            <w:vAlign w:val="bottom"/>
            <w:gridSpan w:val="5"/>
          </w:tcPr>
          <w:p>
            <w:pPr>
              <w:ind w:left="600"/>
              <w:spacing w:after="0"/>
              <w:rPr>
                <w:sz w:val="20"/>
                <w:szCs w:val="20"/>
                <w:color w:val="auto"/>
              </w:rPr>
            </w:pPr>
            <w:r>
              <w:rPr>
                <w:rFonts w:ascii="Arial" w:cs="Arial" w:eastAsia="Arial" w:hAnsi="Arial"/>
                <w:sz w:val="11"/>
                <w:szCs w:val="11"/>
                <w:b w:val="1"/>
                <w:bCs w:val="1"/>
                <w:color w:val="auto"/>
              </w:rPr>
              <w:t>(in millions)</w:t>
            </w: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 xml:space="preserve">Customer relationships </w:t>
            </w:r>
            <w:r>
              <w:rPr>
                <w:rFonts w:ascii="Arial" w:cs="Arial" w:eastAsia="Arial" w:hAnsi="Arial"/>
                <w:sz w:val="11"/>
                <w:szCs w:val="11"/>
                <w:color w:val="auto"/>
              </w:rPr>
              <w:t>(1)</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306</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4"/>
                <w:szCs w:val="14"/>
                <w:color w:val="auto"/>
              </w:rPr>
              <w:t>(40)</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266</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86</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59</w:t>
            </w:r>
          </w:p>
        </w:tc>
        <w:tc>
          <w:tcPr>
            <w:tcW w:w="0" w:type="dxa"/>
            <w:vAlign w:val="bottom"/>
          </w:tcPr>
          <w:p>
            <w:pPr>
              <w:spacing w:after="0"/>
              <w:rPr>
                <w:sz w:val="1"/>
                <w:szCs w:val="1"/>
                <w:color w:val="auto"/>
              </w:rPr>
            </w:pPr>
          </w:p>
        </w:tc>
      </w:tr>
      <w:tr>
        <w:trPr>
          <w:trHeight w:val="193"/>
        </w:trPr>
        <w:tc>
          <w:tcPr>
            <w:tcW w:w="4260" w:type="dxa"/>
            <w:vAlign w:val="bottom"/>
          </w:tcPr>
          <w:p>
            <w:pPr>
              <w:ind w:left="20"/>
              <w:spacing w:after="0"/>
              <w:rPr>
                <w:sz w:val="20"/>
                <w:szCs w:val="20"/>
                <w:color w:val="auto"/>
              </w:rPr>
            </w:pPr>
            <w:r>
              <w:rPr>
                <w:rFonts w:ascii="Arial" w:cs="Arial" w:eastAsia="Arial" w:hAnsi="Arial"/>
                <w:sz w:val="14"/>
                <w:szCs w:val="14"/>
                <w:color w:val="auto"/>
              </w:rPr>
              <w:t>Covenants not to compete</w:t>
            </w:r>
          </w:p>
        </w:tc>
        <w:tc>
          <w:tcPr>
            <w:tcW w:w="140" w:type="dxa"/>
            <w:vAlign w:val="bottom"/>
          </w:tcPr>
          <w:p>
            <w:pPr>
              <w:spacing w:after="0"/>
              <w:rPr>
                <w:sz w:val="16"/>
                <w:szCs w:val="16"/>
                <w:color w:val="auto"/>
              </w:rPr>
            </w:pPr>
          </w:p>
        </w:tc>
        <w:tc>
          <w:tcPr>
            <w:tcW w:w="1020" w:type="dxa"/>
            <w:vAlign w:val="bottom"/>
          </w:tcPr>
          <w:p>
            <w:pPr>
              <w:jc w:val="right"/>
              <w:ind w:right="51"/>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right"/>
              <w:ind w:right="11"/>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jc w:val="right"/>
              <w:ind w:right="51"/>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ind w:right="31"/>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right"/>
              <w:ind w:right="30"/>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3"/>
        </w:trPr>
        <w:tc>
          <w:tcPr>
            <w:tcW w:w="4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 xml:space="preserve">Trade names </w:t>
            </w:r>
            <w:r>
              <w:rPr>
                <w:rFonts w:ascii="Arial" w:cs="Arial" w:eastAsia="Arial" w:hAnsi="Arial"/>
                <w:sz w:val="11"/>
                <w:szCs w:val="11"/>
                <w:color w:val="auto"/>
              </w:rPr>
              <w:t>(1)</w:t>
            </w:r>
          </w:p>
        </w:tc>
        <w:tc>
          <w:tcPr>
            <w:tcW w:w="14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62</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4"/>
                <w:szCs w:val="14"/>
                <w:color w:val="auto"/>
              </w:rPr>
              <w:t>(4)</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58</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3"/>
        </w:trPr>
        <w:tc>
          <w:tcPr>
            <w:tcW w:w="4260" w:type="dxa"/>
            <w:vAlign w:val="bottom"/>
          </w:tcPr>
          <w:p>
            <w:pPr>
              <w:ind w:left="20"/>
              <w:spacing w:after="0"/>
              <w:rPr>
                <w:sz w:val="20"/>
                <w:szCs w:val="20"/>
                <w:color w:val="auto"/>
              </w:rPr>
            </w:pPr>
            <w:r>
              <w:rPr>
                <w:rFonts w:ascii="Arial" w:cs="Arial" w:eastAsia="Arial" w:hAnsi="Arial"/>
                <w:sz w:val="14"/>
                <w:szCs w:val="14"/>
                <w:color w:val="auto"/>
              </w:rPr>
              <w:t xml:space="preserve">Construction backlog </w:t>
            </w:r>
            <w:r>
              <w:rPr>
                <w:rFonts w:ascii="Arial" w:cs="Arial" w:eastAsia="Arial" w:hAnsi="Arial"/>
                <w:sz w:val="11"/>
                <w:szCs w:val="11"/>
                <w:color w:val="auto"/>
              </w:rPr>
              <w:t>(1) (2)</w:t>
            </w:r>
          </w:p>
        </w:tc>
        <w:tc>
          <w:tcPr>
            <w:tcW w:w="140" w:type="dxa"/>
            <w:vAlign w:val="bottom"/>
          </w:tcPr>
          <w:p>
            <w:pPr>
              <w:spacing w:after="0"/>
              <w:rPr>
                <w:sz w:val="16"/>
                <w:szCs w:val="16"/>
                <w:color w:val="auto"/>
              </w:rPr>
            </w:pPr>
          </w:p>
        </w:tc>
        <w:tc>
          <w:tcPr>
            <w:tcW w:w="1020" w:type="dxa"/>
            <w:vAlign w:val="bottom"/>
          </w:tcPr>
          <w:p>
            <w:pPr>
              <w:jc w:val="right"/>
              <w:ind w:right="51"/>
              <w:spacing w:after="0"/>
              <w:rPr>
                <w:sz w:val="20"/>
                <w:szCs w:val="20"/>
                <w:color w:val="auto"/>
              </w:rPr>
            </w:pPr>
            <w:r>
              <w:rPr>
                <w:rFonts w:ascii="Arial" w:cs="Arial" w:eastAsia="Arial" w:hAnsi="Arial"/>
                <w:sz w:val="14"/>
                <w:szCs w:val="14"/>
                <w:color w:val="auto"/>
              </w:rPr>
              <w:t>28</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right"/>
              <w:ind w:right="11"/>
              <w:spacing w:after="0"/>
              <w:rPr>
                <w:sz w:val="20"/>
                <w:szCs w:val="20"/>
                <w:color w:val="auto"/>
              </w:rPr>
            </w:pPr>
            <w:r>
              <w:rPr>
                <w:rFonts w:ascii="Arial" w:cs="Arial" w:eastAsia="Arial" w:hAnsi="Arial"/>
                <w:sz w:val="14"/>
                <w:szCs w:val="14"/>
                <w:color w:val="auto"/>
              </w:rPr>
              <w:t>(18)</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jc w:val="right"/>
              <w:ind w:right="51"/>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6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
        </w:trPr>
        <w:tc>
          <w:tcPr>
            <w:tcW w:w="4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 xml:space="preserve">Operation and maintenance agreements </w:t>
            </w:r>
            <w:r>
              <w:rPr>
                <w:rFonts w:ascii="Arial" w:cs="Arial" w:eastAsia="Arial" w:hAnsi="Arial"/>
                <w:sz w:val="11"/>
                <w:szCs w:val="11"/>
                <w:color w:val="auto"/>
              </w:rPr>
              <w:t>(1) (2)</w:t>
            </w:r>
          </w:p>
        </w:tc>
        <w:tc>
          <w:tcPr>
            <w:tcW w:w="14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12</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4"/>
                <w:szCs w:val="14"/>
                <w:color w:val="auto"/>
              </w:rPr>
              <w:t>(1)</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11</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3"/>
        </w:trPr>
        <w:tc>
          <w:tcPr>
            <w:tcW w:w="4260" w:type="dxa"/>
            <w:vAlign w:val="bottom"/>
          </w:tcPr>
          <w:p>
            <w:pPr>
              <w:ind w:left="20"/>
              <w:spacing w:after="0"/>
              <w:rPr>
                <w:sz w:val="20"/>
                <w:szCs w:val="20"/>
                <w:color w:val="auto"/>
              </w:rPr>
            </w:pPr>
            <w:r>
              <w:rPr>
                <w:rFonts w:ascii="Arial" w:cs="Arial" w:eastAsia="Arial" w:hAnsi="Arial"/>
                <w:sz w:val="14"/>
                <w:szCs w:val="14"/>
                <w:color w:val="auto"/>
              </w:rPr>
              <w:t xml:space="preserve">Other </w:t>
            </w:r>
            <w:r>
              <w:rPr>
                <w:rFonts w:ascii="Arial" w:cs="Arial" w:eastAsia="Arial" w:hAnsi="Arial"/>
                <w:sz w:val="11"/>
                <w:szCs w:val="11"/>
                <w:color w:val="auto"/>
              </w:rPr>
              <w:t>(1)</w:t>
            </w:r>
          </w:p>
        </w:tc>
        <w:tc>
          <w:tcPr>
            <w:tcW w:w="140" w:type="dxa"/>
            <w:vAlign w:val="bottom"/>
          </w:tcPr>
          <w:p>
            <w:pPr>
              <w:spacing w:after="0"/>
              <w:rPr>
                <w:sz w:val="16"/>
                <w:szCs w:val="16"/>
                <w:color w:val="auto"/>
              </w:rPr>
            </w:pPr>
          </w:p>
        </w:tc>
        <w:tc>
          <w:tcPr>
            <w:tcW w:w="1020" w:type="dxa"/>
            <w:vAlign w:val="bottom"/>
          </w:tcPr>
          <w:p>
            <w:pPr>
              <w:jc w:val="right"/>
              <w:ind w:right="51"/>
              <w:spacing w:after="0"/>
              <w:rPr>
                <w:sz w:val="20"/>
                <w:szCs w:val="20"/>
                <w:color w:val="auto"/>
              </w:rPr>
            </w:pPr>
            <w:r>
              <w:rPr>
                <w:rFonts w:ascii="Arial" w:cs="Arial" w:eastAsia="Arial" w:hAnsi="Arial"/>
                <w:sz w:val="14"/>
                <w:szCs w:val="14"/>
                <w:color w:val="auto"/>
              </w:rPr>
              <w:t>24</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right"/>
              <w:ind w:right="11"/>
              <w:spacing w:after="0"/>
              <w:rPr>
                <w:sz w:val="20"/>
                <w:szCs w:val="20"/>
                <w:color w:val="auto"/>
              </w:rPr>
            </w:pPr>
            <w:r>
              <w:rPr>
                <w:rFonts w:ascii="Arial" w:cs="Arial" w:eastAsia="Arial" w:hAnsi="Arial"/>
                <w:sz w:val="14"/>
                <w:szCs w:val="14"/>
                <w:color w:val="auto"/>
              </w:rPr>
              <w:t>(14)</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jc w:val="right"/>
              <w:ind w:right="51"/>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ind w:right="31"/>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right"/>
              <w:ind w:right="30"/>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3"/>
        </w:trPr>
        <w:tc>
          <w:tcPr>
            <w:tcW w:w="42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42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436</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(80)</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356</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106</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65</w:t>
            </w: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4" w:lineRule="exact"/>
        <w:rPr>
          <w:sz w:val="20"/>
          <w:szCs w:val="20"/>
          <w:color w:val="auto"/>
        </w:rPr>
      </w:pPr>
    </w:p>
    <w:p>
      <w:pPr>
        <w:ind w:left="520" w:hanging="255"/>
        <w:spacing w:after="0"/>
        <w:tabs>
          <w:tab w:leader="none" w:pos="520" w:val="left"/>
        </w:tabs>
        <w:numPr>
          <w:ilvl w:val="0"/>
          <w:numId w:val="32"/>
        </w:numPr>
        <w:rPr>
          <w:rFonts w:ascii="Arial" w:cs="Arial" w:eastAsia="Arial" w:hAnsi="Arial"/>
          <w:sz w:val="14"/>
          <w:szCs w:val="14"/>
          <w:color w:val="auto"/>
        </w:rPr>
      </w:pPr>
      <w:r>
        <w:rPr>
          <w:rFonts w:ascii="Arial" w:cs="Arial" w:eastAsia="Arial" w:hAnsi="Arial"/>
          <w:sz w:val="14"/>
          <w:szCs w:val="14"/>
          <w:color w:val="auto"/>
        </w:rPr>
        <w:t>The fair value of intangible assets acquired through acquisitions is preliminary and subject to change. See Note 3.</w:t>
      </w:r>
    </w:p>
    <w:p>
      <w:pPr>
        <w:spacing w:after="0" w:line="108" w:lineRule="exact"/>
        <w:rPr>
          <w:rFonts w:ascii="Arial" w:cs="Arial" w:eastAsia="Arial" w:hAnsi="Arial"/>
          <w:sz w:val="14"/>
          <w:szCs w:val="14"/>
          <w:color w:val="auto"/>
        </w:rPr>
      </w:pPr>
    </w:p>
    <w:p>
      <w:pPr>
        <w:ind w:left="520" w:hanging="255"/>
        <w:spacing w:after="0" w:line="288" w:lineRule="auto"/>
        <w:tabs>
          <w:tab w:leader="none" w:pos="520" w:val="left"/>
        </w:tabs>
        <w:numPr>
          <w:ilvl w:val="0"/>
          <w:numId w:val="32"/>
        </w:numPr>
        <w:rPr>
          <w:rFonts w:ascii="Arial" w:cs="Arial" w:eastAsia="Arial" w:hAnsi="Arial"/>
          <w:sz w:val="14"/>
          <w:szCs w:val="14"/>
          <w:color w:val="auto"/>
        </w:rPr>
      </w:pPr>
      <w:r>
        <w:rPr>
          <w:rFonts w:ascii="Arial" w:cs="Arial" w:eastAsia="Arial" w:hAnsi="Arial"/>
          <w:sz w:val="14"/>
          <w:szCs w:val="14"/>
          <w:color w:val="auto"/>
        </w:rPr>
        <w:t>Amortization expense related to the operation and maintenance agreements and construction backlog is included in Non-utility cost of revenues, including natural gas on CenterPoint Energy’s Condensed Statements of Consolidated Income.</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5160" w:type="dxa"/>
            <w:vAlign w:val="bottom"/>
          </w:tcPr>
          <w:p>
            <w:pPr>
              <w:spacing w:after="0"/>
              <w:rPr>
                <w:sz w:val="13"/>
                <w:szCs w:val="13"/>
                <w:color w:val="auto"/>
              </w:rPr>
            </w:pPr>
          </w:p>
        </w:tc>
        <w:tc>
          <w:tcPr>
            <w:tcW w:w="2680" w:type="dxa"/>
            <w:vAlign w:val="bottom"/>
            <w:tcBorders>
              <w:bottom w:val="single" w:sz="8" w:color="auto"/>
            </w:tcBorders>
            <w:gridSpan w:val="3"/>
          </w:tcPr>
          <w:p>
            <w:pPr>
              <w:jc w:val="right"/>
              <w:ind w:right="155"/>
              <w:spacing w:after="0"/>
              <w:rPr>
                <w:sz w:val="20"/>
                <w:szCs w:val="20"/>
                <w:color w:val="auto"/>
              </w:rPr>
            </w:pPr>
            <w:r>
              <w:rPr>
                <w:rFonts w:ascii="Arial" w:cs="Arial" w:eastAsia="Arial" w:hAnsi="Arial"/>
                <w:sz w:val="11"/>
                <w:szCs w:val="11"/>
                <w:b w:val="1"/>
                <w:bCs w:val="1"/>
                <w:color w:val="auto"/>
              </w:rPr>
              <w:t>Three Months Ended September 30,</w:t>
            </w:r>
          </w:p>
        </w:tc>
        <w:tc>
          <w:tcPr>
            <w:tcW w:w="4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2640" w:type="dxa"/>
            <w:vAlign w:val="bottom"/>
            <w:tcBorders>
              <w:bottom w:val="single" w:sz="8" w:color="auto"/>
            </w:tcBorders>
            <w:gridSpan w:val="3"/>
          </w:tcPr>
          <w:p>
            <w:pPr>
              <w:jc w:val="right"/>
              <w:ind w:right="593"/>
              <w:spacing w:after="0"/>
              <w:rPr>
                <w:sz w:val="20"/>
                <w:szCs w:val="20"/>
                <w:color w:val="auto"/>
              </w:rPr>
            </w:pPr>
            <w:r>
              <w:rPr>
                <w:rFonts w:ascii="Arial" w:cs="Arial" w:eastAsia="Arial" w:hAnsi="Arial"/>
                <w:sz w:val="11"/>
                <w:szCs w:val="11"/>
                <w:b w:val="1"/>
                <w:bCs w:val="1"/>
                <w:color w:val="auto"/>
              </w:rPr>
              <w:t>Nine Months Ended September 30,</w:t>
            </w:r>
          </w:p>
        </w:tc>
      </w:tr>
      <w:tr>
        <w:trPr>
          <w:trHeight w:val="206"/>
        </w:trPr>
        <w:tc>
          <w:tcPr>
            <w:tcW w:w="5160" w:type="dxa"/>
            <w:vAlign w:val="bottom"/>
          </w:tcPr>
          <w:p>
            <w:pPr>
              <w:spacing w:after="0"/>
              <w:rPr>
                <w:sz w:val="17"/>
                <w:szCs w:val="17"/>
                <w:color w:val="auto"/>
              </w:rPr>
            </w:pPr>
          </w:p>
        </w:tc>
        <w:tc>
          <w:tcPr>
            <w:tcW w:w="1100" w:type="dxa"/>
            <w:vAlign w:val="bottom"/>
            <w:tcBorders>
              <w:bottom w:val="single" w:sz="8" w:color="auto"/>
            </w:tcBorders>
          </w:tcPr>
          <w:p>
            <w:pPr>
              <w:jc w:val="right"/>
              <w:ind w:right="158"/>
              <w:spacing w:after="0"/>
              <w:rPr>
                <w:sz w:val="20"/>
                <w:szCs w:val="20"/>
                <w:color w:val="auto"/>
              </w:rPr>
            </w:pPr>
            <w:r>
              <w:rPr>
                <w:rFonts w:ascii="Arial" w:cs="Arial" w:eastAsia="Arial" w:hAnsi="Arial"/>
                <w:sz w:val="11"/>
                <w:szCs w:val="11"/>
                <w:b w:val="1"/>
                <w:bCs w:val="1"/>
                <w:color w:val="auto"/>
              </w:rPr>
              <w:t>2019</w:t>
            </w:r>
          </w:p>
        </w:tc>
        <w:tc>
          <w:tcPr>
            <w:tcW w:w="4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135"/>
              <w:spacing w:after="0"/>
              <w:rPr>
                <w:sz w:val="20"/>
                <w:szCs w:val="20"/>
                <w:color w:val="auto"/>
              </w:rPr>
            </w:pPr>
            <w:r>
              <w:rPr>
                <w:rFonts w:ascii="Arial" w:cs="Arial" w:eastAsia="Arial" w:hAnsi="Arial"/>
                <w:sz w:val="11"/>
                <w:szCs w:val="11"/>
                <w:b w:val="1"/>
                <w:bCs w:val="1"/>
                <w:color w:val="auto"/>
              </w:rPr>
              <w:t>2018</w:t>
            </w:r>
          </w:p>
        </w:tc>
        <w:tc>
          <w:tcPr>
            <w:tcW w:w="4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575"/>
              <w:spacing w:after="0"/>
              <w:rPr>
                <w:sz w:val="20"/>
                <w:szCs w:val="20"/>
                <w:color w:val="auto"/>
              </w:rPr>
            </w:pPr>
            <w:r>
              <w:rPr>
                <w:rFonts w:ascii="Arial" w:cs="Arial" w:eastAsia="Arial" w:hAnsi="Arial"/>
                <w:sz w:val="11"/>
                <w:szCs w:val="11"/>
                <w:b w:val="1"/>
                <w:bCs w:val="1"/>
                <w:color w:val="auto"/>
              </w:rPr>
              <w:t>2019</w:t>
            </w:r>
          </w:p>
        </w:tc>
        <w:tc>
          <w:tcPr>
            <w:tcW w:w="4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553"/>
              <w:spacing w:after="0"/>
              <w:rPr>
                <w:sz w:val="20"/>
                <w:szCs w:val="20"/>
                <w:color w:val="auto"/>
              </w:rPr>
            </w:pPr>
            <w:r>
              <w:rPr>
                <w:rFonts w:ascii="Arial" w:cs="Arial" w:eastAsia="Arial" w:hAnsi="Arial"/>
                <w:sz w:val="11"/>
                <w:szCs w:val="11"/>
                <w:b w:val="1"/>
                <w:bCs w:val="1"/>
                <w:color w:val="auto"/>
              </w:rPr>
              <w:t>2018</w:t>
            </w:r>
          </w:p>
        </w:tc>
      </w:tr>
      <w:tr>
        <w:trPr>
          <w:trHeight w:val="196"/>
        </w:trPr>
        <w:tc>
          <w:tcPr>
            <w:tcW w:w="5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80" w:type="dxa"/>
            <w:vAlign w:val="bottom"/>
            <w:gridSpan w:val="3"/>
          </w:tcPr>
          <w:p>
            <w:pPr>
              <w:jc w:val="right"/>
              <w:ind w:right="128"/>
              <w:spacing w:after="0"/>
              <w:rPr>
                <w:sz w:val="20"/>
                <w:szCs w:val="20"/>
                <w:color w:val="auto"/>
              </w:rPr>
            </w:pPr>
            <w:r>
              <w:rPr>
                <w:rFonts w:ascii="Arial" w:cs="Arial" w:eastAsia="Arial" w:hAnsi="Arial"/>
                <w:sz w:val="11"/>
                <w:szCs w:val="11"/>
                <w:b w:val="1"/>
                <w:bCs w:val="1"/>
                <w:color w:val="auto"/>
              </w:rPr>
              <w:t>(in millions)</w:t>
            </w:r>
          </w:p>
        </w:tc>
        <w:tc>
          <w:tcPr>
            <w:tcW w:w="10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0"/>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w w:val="94"/>
              </w:rPr>
              <w:t xml:space="preserve">Amortization expense of intangible assets recorded in Depreciation and amortization </w:t>
            </w:r>
            <w:r>
              <w:rPr>
                <w:rFonts w:ascii="Arial" w:cs="Arial" w:eastAsia="Arial" w:hAnsi="Arial"/>
                <w:sz w:val="11"/>
                <w:szCs w:val="11"/>
                <w:color w:val="auto"/>
                <w:w w:val="94"/>
              </w:rPr>
              <w:t>(1)</w:t>
            </w:r>
          </w:p>
        </w:tc>
        <w:tc>
          <w:tcPr>
            <w:tcW w:w="1100" w:type="dxa"/>
            <w:vAlign w:val="bottom"/>
            <w:tcBorders>
              <w:bottom w:val="single" w:sz="8" w:color="CCEEFF"/>
            </w:tcBorders>
            <w:shd w:val="clear" w:color="auto" w:fill="CCEEFF"/>
          </w:tcPr>
          <w:p>
            <w:pPr>
              <w:jc w:val="right"/>
              <w:ind w:right="938"/>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7</w:t>
            </w:r>
          </w:p>
        </w:tc>
        <w:tc>
          <w:tcPr>
            <w:tcW w:w="1160" w:type="dxa"/>
            <w:vAlign w:val="bottom"/>
            <w:tcBorders>
              <w:bottom w:val="single" w:sz="8" w:color="CCEEFF"/>
            </w:tcBorders>
            <w:shd w:val="clear" w:color="auto" w:fill="CCEEFF"/>
          </w:tcPr>
          <w:p>
            <w:pPr>
              <w:jc w:val="right"/>
              <w:ind w:right="895"/>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4"/>
                <w:szCs w:val="14"/>
                <w:color w:val="auto"/>
              </w:rPr>
              <w:t>2</w:t>
            </w:r>
          </w:p>
        </w:tc>
        <w:tc>
          <w:tcPr>
            <w:tcW w:w="12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4"/>
                <w:szCs w:val="14"/>
                <w:color w:val="auto"/>
              </w:rPr>
              <w:t>20</w:t>
            </w:r>
          </w:p>
        </w:tc>
        <w:tc>
          <w:tcPr>
            <w:tcW w:w="460" w:type="dxa"/>
            <w:vAlign w:val="bottom"/>
            <w:tcBorders>
              <w:bottom w:val="single" w:sz="8" w:color="CCEEFF"/>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4"/>
                <w:szCs w:val="14"/>
                <w:color w:val="auto"/>
              </w:rPr>
              <w:t>7</w:t>
            </w:r>
          </w:p>
        </w:tc>
      </w:tr>
      <w:tr>
        <w:trPr>
          <w:trHeight w:val="183"/>
        </w:trPr>
        <w:tc>
          <w:tcPr>
            <w:tcW w:w="5160" w:type="dxa"/>
            <w:vAlign w:val="bottom"/>
          </w:tcPr>
          <w:p>
            <w:pPr>
              <w:ind w:left="20"/>
              <w:spacing w:after="0"/>
              <w:rPr>
                <w:sz w:val="20"/>
                <w:szCs w:val="20"/>
                <w:color w:val="auto"/>
              </w:rPr>
            </w:pPr>
            <w:r>
              <w:rPr>
                <w:rFonts w:ascii="Arial" w:cs="Arial" w:eastAsia="Arial" w:hAnsi="Arial"/>
                <w:sz w:val="14"/>
                <w:szCs w:val="14"/>
                <w:color w:val="auto"/>
              </w:rPr>
              <w:t>Amortization expense of intangible assets recorded in Non-utility cost of revenues,</w:t>
            </w:r>
          </w:p>
        </w:tc>
        <w:tc>
          <w:tcPr>
            <w:tcW w:w="1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82"/>
        </w:trPr>
        <w:tc>
          <w:tcPr>
            <w:tcW w:w="5160" w:type="dxa"/>
            <w:vAlign w:val="bottom"/>
          </w:tcPr>
          <w:p>
            <w:pPr>
              <w:ind w:left="160"/>
              <w:spacing w:after="0"/>
              <w:rPr>
                <w:sz w:val="20"/>
                <w:szCs w:val="20"/>
                <w:color w:val="auto"/>
              </w:rPr>
            </w:pPr>
            <w:r>
              <w:rPr>
                <w:rFonts w:ascii="Arial" w:cs="Arial" w:eastAsia="Arial" w:hAnsi="Arial"/>
                <w:sz w:val="14"/>
                <w:szCs w:val="14"/>
                <w:color w:val="auto"/>
              </w:rPr>
              <w:t xml:space="preserve">including natural gas </w:t>
            </w:r>
            <w:r>
              <w:rPr>
                <w:rFonts w:ascii="Arial" w:cs="Arial" w:eastAsia="Arial" w:hAnsi="Arial"/>
                <w:sz w:val="11"/>
                <w:szCs w:val="11"/>
                <w:color w:val="auto"/>
              </w:rPr>
              <w:t>(2)</w:t>
            </w:r>
          </w:p>
        </w:tc>
        <w:tc>
          <w:tcPr>
            <w:tcW w:w="1100" w:type="dxa"/>
            <w:vAlign w:val="bottom"/>
          </w:tcPr>
          <w:p>
            <w:pPr>
              <w:spacing w:after="0"/>
              <w:rPr>
                <w:sz w:val="15"/>
                <w:szCs w:val="15"/>
                <w:color w:val="auto"/>
              </w:rPr>
            </w:pPr>
          </w:p>
        </w:tc>
        <w:tc>
          <w:tcPr>
            <w:tcW w:w="420" w:type="dxa"/>
            <w:vAlign w:val="bottom"/>
          </w:tcPr>
          <w:p>
            <w:pPr>
              <w:jc w:val="right"/>
              <w:ind w:right="68"/>
              <w:spacing w:after="0"/>
              <w:rPr>
                <w:sz w:val="20"/>
                <w:szCs w:val="20"/>
                <w:color w:val="auto"/>
              </w:rPr>
            </w:pPr>
            <w:r>
              <w:rPr>
                <w:rFonts w:ascii="Arial" w:cs="Arial" w:eastAsia="Arial" w:hAnsi="Arial"/>
                <w:sz w:val="14"/>
                <w:szCs w:val="14"/>
                <w:color w:val="auto"/>
              </w:rPr>
              <w:t>7</w:t>
            </w:r>
          </w:p>
        </w:tc>
        <w:tc>
          <w:tcPr>
            <w:tcW w:w="1160" w:type="dxa"/>
            <w:vAlign w:val="bottom"/>
          </w:tcPr>
          <w:p>
            <w:pPr>
              <w:spacing w:after="0"/>
              <w:rPr>
                <w:sz w:val="15"/>
                <w:szCs w:val="15"/>
                <w:color w:val="auto"/>
              </w:rPr>
            </w:pPr>
          </w:p>
        </w:tc>
        <w:tc>
          <w:tcPr>
            <w:tcW w:w="5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5"/>
                <w:szCs w:val="15"/>
                <w:color w:val="auto"/>
              </w:rPr>
            </w:pPr>
          </w:p>
        </w:tc>
        <w:tc>
          <w:tcPr>
            <w:tcW w:w="1080" w:type="dxa"/>
            <w:vAlign w:val="bottom"/>
          </w:tcPr>
          <w:p>
            <w:pPr>
              <w:jc w:val="right"/>
              <w:ind w:right="55"/>
              <w:spacing w:after="0"/>
              <w:rPr>
                <w:sz w:val="20"/>
                <w:szCs w:val="20"/>
                <w:color w:val="auto"/>
              </w:rPr>
            </w:pPr>
            <w:r>
              <w:rPr>
                <w:rFonts w:ascii="Arial" w:cs="Arial" w:eastAsia="Arial" w:hAnsi="Arial"/>
                <w:sz w:val="14"/>
                <w:szCs w:val="14"/>
                <w:color w:val="auto"/>
              </w:rPr>
              <w:t>19</w:t>
            </w:r>
          </w:p>
        </w:tc>
        <w:tc>
          <w:tcPr>
            <w:tcW w:w="460" w:type="dxa"/>
            <w:vAlign w:val="bottom"/>
          </w:tcPr>
          <w:p>
            <w:pPr>
              <w:spacing w:after="0"/>
              <w:rPr>
                <w:sz w:val="15"/>
                <w:szCs w:val="15"/>
                <w:color w:val="auto"/>
              </w:rPr>
            </w:pPr>
          </w:p>
        </w:tc>
        <w:tc>
          <w:tcPr>
            <w:tcW w:w="1100" w:type="dxa"/>
            <w:vAlign w:val="bottom"/>
          </w:tcPr>
          <w:p>
            <w:pPr>
              <w:jc w:val="right"/>
              <w:ind w:right="33"/>
              <w:spacing w:after="0"/>
              <w:rPr>
                <w:sz w:val="20"/>
                <w:szCs w:val="20"/>
                <w:color w:val="auto"/>
              </w:rPr>
            </w:pPr>
            <w:r>
              <w:rPr>
                <w:rFonts w:ascii="Arial" w:cs="Arial" w:eastAsia="Arial" w:hAnsi="Arial"/>
                <w:sz w:val="14"/>
                <w:szCs w:val="14"/>
                <w:color w:val="auto"/>
              </w:rPr>
              <w:t>—</w:t>
            </w:r>
          </w:p>
        </w:tc>
      </w:tr>
    </w:tbl>
    <w:p>
      <w:pPr>
        <w:spacing w:after="0" w:line="109" w:lineRule="exact"/>
        <w:rPr>
          <w:sz w:val="20"/>
          <w:szCs w:val="20"/>
          <w:color w:val="auto"/>
        </w:rPr>
      </w:pPr>
    </w:p>
    <w:p>
      <w:pPr>
        <w:ind w:left="520" w:hanging="255"/>
        <w:spacing w:after="0" w:line="288" w:lineRule="auto"/>
        <w:tabs>
          <w:tab w:leader="none" w:pos="520" w:val="left"/>
        </w:tabs>
        <w:numPr>
          <w:ilvl w:val="0"/>
          <w:numId w:val="33"/>
        </w:numPr>
        <w:rPr>
          <w:rFonts w:ascii="Arial" w:cs="Arial" w:eastAsia="Arial" w:hAnsi="Arial"/>
          <w:sz w:val="14"/>
          <w:szCs w:val="14"/>
          <w:color w:val="auto"/>
        </w:rPr>
      </w:pPr>
      <w:r>
        <w:rPr>
          <w:rFonts w:ascii="Arial" w:cs="Arial" w:eastAsia="Arial" w:hAnsi="Arial"/>
          <w:sz w:val="14"/>
          <w:szCs w:val="14"/>
          <w:color w:val="auto"/>
        </w:rPr>
        <w:t>Includes $5 million and $13 million for the three and nine months ended September 30, 2019, respectively, of amortization expense related to intangibles acquired in the Merger. The fair value of intangible assets, and related amortization</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45</w:t>
      </w:r>
    </w:p>
    <w:p>
      <w:pPr>
        <w:sectPr>
          <w:pgSz w:w="11900" w:h="16838" w:orient="portrait"/>
          <w:cols w:equalWidth="0" w:num="1">
            <w:col w:w="11460"/>
          </w:cols>
          <w:pgMar w:left="220" w:top="129" w:right="219" w:bottom="1440" w:gutter="0" w:footer="0" w:header="0"/>
        </w:sectPr>
      </w:pPr>
    </w:p>
    <w:bookmarkStart w:id="55" w:name="page56"/>
    <w:bookmarkEnd w:id="55"/>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227" w:lineRule="exact"/>
        <w:rPr>
          <w:sz w:val="20"/>
          <w:szCs w:val="20"/>
          <w:color w:val="auto"/>
        </w:rPr>
      </w:pPr>
    </w:p>
    <w:p>
      <w:pPr>
        <w:ind w:left="520"/>
        <w:spacing w:after="0"/>
        <w:rPr>
          <w:sz w:val="20"/>
          <w:szCs w:val="20"/>
          <w:color w:val="auto"/>
        </w:rPr>
      </w:pPr>
      <w:r>
        <w:rPr>
          <w:rFonts w:ascii="Arial" w:cs="Arial" w:eastAsia="Arial" w:hAnsi="Arial"/>
          <w:sz w:val="14"/>
          <w:szCs w:val="14"/>
          <w:color w:val="auto"/>
        </w:rPr>
        <w:t>assumptions, acquired through acquisitions during the nine months ended September 30, 2019, is preliminary and subject to change. See Note 3.</w:t>
      </w:r>
    </w:p>
    <w:p>
      <w:pPr>
        <w:spacing w:after="0" w:line="119" w:lineRule="exact"/>
        <w:rPr>
          <w:sz w:val="20"/>
          <w:szCs w:val="20"/>
          <w:color w:val="auto"/>
        </w:rPr>
      </w:pPr>
    </w:p>
    <w:p>
      <w:pPr>
        <w:ind w:left="520" w:hanging="255"/>
        <w:spacing w:after="0" w:line="288" w:lineRule="auto"/>
        <w:tabs>
          <w:tab w:leader="none" w:pos="520" w:val="left"/>
        </w:tabs>
        <w:numPr>
          <w:ilvl w:val="0"/>
          <w:numId w:val="34"/>
        </w:numPr>
        <w:rPr>
          <w:rFonts w:ascii="Arial" w:cs="Arial" w:eastAsia="Arial" w:hAnsi="Arial"/>
          <w:sz w:val="14"/>
          <w:szCs w:val="14"/>
          <w:color w:val="auto"/>
        </w:rPr>
      </w:pPr>
      <w:r>
        <w:rPr>
          <w:rFonts w:ascii="Arial" w:cs="Arial" w:eastAsia="Arial" w:hAnsi="Arial"/>
          <w:sz w:val="14"/>
          <w:szCs w:val="14"/>
          <w:color w:val="auto"/>
        </w:rPr>
        <w:t>The fair value of intangible assets, and related amortization assumptions, acquired through acquisitions during the nine months ended September 30, 2019, is preliminary and subject to change. See Note 3.</w:t>
      </w:r>
    </w:p>
    <w:p>
      <w:pPr>
        <w:spacing w:after="0" w:line="55" w:lineRule="exact"/>
        <w:rPr>
          <w:sz w:val="20"/>
          <w:szCs w:val="20"/>
          <w:color w:val="auto"/>
        </w:rPr>
      </w:pPr>
    </w:p>
    <w:p>
      <w:pPr>
        <w:ind w:firstLine="259"/>
        <w:spacing w:after="0" w:line="288" w:lineRule="auto"/>
        <w:rPr>
          <w:sz w:val="20"/>
          <w:szCs w:val="20"/>
          <w:color w:val="auto"/>
        </w:rPr>
      </w:pPr>
      <w:r>
        <w:rPr>
          <w:rFonts w:ascii="Arial" w:cs="Arial" w:eastAsia="Arial" w:hAnsi="Arial"/>
          <w:sz w:val="14"/>
          <w:szCs w:val="14"/>
          <w:color w:val="auto"/>
        </w:rPr>
        <w:t>The tables below present information on CERC’s other intangible assets recorded in Other non-current assets on CERC’s Condensed Consolidated Balance Sheets and the related amortization expense included in Depreciation and amortization on CERC’s Condensed Statements of Consolidated Income.</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40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36"/>
              <w:spacing w:after="0"/>
              <w:rPr>
                <w:sz w:val="20"/>
                <w:szCs w:val="20"/>
                <w:color w:val="auto"/>
              </w:rPr>
            </w:pPr>
            <w:r>
              <w:rPr>
                <w:rFonts w:ascii="Arial" w:cs="Arial" w:eastAsia="Arial" w:hAnsi="Arial"/>
                <w:sz w:val="11"/>
                <w:szCs w:val="11"/>
                <w:b w:val="1"/>
                <w:bCs w:val="1"/>
                <w:color w:val="auto"/>
                <w:w w:val="93"/>
              </w:rPr>
              <w:t>September 30, 2019</w:t>
            </w:r>
          </w:p>
        </w:tc>
        <w:tc>
          <w:tcPr>
            <w:tcW w:w="1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1"/>
                <w:szCs w:val="11"/>
                <w:b w:val="1"/>
                <w:bCs w:val="1"/>
                <w:color w:val="auto"/>
                <w:w w:val="94"/>
              </w:rPr>
              <w:t>December 31, 2018</w:t>
            </w:r>
          </w:p>
        </w:tc>
        <w:tc>
          <w:tcPr>
            <w:tcW w:w="1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8"/>
        </w:trPr>
        <w:tc>
          <w:tcPr>
            <w:tcW w:w="40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gridSpan w:val="2"/>
          </w:tcPr>
          <w:p>
            <w:pPr>
              <w:jc w:val="center"/>
              <w:ind w:right="140"/>
              <w:spacing w:after="0" w:line="119" w:lineRule="exact"/>
              <w:rPr>
                <w:sz w:val="20"/>
                <w:szCs w:val="20"/>
                <w:color w:val="auto"/>
              </w:rPr>
            </w:pPr>
            <w:r>
              <w:rPr>
                <w:rFonts w:ascii="Arial" w:cs="Arial" w:eastAsia="Arial" w:hAnsi="Arial"/>
                <w:sz w:val="11"/>
                <w:szCs w:val="11"/>
                <w:b w:val="1"/>
                <w:bCs w:val="1"/>
                <w:color w:val="auto"/>
                <w:w w:val="97"/>
              </w:rPr>
              <w:t>Gross Carrying</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Pr>
          <w:p>
            <w:pPr>
              <w:jc w:val="right"/>
              <w:ind w:right="196"/>
              <w:spacing w:after="0" w:line="119" w:lineRule="exact"/>
              <w:rPr>
                <w:sz w:val="20"/>
                <w:szCs w:val="20"/>
                <w:color w:val="auto"/>
              </w:rPr>
            </w:pPr>
            <w:r>
              <w:rPr>
                <w:rFonts w:ascii="Arial" w:cs="Arial" w:eastAsia="Arial" w:hAnsi="Arial"/>
                <w:sz w:val="11"/>
                <w:szCs w:val="11"/>
                <w:b w:val="1"/>
                <w:bCs w:val="1"/>
                <w:color w:val="auto"/>
              </w:rPr>
              <w:t>Accumulated</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20" w:type="dxa"/>
            <w:vAlign w:val="bottom"/>
            <w:gridSpan w:val="2"/>
            <w:vMerge w:val="restart"/>
          </w:tcPr>
          <w:p>
            <w:pPr>
              <w:ind w:left="140"/>
              <w:spacing w:after="0"/>
              <w:rPr>
                <w:sz w:val="20"/>
                <w:szCs w:val="20"/>
                <w:color w:val="auto"/>
              </w:rPr>
            </w:pPr>
            <w:r>
              <w:rPr>
                <w:rFonts w:ascii="Arial" w:cs="Arial" w:eastAsia="Arial" w:hAnsi="Arial"/>
                <w:sz w:val="11"/>
                <w:szCs w:val="11"/>
                <w:b w:val="1"/>
                <w:bCs w:val="1"/>
                <w:color w:val="auto"/>
              </w:rPr>
              <w:t>Net Balance</w:t>
            </w:r>
          </w:p>
        </w:tc>
        <w:tc>
          <w:tcPr>
            <w:tcW w:w="120" w:type="dxa"/>
            <w:vAlign w:val="bottom"/>
          </w:tcPr>
          <w:p>
            <w:pPr>
              <w:spacing w:after="0"/>
              <w:rPr>
                <w:sz w:val="10"/>
                <w:szCs w:val="10"/>
                <w:color w:val="auto"/>
              </w:rPr>
            </w:pPr>
          </w:p>
        </w:tc>
        <w:tc>
          <w:tcPr>
            <w:tcW w:w="1000" w:type="dxa"/>
            <w:vAlign w:val="bottom"/>
            <w:gridSpan w:val="4"/>
          </w:tcPr>
          <w:p>
            <w:pPr>
              <w:jc w:val="right"/>
              <w:ind w:right="180"/>
              <w:spacing w:after="0" w:line="119" w:lineRule="exact"/>
              <w:rPr>
                <w:sz w:val="20"/>
                <w:szCs w:val="20"/>
                <w:color w:val="auto"/>
              </w:rPr>
            </w:pPr>
            <w:r>
              <w:rPr>
                <w:rFonts w:ascii="Arial" w:cs="Arial" w:eastAsia="Arial" w:hAnsi="Arial"/>
                <w:sz w:val="11"/>
                <w:szCs w:val="11"/>
                <w:b w:val="1"/>
                <w:bCs w:val="1"/>
                <w:color w:val="auto"/>
                <w:w w:val="99"/>
              </w:rPr>
              <w:t>Gross Carrying</w:t>
            </w:r>
          </w:p>
        </w:tc>
        <w:tc>
          <w:tcPr>
            <w:tcW w:w="120" w:type="dxa"/>
            <w:vAlign w:val="bottom"/>
          </w:tcPr>
          <w:p>
            <w:pPr>
              <w:spacing w:after="0"/>
              <w:rPr>
                <w:sz w:val="10"/>
                <w:szCs w:val="10"/>
                <w:color w:val="auto"/>
              </w:rPr>
            </w:pPr>
          </w:p>
        </w:tc>
        <w:tc>
          <w:tcPr>
            <w:tcW w:w="1240" w:type="dxa"/>
            <w:vAlign w:val="bottom"/>
            <w:gridSpan w:val="3"/>
          </w:tcPr>
          <w:p>
            <w:pPr>
              <w:jc w:val="center"/>
              <w:ind w:right="120"/>
              <w:spacing w:after="0" w:line="119" w:lineRule="exact"/>
              <w:rPr>
                <w:sz w:val="20"/>
                <w:szCs w:val="20"/>
                <w:color w:val="auto"/>
              </w:rPr>
            </w:pPr>
            <w:r>
              <w:rPr>
                <w:rFonts w:ascii="Arial" w:cs="Arial" w:eastAsia="Arial" w:hAnsi="Arial"/>
                <w:sz w:val="11"/>
                <w:szCs w:val="11"/>
                <w:b w:val="1"/>
                <w:bCs w:val="1"/>
                <w:color w:val="auto"/>
                <w:w w:val="92"/>
              </w:rPr>
              <w:t>Accumulated</w:t>
            </w:r>
          </w:p>
        </w:tc>
        <w:tc>
          <w:tcPr>
            <w:tcW w:w="180" w:type="dxa"/>
            <w:vAlign w:val="bottom"/>
          </w:tcPr>
          <w:p>
            <w:pPr>
              <w:spacing w:after="0"/>
              <w:rPr>
                <w:sz w:val="10"/>
                <w:szCs w:val="10"/>
                <w:color w:val="auto"/>
              </w:rPr>
            </w:pPr>
          </w:p>
        </w:tc>
        <w:tc>
          <w:tcPr>
            <w:tcW w:w="940" w:type="dxa"/>
            <w:vAlign w:val="bottom"/>
            <w:vMerge w:val="restart"/>
          </w:tcPr>
          <w:p>
            <w:pPr>
              <w:jc w:val="right"/>
              <w:ind w:right="192"/>
              <w:spacing w:after="0"/>
              <w:rPr>
                <w:sz w:val="20"/>
                <w:szCs w:val="20"/>
                <w:color w:val="auto"/>
              </w:rPr>
            </w:pPr>
            <w:r>
              <w:rPr>
                <w:rFonts w:ascii="Arial" w:cs="Arial" w:eastAsia="Arial" w:hAnsi="Arial"/>
                <w:sz w:val="11"/>
                <w:szCs w:val="11"/>
                <w:b w:val="1"/>
                <w:bCs w:val="1"/>
                <w:color w:val="auto"/>
              </w:rPr>
              <w:t>Net Balance</w:t>
            </w:r>
          </w:p>
        </w:tc>
        <w:tc>
          <w:tcPr>
            <w:tcW w:w="0" w:type="dxa"/>
            <w:vAlign w:val="bottom"/>
          </w:tcPr>
          <w:p>
            <w:pPr>
              <w:spacing w:after="0"/>
              <w:rPr>
                <w:sz w:val="1"/>
                <w:szCs w:val="1"/>
                <w:color w:val="auto"/>
              </w:rPr>
            </w:pPr>
          </w:p>
        </w:tc>
      </w:tr>
      <w:tr>
        <w:trPr>
          <w:trHeight w:val="153"/>
        </w:trPr>
        <w:tc>
          <w:tcPr>
            <w:tcW w:w="40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1"/>
                <w:szCs w:val="11"/>
                <w:b w:val="1"/>
                <w:bCs w:val="1"/>
                <w:color w:val="auto"/>
                <w:w w:val="96"/>
              </w:rPr>
              <w:t>Amount</w:t>
            </w:r>
          </w:p>
        </w:tc>
        <w:tc>
          <w:tcPr>
            <w:tcW w:w="1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196"/>
              <w:spacing w:after="0"/>
              <w:rPr>
                <w:sz w:val="20"/>
                <w:szCs w:val="20"/>
                <w:color w:val="auto"/>
              </w:rPr>
            </w:pPr>
            <w:r>
              <w:rPr>
                <w:rFonts w:ascii="Arial" w:cs="Arial" w:eastAsia="Arial" w:hAnsi="Arial"/>
                <w:sz w:val="11"/>
                <w:szCs w:val="11"/>
                <w:b w:val="1"/>
                <w:bCs w:val="1"/>
                <w:color w:val="auto"/>
              </w:rPr>
              <w:t>Amortization</w:t>
            </w:r>
          </w:p>
        </w:tc>
        <w:tc>
          <w:tcPr>
            <w:tcW w:w="1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gridSpan w:val="2"/>
            <w:vMerge w:val="continue"/>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gridSpan w:val="3"/>
          </w:tcPr>
          <w:p>
            <w:pPr>
              <w:jc w:val="right"/>
              <w:ind w:right="360"/>
              <w:spacing w:after="0"/>
              <w:rPr>
                <w:sz w:val="20"/>
                <w:szCs w:val="20"/>
                <w:color w:val="auto"/>
              </w:rPr>
            </w:pPr>
            <w:r>
              <w:rPr>
                <w:rFonts w:ascii="Arial" w:cs="Arial" w:eastAsia="Arial" w:hAnsi="Arial"/>
                <w:sz w:val="11"/>
                <w:szCs w:val="11"/>
                <w:b w:val="1"/>
                <w:bCs w:val="1"/>
                <w:color w:val="auto"/>
                <w:w w:val="96"/>
              </w:rPr>
              <w:t>Amount</w:t>
            </w:r>
          </w:p>
        </w:tc>
        <w:tc>
          <w:tcPr>
            <w:tcW w:w="12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gridSpan w:val="3"/>
          </w:tcPr>
          <w:p>
            <w:pPr>
              <w:jc w:val="center"/>
              <w:ind w:right="140"/>
              <w:spacing w:after="0"/>
              <w:rPr>
                <w:sz w:val="20"/>
                <w:szCs w:val="20"/>
                <w:color w:val="auto"/>
              </w:rPr>
            </w:pPr>
            <w:r>
              <w:rPr>
                <w:rFonts w:ascii="Arial" w:cs="Arial" w:eastAsia="Arial" w:hAnsi="Arial"/>
                <w:sz w:val="11"/>
                <w:szCs w:val="11"/>
                <w:b w:val="1"/>
                <w:bCs w:val="1"/>
                <w:color w:val="auto"/>
                <w:w w:val="98"/>
              </w:rPr>
              <w:t>Amortization</w:t>
            </w:r>
          </w:p>
        </w:tc>
        <w:tc>
          <w:tcPr>
            <w:tcW w:w="1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4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gridSpan w:val="4"/>
          </w:tcPr>
          <w:p>
            <w:pPr>
              <w:jc w:val="right"/>
              <w:ind w:right="98"/>
              <w:spacing w:after="0"/>
              <w:rPr>
                <w:sz w:val="20"/>
                <w:szCs w:val="20"/>
                <w:color w:val="auto"/>
              </w:rPr>
            </w:pPr>
            <w:r>
              <w:rPr>
                <w:rFonts w:ascii="Arial" w:cs="Arial" w:eastAsia="Arial" w:hAnsi="Arial"/>
                <w:sz w:val="11"/>
                <w:szCs w:val="11"/>
                <w:b w:val="1"/>
                <w:bCs w:val="1"/>
                <w:color w:val="auto"/>
              </w:rPr>
              <w:t>(in millions)</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Customer relationships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4"/>
                <w:szCs w:val="14"/>
                <w:color w:val="auto"/>
              </w:rPr>
              <w:t>86</w:t>
            </w:r>
          </w:p>
        </w:tc>
        <w:tc>
          <w:tcPr>
            <w:tcW w:w="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4"/>
                <w:szCs w:val="14"/>
                <w:color w:val="auto"/>
              </w:rPr>
              <w:t>(31)</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4"/>
                <w:szCs w:val="14"/>
                <w:color w:val="auto"/>
              </w:rPr>
              <w:t>55</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22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86</w:t>
            </w:r>
          </w:p>
        </w:tc>
        <w:tc>
          <w:tcPr>
            <w:tcW w:w="880" w:type="dxa"/>
            <w:vAlign w:val="bottom"/>
            <w:tcBorders>
              <w:bottom w:val="single" w:sz="8" w:color="CCEEFF"/>
            </w:tcBorders>
            <w:gridSpan w:val="2"/>
            <w:shd w:val="clear" w:color="auto" w:fill="CCEEFF"/>
          </w:tcPr>
          <w:p>
            <w:pPr>
              <w:jc w:val="center"/>
              <w:ind w:right="479"/>
              <w:spacing w:after="0"/>
              <w:rPr>
                <w:sz w:val="20"/>
                <w:szCs w:val="20"/>
                <w:color w:val="auto"/>
              </w:rPr>
            </w:pPr>
            <w:r>
              <w:rPr>
                <w:rFonts w:ascii="Arial" w:cs="Arial" w:eastAsia="Arial" w:hAnsi="Arial"/>
                <w:sz w:val="14"/>
                <w:szCs w:val="14"/>
                <w:color w:val="auto"/>
                <w:w w:val="76"/>
              </w:rPr>
              <w:t>$</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59</w:t>
            </w:r>
          </w:p>
        </w:tc>
        <w:tc>
          <w:tcPr>
            <w:tcW w:w="0" w:type="dxa"/>
            <w:vAlign w:val="bottom"/>
          </w:tcPr>
          <w:p>
            <w:pPr>
              <w:spacing w:after="0"/>
              <w:rPr>
                <w:sz w:val="1"/>
                <w:szCs w:val="1"/>
                <w:color w:val="auto"/>
              </w:rPr>
            </w:pPr>
          </w:p>
        </w:tc>
      </w:tr>
      <w:tr>
        <w:trPr>
          <w:trHeight w:val="193"/>
        </w:trPr>
        <w:tc>
          <w:tcPr>
            <w:tcW w:w="4020" w:type="dxa"/>
            <w:vAlign w:val="bottom"/>
          </w:tcPr>
          <w:p>
            <w:pPr>
              <w:ind w:left="20"/>
              <w:spacing w:after="0"/>
              <w:rPr>
                <w:sz w:val="20"/>
                <w:szCs w:val="20"/>
                <w:color w:val="auto"/>
              </w:rPr>
            </w:pPr>
            <w:r>
              <w:rPr>
                <w:rFonts w:ascii="Arial" w:cs="Arial" w:eastAsia="Arial" w:hAnsi="Arial"/>
                <w:sz w:val="14"/>
                <w:szCs w:val="14"/>
                <w:color w:val="auto"/>
              </w:rPr>
              <w:t>Covenants not to compete</w:t>
            </w:r>
          </w:p>
        </w:tc>
        <w:tc>
          <w:tcPr>
            <w:tcW w:w="160" w:type="dxa"/>
            <w:vAlign w:val="bottom"/>
          </w:tcPr>
          <w:p>
            <w:pPr>
              <w:spacing w:after="0"/>
              <w:rPr>
                <w:sz w:val="16"/>
                <w:szCs w:val="16"/>
                <w:color w:val="auto"/>
              </w:rPr>
            </w:pPr>
          </w:p>
        </w:tc>
        <w:tc>
          <w:tcPr>
            <w:tcW w:w="980" w:type="dxa"/>
            <w:vAlign w:val="bottom"/>
          </w:tcPr>
          <w:p>
            <w:pPr>
              <w:jc w:val="right"/>
              <w:ind w:right="13"/>
              <w:spacing w:after="0"/>
              <w:rPr>
                <w:sz w:val="20"/>
                <w:szCs w:val="20"/>
                <w:color w:val="auto"/>
              </w:rPr>
            </w:pPr>
            <w:r>
              <w:rPr>
                <w:rFonts w:ascii="Arial" w:cs="Arial" w:eastAsia="Arial" w:hAnsi="Arial"/>
                <w:sz w:val="14"/>
                <w:szCs w:val="14"/>
                <w:color w:val="auto"/>
              </w:rPr>
              <w:t>4</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right"/>
              <w:ind w:right="16"/>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ind w:right="34"/>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gridSpan w:val="3"/>
          </w:tcPr>
          <w:p>
            <w:pPr>
              <w:jc w:val="right"/>
              <w:ind w:right="100"/>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ind w:right="32"/>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3"/>
        </w:trPr>
        <w:tc>
          <w:tcPr>
            <w:tcW w:w="4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Other</w:t>
            </w:r>
          </w:p>
        </w:tc>
        <w:tc>
          <w:tcPr>
            <w:tcW w:w="16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4"/>
                <w:szCs w:val="14"/>
                <w:color w:val="auto"/>
              </w:rPr>
              <w:t>16</w:t>
            </w: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4"/>
                <w:szCs w:val="14"/>
                <w:color w:val="auto"/>
              </w:rPr>
              <w:t>(14)</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4"/>
                <w:szCs w:val="14"/>
                <w:color w:val="auto"/>
              </w:rPr>
              <w:t>2</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16</w:t>
            </w:r>
          </w:p>
        </w:tc>
        <w:tc>
          <w:tcPr>
            <w:tcW w:w="12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00"/>
        </w:trPr>
        <w:tc>
          <w:tcPr>
            <w:tcW w:w="4020" w:type="dxa"/>
            <w:vAlign w:val="bottom"/>
          </w:tcPr>
          <w:p>
            <w:pPr>
              <w:ind w:left="140"/>
              <w:spacing w:after="0"/>
              <w:rPr>
                <w:sz w:val="20"/>
                <w:szCs w:val="20"/>
                <w:color w:val="auto"/>
              </w:rPr>
            </w:pPr>
            <w:r>
              <w:rPr>
                <w:rFonts w:ascii="Arial" w:cs="Arial" w:eastAsia="Arial" w:hAnsi="Arial"/>
                <w:sz w:val="14"/>
                <w:szCs w:val="14"/>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4"/>
                <w:szCs w:val="14"/>
                <w:color w:val="auto"/>
              </w:rPr>
              <w:t>106</w:t>
            </w:r>
          </w:p>
        </w:tc>
        <w:tc>
          <w:tcPr>
            <w:tcW w:w="20" w:type="dxa"/>
            <w:vAlign w:val="bottom"/>
            <w:tcBorders>
              <w:top w:val="single" w:sz="8" w:color="auto"/>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4"/>
                <w:szCs w:val="14"/>
                <w:color w:val="auto"/>
              </w:rPr>
              <w:t>(48)</w:t>
            </w: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4"/>
                <w:szCs w:val="14"/>
                <w:color w:val="auto"/>
              </w:rPr>
              <w:t>58</w:t>
            </w: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22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gridSpan w:val="3"/>
          </w:tcPr>
          <w:p>
            <w:pPr>
              <w:jc w:val="right"/>
              <w:ind w:right="100"/>
              <w:spacing w:after="0"/>
              <w:rPr>
                <w:sz w:val="20"/>
                <w:szCs w:val="20"/>
                <w:color w:val="auto"/>
              </w:rPr>
            </w:pPr>
            <w:r>
              <w:rPr>
                <w:rFonts w:ascii="Arial" w:cs="Arial" w:eastAsia="Arial" w:hAnsi="Arial"/>
                <w:sz w:val="14"/>
                <w:szCs w:val="14"/>
                <w:color w:val="auto"/>
              </w:rPr>
              <w:t>106</w:t>
            </w:r>
          </w:p>
        </w:tc>
        <w:tc>
          <w:tcPr>
            <w:tcW w:w="120" w:type="dxa"/>
            <w:vAlign w:val="bottom"/>
          </w:tcPr>
          <w:p>
            <w:pPr>
              <w:spacing w:after="0"/>
              <w:rPr>
                <w:sz w:val="17"/>
                <w:szCs w:val="17"/>
                <w:color w:val="auto"/>
              </w:rPr>
            </w:pPr>
          </w:p>
        </w:tc>
        <w:tc>
          <w:tcPr>
            <w:tcW w:w="760" w:type="dxa"/>
            <w:vAlign w:val="bottom"/>
            <w:tcBorders>
              <w:top w:val="single" w:sz="8" w:color="auto"/>
              <w:bottom w:val="single" w:sz="8" w:color="auto"/>
            </w:tcBorders>
          </w:tcPr>
          <w:p>
            <w:pPr>
              <w:jc w:val="center"/>
              <w:ind w:right="599"/>
              <w:spacing w:after="0"/>
              <w:rPr>
                <w:sz w:val="20"/>
                <w:szCs w:val="20"/>
                <w:color w:val="auto"/>
              </w:rPr>
            </w:pPr>
            <w:r>
              <w:rPr>
                <w:rFonts w:ascii="Arial" w:cs="Arial" w:eastAsia="Arial" w:hAnsi="Arial"/>
                <w:sz w:val="14"/>
                <w:szCs w:val="14"/>
                <w:color w:val="auto"/>
                <w:w w:val="76"/>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(41)</w:t>
            </w:r>
          </w:p>
        </w:tc>
        <w:tc>
          <w:tcPr>
            <w:tcW w:w="12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4"/>
                <w:szCs w:val="14"/>
                <w:color w:val="auto"/>
              </w:rPr>
              <w:t>65</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2"/>
        </w:trPr>
        <w:tc>
          <w:tcPr>
            <w:tcW w:w="4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5"/>
          </w:tcPr>
          <w:p>
            <w:pPr>
              <w:ind w:left="440"/>
              <w:spacing w:after="0"/>
              <w:rPr>
                <w:sz w:val="20"/>
                <w:szCs w:val="20"/>
                <w:color w:val="auto"/>
              </w:rPr>
            </w:pPr>
            <w:r>
              <w:rPr>
                <w:rFonts w:ascii="Arial" w:cs="Arial" w:eastAsia="Arial" w:hAnsi="Arial"/>
                <w:sz w:val="11"/>
                <w:szCs w:val="11"/>
                <w:b w:val="1"/>
                <w:bCs w:val="1"/>
                <w:color w:val="auto"/>
              </w:rPr>
              <w:t>Three Months Ended September 30,</w:t>
            </w: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6"/>
          </w:tcPr>
          <w:p>
            <w:pPr>
              <w:jc w:val="right"/>
              <w:ind w:right="592"/>
              <w:spacing w:after="0"/>
              <w:rPr>
                <w:sz w:val="20"/>
                <w:szCs w:val="20"/>
                <w:color w:val="auto"/>
              </w:rPr>
            </w:pPr>
            <w:r>
              <w:rPr>
                <w:rFonts w:ascii="Arial" w:cs="Arial" w:eastAsia="Arial" w:hAnsi="Arial"/>
                <w:sz w:val="11"/>
                <w:szCs w:val="11"/>
                <w:b w:val="1"/>
                <w:bCs w:val="1"/>
                <w:color w:val="auto"/>
                <w:w w:val="99"/>
              </w:rPr>
              <w:t>Nine Months Ended September 30,</w:t>
            </w:r>
          </w:p>
        </w:tc>
        <w:tc>
          <w:tcPr>
            <w:tcW w:w="0" w:type="dxa"/>
            <w:vAlign w:val="bottom"/>
          </w:tcPr>
          <w:p>
            <w:pPr>
              <w:spacing w:after="0"/>
              <w:rPr>
                <w:sz w:val="1"/>
                <w:szCs w:val="1"/>
                <w:color w:val="auto"/>
              </w:rPr>
            </w:pPr>
          </w:p>
        </w:tc>
      </w:tr>
      <w:tr>
        <w:trPr>
          <w:trHeight w:val="206"/>
        </w:trPr>
        <w:tc>
          <w:tcPr>
            <w:tcW w:w="4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76"/>
              <w:spacing w:after="0"/>
              <w:rPr>
                <w:sz w:val="20"/>
                <w:szCs w:val="20"/>
                <w:color w:val="auto"/>
              </w:rPr>
            </w:pPr>
            <w:r>
              <w:rPr>
                <w:rFonts w:ascii="Arial" w:cs="Arial" w:eastAsia="Arial" w:hAnsi="Arial"/>
                <w:sz w:val="11"/>
                <w:szCs w:val="11"/>
                <w:b w:val="1"/>
                <w:bCs w:val="1"/>
                <w:color w:val="auto"/>
              </w:rPr>
              <w:t>2019</w:t>
            </w: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4"/>
              <w:spacing w:after="0"/>
              <w:rPr>
                <w:sz w:val="20"/>
                <w:szCs w:val="20"/>
                <w:color w:val="auto"/>
              </w:rPr>
            </w:pPr>
            <w:r>
              <w:rPr>
                <w:rFonts w:ascii="Arial" w:cs="Arial" w:eastAsia="Arial" w:hAnsi="Arial"/>
                <w:sz w:val="11"/>
                <w:szCs w:val="11"/>
                <w:b w:val="1"/>
                <w:bCs w:val="1"/>
                <w:color w:val="auto"/>
              </w:rPr>
              <w:t>2018</w:t>
            </w: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gridSpan w:val="2"/>
          </w:tcPr>
          <w:p>
            <w:pPr>
              <w:jc w:val="center"/>
              <w:ind w:right="479"/>
              <w:spacing w:after="0"/>
              <w:rPr>
                <w:sz w:val="20"/>
                <w:szCs w:val="20"/>
                <w:color w:val="auto"/>
              </w:rPr>
            </w:pPr>
            <w:r>
              <w:rPr>
                <w:rFonts w:ascii="Arial" w:cs="Arial" w:eastAsia="Arial" w:hAnsi="Arial"/>
                <w:sz w:val="11"/>
                <w:szCs w:val="11"/>
                <w:b w:val="1"/>
                <w:bCs w:val="1"/>
                <w:color w:val="auto"/>
                <w:w w:val="89"/>
              </w:rPr>
              <w:t>2019</w:t>
            </w:r>
          </w:p>
        </w:tc>
        <w:tc>
          <w:tcPr>
            <w:tcW w:w="3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552"/>
              <w:spacing w:after="0"/>
              <w:rPr>
                <w:sz w:val="20"/>
                <w:szCs w:val="20"/>
                <w:color w:val="auto"/>
              </w:rPr>
            </w:pPr>
            <w:r>
              <w:rPr>
                <w:rFonts w:ascii="Arial" w:cs="Arial" w:eastAsia="Arial" w:hAnsi="Arial"/>
                <w:sz w:val="11"/>
                <w:szCs w:val="11"/>
                <w:b w:val="1"/>
                <w:bCs w:val="1"/>
                <w:color w:val="auto"/>
              </w:rPr>
              <w:t>2018</w:t>
            </w:r>
          </w:p>
        </w:tc>
        <w:tc>
          <w:tcPr>
            <w:tcW w:w="0" w:type="dxa"/>
            <w:vAlign w:val="bottom"/>
          </w:tcPr>
          <w:p>
            <w:pPr>
              <w:spacing w:after="0"/>
              <w:rPr>
                <w:sz w:val="1"/>
                <w:szCs w:val="1"/>
                <w:color w:val="auto"/>
              </w:rPr>
            </w:pPr>
          </w:p>
        </w:tc>
      </w:tr>
      <w:tr>
        <w:trPr>
          <w:trHeight w:val="196"/>
        </w:trPr>
        <w:tc>
          <w:tcPr>
            <w:tcW w:w="4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4"/>
          </w:tcPr>
          <w:p>
            <w:pPr>
              <w:jc w:val="right"/>
              <w:ind w:right="360"/>
              <w:spacing w:after="0"/>
              <w:rPr>
                <w:sz w:val="20"/>
                <w:szCs w:val="20"/>
                <w:color w:val="auto"/>
              </w:rPr>
            </w:pPr>
            <w:r>
              <w:rPr>
                <w:rFonts w:ascii="Arial" w:cs="Arial" w:eastAsia="Arial" w:hAnsi="Arial"/>
                <w:sz w:val="11"/>
                <w:szCs w:val="11"/>
                <w:b w:val="1"/>
                <w:bCs w:val="1"/>
                <w:color w:val="auto"/>
              </w:rPr>
              <w:t>(in millions)</w:t>
            </w: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180" w:type="dxa"/>
            <w:vAlign w:val="bottom"/>
            <w:gridSpan w:val="4"/>
            <w:shd w:val="clear" w:color="auto" w:fill="CCEEFF"/>
          </w:tcPr>
          <w:p>
            <w:pPr>
              <w:ind w:left="20"/>
              <w:spacing w:after="0"/>
              <w:rPr>
                <w:sz w:val="20"/>
                <w:szCs w:val="20"/>
                <w:color w:val="auto"/>
              </w:rPr>
            </w:pPr>
            <w:r>
              <w:rPr>
                <w:rFonts w:ascii="Arial" w:cs="Arial" w:eastAsia="Arial" w:hAnsi="Arial"/>
                <w:sz w:val="14"/>
                <w:szCs w:val="14"/>
                <w:color w:val="auto"/>
                <w:w w:val="98"/>
              </w:rPr>
              <w:t>Amortization expense of intangible assets recorded in Depreciation and amortization</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2</w:t>
            </w: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794"/>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780" w:type="dxa"/>
            <w:vAlign w:val="bottom"/>
            <w:gridSpan w:val="3"/>
            <w:shd w:val="clear" w:color="auto" w:fill="CCEEFF"/>
          </w:tcPr>
          <w:p>
            <w:pPr>
              <w:jc w:val="right"/>
              <w:ind w:right="48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9"/>
              <w:spacing w:after="0"/>
              <w:rPr>
                <w:sz w:val="20"/>
                <w:szCs w:val="20"/>
                <w:color w:val="auto"/>
              </w:rPr>
            </w:pPr>
            <w:r>
              <w:rPr>
                <w:rFonts w:ascii="Arial" w:cs="Arial" w:eastAsia="Arial" w:hAnsi="Arial"/>
                <w:sz w:val="14"/>
                <w:szCs w:val="14"/>
                <w:color w:val="auto"/>
              </w:rPr>
              <w:t>7</w:t>
            </w:r>
          </w:p>
        </w:tc>
        <w:tc>
          <w:tcPr>
            <w:tcW w:w="3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23"/>
        </w:trPr>
        <w:tc>
          <w:tcPr>
            <w:tcW w:w="40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4" w:lineRule="exact"/>
        <w:rPr>
          <w:sz w:val="20"/>
          <w:szCs w:val="20"/>
          <w:color w:val="auto"/>
        </w:rPr>
      </w:pPr>
    </w:p>
    <w:p>
      <w:pPr>
        <w:ind w:left="260"/>
        <w:spacing w:after="0"/>
        <w:rPr>
          <w:sz w:val="20"/>
          <w:szCs w:val="20"/>
          <w:color w:val="auto"/>
        </w:rPr>
      </w:pPr>
      <w:r>
        <w:rPr>
          <w:rFonts w:ascii="Arial" w:cs="Arial" w:eastAsia="Arial" w:hAnsi="Arial"/>
          <w:sz w:val="14"/>
          <w:szCs w:val="14"/>
          <w:color w:val="auto"/>
        </w:rPr>
        <w:t>CenterPoint Energy and CERC estimate that amortization expense of intangible assets with finite lives for the next five years will be as follows: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768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2300" w:type="dxa"/>
            <w:vAlign w:val="bottom"/>
            <w:tcBorders>
              <w:bottom w:val="single" w:sz="8" w:color="auto"/>
            </w:tcBorders>
            <w:gridSpan w:val="2"/>
          </w:tcPr>
          <w:p>
            <w:pPr>
              <w:jc w:val="center"/>
              <w:ind w:left="893"/>
              <w:spacing w:after="0"/>
              <w:rPr>
                <w:sz w:val="20"/>
                <w:szCs w:val="20"/>
                <w:color w:val="auto"/>
              </w:rPr>
            </w:pPr>
            <w:r>
              <w:rPr>
                <w:rFonts w:ascii="Arial" w:cs="Arial" w:eastAsia="Arial" w:hAnsi="Arial"/>
                <w:sz w:val="11"/>
                <w:szCs w:val="11"/>
                <w:b w:val="1"/>
                <w:bCs w:val="1"/>
                <w:color w:val="auto"/>
                <w:w w:val="95"/>
              </w:rPr>
              <w:t>Amortization Expense</w:t>
            </w:r>
          </w:p>
        </w:tc>
        <w:tc>
          <w:tcPr>
            <w:tcW w:w="1200" w:type="dxa"/>
            <w:vAlign w:val="bottom"/>
            <w:tcBorders>
              <w:bottom w:val="single" w:sz="8" w:color="auto"/>
            </w:tcBorders>
          </w:tcPr>
          <w:p>
            <w:pPr>
              <w:spacing w:after="0"/>
              <w:rPr>
                <w:sz w:val="13"/>
                <w:szCs w:val="13"/>
                <w:color w:val="auto"/>
              </w:rPr>
            </w:pPr>
          </w:p>
        </w:tc>
      </w:tr>
      <w:tr>
        <w:trPr>
          <w:trHeight w:val="206"/>
        </w:trPr>
        <w:tc>
          <w:tcPr>
            <w:tcW w:w="76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ind w:right="373"/>
              <w:spacing w:after="0"/>
              <w:rPr>
                <w:sz w:val="20"/>
                <w:szCs w:val="20"/>
                <w:color w:val="auto"/>
              </w:rPr>
            </w:pPr>
            <w:r>
              <w:rPr>
                <w:rFonts w:ascii="Arial" w:cs="Arial" w:eastAsia="Arial" w:hAnsi="Arial"/>
                <w:sz w:val="11"/>
                <w:szCs w:val="11"/>
                <w:b w:val="1"/>
                <w:bCs w:val="1"/>
                <w:color w:val="auto"/>
              </w:rPr>
              <w:t>CenterPoint Energy</w:t>
            </w:r>
          </w:p>
        </w:tc>
        <w:tc>
          <w:tcPr>
            <w:tcW w:w="7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670"/>
              <w:spacing w:after="0"/>
              <w:rPr>
                <w:sz w:val="20"/>
                <w:szCs w:val="20"/>
                <w:color w:val="auto"/>
              </w:rPr>
            </w:pPr>
            <w:r>
              <w:rPr>
                <w:rFonts w:ascii="Arial" w:cs="Arial" w:eastAsia="Arial" w:hAnsi="Arial"/>
                <w:sz w:val="11"/>
                <w:szCs w:val="11"/>
                <w:b w:val="1"/>
                <w:bCs w:val="1"/>
                <w:color w:val="auto"/>
              </w:rPr>
              <w:t>CERC</w:t>
            </w:r>
          </w:p>
        </w:tc>
      </w:tr>
      <w:tr>
        <w:trPr>
          <w:trHeight w:val="196"/>
        </w:trPr>
        <w:tc>
          <w:tcPr>
            <w:tcW w:w="7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300" w:type="dxa"/>
            <w:vAlign w:val="bottom"/>
            <w:gridSpan w:val="2"/>
          </w:tcPr>
          <w:p>
            <w:pPr>
              <w:jc w:val="center"/>
              <w:ind w:left="893"/>
              <w:spacing w:after="0"/>
              <w:rPr>
                <w:sz w:val="20"/>
                <w:szCs w:val="20"/>
                <w:color w:val="auto"/>
              </w:rPr>
            </w:pPr>
            <w:r>
              <w:rPr>
                <w:rFonts w:ascii="Arial" w:cs="Arial" w:eastAsia="Arial" w:hAnsi="Arial"/>
                <w:sz w:val="11"/>
                <w:szCs w:val="11"/>
                <w:b w:val="1"/>
                <w:bCs w:val="1"/>
                <w:color w:val="auto"/>
                <w:w w:val="93"/>
              </w:rPr>
              <w:t>(in millions)</w:t>
            </w:r>
          </w:p>
        </w:tc>
        <w:tc>
          <w:tcPr>
            <w:tcW w:w="1200" w:type="dxa"/>
            <w:vAlign w:val="bottom"/>
          </w:tcPr>
          <w:p>
            <w:pPr>
              <w:spacing w:after="0"/>
              <w:rPr>
                <w:sz w:val="17"/>
                <w:szCs w:val="17"/>
                <w:color w:val="auto"/>
              </w:rPr>
            </w:pPr>
          </w:p>
        </w:tc>
      </w:tr>
      <w:tr>
        <w:trPr>
          <w:trHeight w:val="200"/>
        </w:trPr>
        <w:tc>
          <w:tcPr>
            <w:tcW w:w="7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Remaining three months of 2019</w:t>
            </w:r>
          </w:p>
        </w:tc>
        <w:tc>
          <w:tcPr>
            <w:tcW w:w="28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5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4"/>
                <w:szCs w:val="14"/>
                <w:color w:val="auto"/>
              </w:rPr>
              <w:t>15</w:t>
            </w:r>
          </w:p>
        </w:tc>
        <w:tc>
          <w:tcPr>
            <w:tcW w:w="720" w:type="dxa"/>
            <w:vAlign w:val="bottom"/>
            <w:tcBorders>
              <w:bottom w:val="single" w:sz="8" w:color="CCEEFF"/>
            </w:tcBorders>
            <w:shd w:val="clear" w:color="auto" w:fill="CCEEFF"/>
          </w:tcPr>
          <w:p>
            <w:pPr>
              <w:jc w:val="right"/>
              <w:ind w:right="44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4</w:t>
            </w:r>
          </w:p>
        </w:tc>
      </w:tr>
      <w:tr>
        <w:trPr>
          <w:trHeight w:val="193"/>
        </w:trPr>
        <w:tc>
          <w:tcPr>
            <w:tcW w:w="7680" w:type="dxa"/>
            <w:vAlign w:val="bottom"/>
          </w:tcPr>
          <w:p>
            <w:pPr>
              <w:ind w:left="20"/>
              <w:spacing w:after="0"/>
              <w:rPr>
                <w:sz w:val="20"/>
                <w:szCs w:val="20"/>
                <w:color w:val="auto"/>
              </w:rPr>
            </w:pPr>
            <w:r>
              <w:rPr>
                <w:rFonts w:ascii="Arial" w:cs="Arial" w:eastAsia="Arial" w:hAnsi="Arial"/>
                <w:sz w:val="14"/>
                <w:szCs w:val="14"/>
                <w:color w:val="auto"/>
              </w:rPr>
              <w:t>2020</w:t>
            </w:r>
          </w:p>
        </w:tc>
        <w:tc>
          <w:tcPr>
            <w:tcW w:w="280" w:type="dxa"/>
            <w:vAlign w:val="bottom"/>
          </w:tcPr>
          <w:p>
            <w:pPr>
              <w:spacing w:after="0"/>
              <w:rPr>
                <w:sz w:val="16"/>
                <w:szCs w:val="16"/>
                <w:color w:val="auto"/>
              </w:rPr>
            </w:pPr>
          </w:p>
        </w:tc>
        <w:tc>
          <w:tcPr>
            <w:tcW w:w="1580" w:type="dxa"/>
            <w:vAlign w:val="bottom"/>
          </w:tcPr>
          <w:p>
            <w:pPr>
              <w:jc w:val="right"/>
              <w:ind w:right="53"/>
              <w:spacing w:after="0"/>
              <w:rPr>
                <w:sz w:val="20"/>
                <w:szCs w:val="20"/>
                <w:color w:val="auto"/>
              </w:rPr>
            </w:pPr>
            <w:r>
              <w:rPr>
                <w:rFonts w:ascii="Arial" w:cs="Arial" w:eastAsia="Arial" w:hAnsi="Arial"/>
                <w:sz w:val="14"/>
                <w:szCs w:val="14"/>
                <w:color w:val="auto"/>
              </w:rPr>
              <w:t>32</w:t>
            </w:r>
          </w:p>
        </w:tc>
        <w:tc>
          <w:tcPr>
            <w:tcW w:w="720" w:type="dxa"/>
            <w:vAlign w:val="bottom"/>
          </w:tcPr>
          <w:p>
            <w:pPr>
              <w:spacing w:after="0"/>
              <w:rPr>
                <w:sz w:val="16"/>
                <w:szCs w:val="16"/>
                <w:color w:val="auto"/>
              </w:rPr>
            </w:pPr>
          </w:p>
        </w:tc>
        <w:tc>
          <w:tcPr>
            <w:tcW w:w="1200" w:type="dxa"/>
            <w:vAlign w:val="bottom"/>
          </w:tcPr>
          <w:p>
            <w:pPr>
              <w:jc w:val="right"/>
              <w:ind w:right="30"/>
              <w:spacing w:after="0"/>
              <w:rPr>
                <w:sz w:val="20"/>
                <w:szCs w:val="20"/>
                <w:color w:val="auto"/>
              </w:rPr>
            </w:pPr>
            <w:r>
              <w:rPr>
                <w:rFonts w:ascii="Arial" w:cs="Arial" w:eastAsia="Arial" w:hAnsi="Arial"/>
                <w:sz w:val="14"/>
                <w:szCs w:val="14"/>
                <w:color w:val="auto"/>
              </w:rPr>
              <w:t>6</w:t>
            </w:r>
          </w:p>
        </w:tc>
      </w:tr>
      <w:tr>
        <w:trPr>
          <w:trHeight w:val="23"/>
        </w:trPr>
        <w:tc>
          <w:tcPr>
            <w:tcW w:w="7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196"/>
        </w:trPr>
        <w:tc>
          <w:tcPr>
            <w:tcW w:w="7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2021</w:t>
            </w:r>
          </w:p>
        </w:tc>
        <w:tc>
          <w:tcPr>
            <w:tcW w:w="280" w:type="dxa"/>
            <w:vAlign w:val="bottom"/>
            <w:tcBorders>
              <w:bottom w:val="single" w:sz="8" w:color="CCEEFF"/>
            </w:tcBorders>
            <w:shd w:val="clear" w:color="auto" w:fill="CCEEFF"/>
          </w:tcPr>
          <w:p>
            <w:pPr>
              <w:spacing w:after="0"/>
              <w:rPr>
                <w:sz w:val="17"/>
                <w:szCs w:val="17"/>
                <w:color w:val="auto"/>
              </w:rPr>
            </w:pPr>
          </w:p>
        </w:tc>
        <w:tc>
          <w:tcPr>
            <w:tcW w:w="15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4"/>
                <w:szCs w:val="14"/>
                <w:color w:val="auto"/>
              </w:rPr>
              <w:t>31</w:t>
            </w:r>
          </w:p>
        </w:tc>
        <w:tc>
          <w:tcPr>
            <w:tcW w:w="72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6</w:t>
            </w:r>
          </w:p>
        </w:tc>
      </w:tr>
      <w:tr>
        <w:trPr>
          <w:trHeight w:val="193"/>
        </w:trPr>
        <w:tc>
          <w:tcPr>
            <w:tcW w:w="7680" w:type="dxa"/>
            <w:vAlign w:val="bottom"/>
          </w:tcPr>
          <w:p>
            <w:pPr>
              <w:ind w:left="20"/>
              <w:spacing w:after="0"/>
              <w:rPr>
                <w:sz w:val="20"/>
                <w:szCs w:val="20"/>
                <w:color w:val="auto"/>
              </w:rPr>
            </w:pPr>
            <w:r>
              <w:rPr>
                <w:rFonts w:ascii="Arial" w:cs="Arial" w:eastAsia="Arial" w:hAnsi="Arial"/>
                <w:sz w:val="14"/>
                <w:szCs w:val="14"/>
                <w:color w:val="auto"/>
              </w:rPr>
              <w:t>2022</w:t>
            </w:r>
          </w:p>
        </w:tc>
        <w:tc>
          <w:tcPr>
            <w:tcW w:w="280" w:type="dxa"/>
            <w:vAlign w:val="bottom"/>
          </w:tcPr>
          <w:p>
            <w:pPr>
              <w:spacing w:after="0"/>
              <w:rPr>
                <w:sz w:val="16"/>
                <w:szCs w:val="16"/>
                <w:color w:val="auto"/>
              </w:rPr>
            </w:pPr>
          </w:p>
        </w:tc>
        <w:tc>
          <w:tcPr>
            <w:tcW w:w="1580" w:type="dxa"/>
            <w:vAlign w:val="bottom"/>
          </w:tcPr>
          <w:p>
            <w:pPr>
              <w:jc w:val="right"/>
              <w:ind w:right="53"/>
              <w:spacing w:after="0"/>
              <w:rPr>
                <w:sz w:val="20"/>
                <w:szCs w:val="20"/>
                <w:color w:val="auto"/>
              </w:rPr>
            </w:pPr>
            <w:r>
              <w:rPr>
                <w:rFonts w:ascii="Arial" w:cs="Arial" w:eastAsia="Arial" w:hAnsi="Arial"/>
                <w:sz w:val="14"/>
                <w:szCs w:val="14"/>
                <w:color w:val="auto"/>
              </w:rPr>
              <w:t>32</w:t>
            </w:r>
          </w:p>
        </w:tc>
        <w:tc>
          <w:tcPr>
            <w:tcW w:w="720" w:type="dxa"/>
            <w:vAlign w:val="bottom"/>
          </w:tcPr>
          <w:p>
            <w:pPr>
              <w:spacing w:after="0"/>
              <w:rPr>
                <w:sz w:val="16"/>
                <w:szCs w:val="16"/>
                <w:color w:val="auto"/>
              </w:rPr>
            </w:pPr>
          </w:p>
        </w:tc>
        <w:tc>
          <w:tcPr>
            <w:tcW w:w="1200" w:type="dxa"/>
            <w:vAlign w:val="bottom"/>
          </w:tcPr>
          <w:p>
            <w:pPr>
              <w:jc w:val="right"/>
              <w:ind w:right="30"/>
              <w:spacing w:after="0"/>
              <w:rPr>
                <w:sz w:val="20"/>
                <w:szCs w:val="20"/>
                <w:color w:val="auto"/>
              </w:rPr>
            </w:pPr>
            <w:r>
              <w:rPr>
                <w:rFonts w:ascii="Arial" w:cs="Arial" w:eastAsia="Arial" w:hAnsi="Arial"/>
                <w:sz w:val="14"/>
                <w:szCs w:val="14"/>
                <w:color w:val="auto"/>
              </w:rPr>
              <w:t>6</w:t>
            </w:r>
          </w:p>
        </w:tc>
      </w:tr>
      <w:tr>
        <w:trPr>
          <w:trHeight w:val="23"/>
        </w:trPr>
        <w:tc>
          <w:tcPr>
            <w:tcW w:w="7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196"/>
        </w:trPr>
        <w:tc>
          <w:tcPr>
            <w:tcW w:w="7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2023</w:t>
            </w:r>
          </w:p>
        </w:tc>
        <w:tc>
          <w:tcPr>
            <w:tcW w:w="280" w:type="dxa"/>
            <w:vAlign w:val="bottom"/>
            <w:tcBorders>
              <w:bottom w:val="single" w:sz="8" w:color="CCEEFF"/>
            </w:tcBorders>
            <w:shd w:val="clear" w:color="auto" w:fill="CCEEFF"/>
          </w:tcPr>
          <w:p>
            <w:pPr>
              <w:spacing w:after="0"/>
              <w:rPr>
                <w:sz w:val="17"/>
                <w:szCs w:val="17"/>
                <w:color w:val="auto"/>
              </w:rPr>
            </w:pPr>
          </w:p>
        </w:tc>
        <w:tc>
          <w:tcPr>
            <w:tcW w:w="15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4"/>
                <w:szCs w:val="14"/>
                <w:color w:val="auto"/>
              </w:rPr>
              <w:t>31</w:t>
            </w:r>
          </w:p>
        </w:tc>
        <w:tc>
          <w:tcPr>
            <w:tcW w:w="72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5</w:t>
            </w:r>
          </w:p>
        </w:tc>
      </w:tr>
      <w:tr>
        <w:trPr>
          <w:trHeight w:val="193"/>
        </w:trPr>
        <w:tc>
          <w:tcPr>
            <w:tcW w:w="7680" w:type="dxa"/>
            <w:vAlign w:val="bottom"/>
          </w:tcPr>
          <w:p>
            <w:pPr>
              <w:ind w:left="20"/>
              <w:spacing w:after="0"/>
              <w:rPr>
                <w:sz w:val="20"/>
                <w:szCs w:val="20"/>
                <w:color w:val="auto"/>
              </w:rPr>
            </w:pPr>
            <w:r>
              <w:rPr>
                <w:rFonts w:ascii="Arial" w:cs="Arial" w:eastAsia="Arial" w:hAnsi="Arial"/>
                <w:sz w:val="14"/>
                <w:szCs w:val="14"/>
                <w:color w:val="auto"/>
              </w:rPr>
              <w:t>2024</w:t>
            </w:r>
          </w:p>
        </w:tc>
        <w:tc>
          <w:tcPr>
            <w:tcW w:w="280" w:type="dxa"/>
            <w:vAlign w:val="bottom"/>
          </w:tcPr>
          <w:p>
            <w:pPr>
              <w:spacing w:after="0"/>
              <w:rPr>
                <w:sz w:val="16"/>
                <w:szCs w:val="16"/>
                <w:color w:val="auto"/>
              </w:rPr>
            </w:pPr>
          </w:p>
        </w:tc>
        <w:tc>
          <w:tcPr>
            <w:tcW w:w="1580" w:type="dxa"/>
            <w:vAlign w:val="bottom"/>
          </w:tcPr>
          <w:p>
            <w:pPr>
              <w:jc w:val="right"/>
              <w:ind w:right="53"/>
              <w:spacing w:after="0"/>
              <w:rPr>
                <w:sz w:val="20"/>
                <w:szCs w:val="20"/>
                <w:color w:val="auto"/>
              </w:rPr>
            </w:pPr>
            <w:r>
              <w:rPr>
                <w:rFonts w:ascii="Arial" w:cs="Arial" w:eastAsia="Arial" w:hAnsi="Arial"/>
                <w:sz w:val="14"/>
                <w:szCs w:val="14"/>
                <w:color w:val="auto"/>
              </w:rPr>
              <w:t>29</w:t>
            </w:r>
          </w:p>
        </w:tc>
        <w:tc>
          <w:tcPr>
            <w:tcW w:w="720" w:type="dxa"/>
            <w:vAlign w:val="bottom"/>
          </w:tcPr>
          <w:p>
            <w:pPr>
              <w:spacing w:after="0"/>
              <w:rPr>
                <w:sz w:val="16"/>
                <w:szCs w:val="16"/>
                <w:color w:val="auto"/>
              </w:rPr>
            </w:pPr>
          </w:p>
        </w:tc>
        <w:tc>
          <w:tcPr>
            <w:tcW w:w="1200" w:type="dxa"/>
            <w:vAlign w:val="bottom"/>
          </w:tcPr>
          <w:p>
            <w:pPr>
              <w:jc w:val="right"/>
              <w:ind w:right="30"/>
              <w:spacing w:after="0"/>
              <w:rPr>
                <w:sz w:val="20"/>
                <w:szCs w:val="20"/>
                <w:color w:val="auto"/>
              </w:rPr>
            </w:pPr>
            <w:r>
              <w:rPr>
                <w:rFonts w:ascii="Arial" w:cs="Arial" w:eastAsia="Arial" w:hAnsi="Arial"/>
                <w:sz w:val="14"/>
                <w:szCs w:val="14"/>
                <w:color w:val="auto"/>
              </w:rPr>
              <w:t>5</w:t>
            </w:r>
          </w:p>
        </w:tc>
      </w:tr>
    </w:tbl>
    <w:p>
      <w:pPr>
        <w:spacing w:after="0" w:line="353" w:lineRule="exact"/>
        <w:rPr>
          <w:sz w:val="20"/>
          <w:szCs w:val="20"/>
          <w:color w:val="auto"/>
        </w:rPr>
      </w:pPr>
    </w:p>
    <w:p>
      <w:pPr>
        <w:ind w:left="280" w:hanging="274"/>
        <w:spacing w:after="0"/>
        <w:tabs>
          <w:tab w:leader="none" w:pos="280" w:val="left"/>
        </w:tabs>
        <w:numPr>
          <w:ilvl w:val="0"/>
          <w:numId w:val="35"/>
        </w:numPr>
        <w:rPr>
          <w:rFonts w:ascii="Arial" w:cs="Arial" w:eastAsia="Arial" w:hAnsi="Arial"/>
          <w:sz w:val="14"/>
          <w:szCs w:val="14"/>
          <w:b w:val="1"/>
          <w:bCs w:val="1"/>
          <w:color w:val="auto"/>
        </w:rPr>
      </w:pPr>
      <w:r>
        <w:rPr>
          <w:rFonts w:ascii="Arial" w:cs="Arial" w:eastAsia="Arial" w:hAnsi="Arial"/>
          <w:sz w:val="14"/>
          <w:szCs w:val="14"/>
          <w:b w:val="1"/>
          <w:bCs w:val="1"/>
          <w:color w:val="auto"/>
        </w:rPr>
        <w:t>Indexed Debt Securities (ZENS) and Securities Related to ZENS (CenterPoint Energy)</w:t>
      </w:r>
    </w:p>
    <w:p>
      <w:pPr>
        <w:spacing w:after="0" w:line="187" w:lineRule="exact"/>
        <w:rPr>
          <w:rFonts w:ascii="Arial" w:cs="Arial" w:eastAsia="Arial" w:hAnsi="Arial"/>
          <w:sz w:val="14"/>
          <w:szCs w:val="14"/>
          <w:b w:val="1"/>
          <w:bCs w:val="1"/>
          <w:color w:val="auto"/>
        </w:rPr>
      </w:pPr>
    </w:p>
    <w:p>
      <w:pPr>
        <w:ind w:left="340" w:hanging="204"/>
        <w:spacing w:after="0"/>
        <w:tabs>
          <w:tab w:leader="none" w:pos="340" w:val="left"/>
        </w:tabs>
        <w:numPr>
          <w:ilvl w:val="1"/>
          <w:numId w:val="35"/>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Investment in Securities Related to ZENS</w:t>
      </w:r>
    </w:p>
    <w:p>
      <w:pPr>
        <w:spacing w:after="0" w:line="184" w:lineRule="exact"/>
        <w:rPr>
          <w:sz w:val="20"/>
          <w:szCs w:val="20"/>
          <w:color w:val="auto"/>
        </w:rPr>
      </w:pPr>
    </w:p>
    <w:p>
      <w:pPr>
        <w:jc w:val="both"/>
        <w:ind w:firstLine="259"/>
        <w:spacing w:after="0" w:line="272" w:lineRule="auto"/>
        <w:rPr>
          <w:sz w:val="20"/>
          <w:szCs w:val="20"/>
          <w:color w:val="auto"/>
        </w:rPr>
      </w:pPr>
      <w:r>
        <w:rPr>
          <w:rFonts w:ascii="Arial" w:cs="Arial" w:eastAsia="Arial" w:hAnsi="Arial"/>
          <w:sz w:val="14"/>
          <w:szCs w:val="14"/>
          <w:color w:val="auto"/>
        </w:rPr>
        <w:t>A subsidiary of CenterPoint Energy holds shares of certain securities detailed in the table below, which are classified as trading securities and are expected to be held to facilitate CenterPoint Energy’s ability to meet its obligation under the ZENS. Unrealized gains and losses resulting from changes in the market value of the ZENS-Related Securities are recorded in CenterPoint Energy’s Condensed Statements of Consolidated Income.</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3340" w:type="dxa"/>
            <w:vAlign w:val="bottom"/>
          </w:tcPr>
          <w:p>
            <w:pPr>
              <w:spacing w:after="0"/>
              <w:rPr>
                <w:sz w:val="13"/>
                <w:szCs w:val="13"/>
                <w:color w:val="auto"/>
              </w:rPr>
            </w:pPr>
          </w:p>
        </w:tc>
        <w:tc>
          <w:tcPr>
            <w:tcW w:w="4340" w:type="dxa"/>
            <w:vAlign w:val="bottom"/>
          </w:tcPr>
          <w:p>
            <w:pPr>
              <w:spacing w:after="0"/>
              <w:rPr>
                <w:sz w:val="13"/>
                <w:szCs w:val="13"/>
                <w:color w:val="auto"/>
              </w:rPr>
            </w:pPr>
          </w:p>
        </w:tc>
        <w:tc>
          <w:tcPr>
            <w:tcW w:w="2300" w:type="dxa"/>
            <w:vAlign w:val="bottom"/>
            <w:tcBorders>
              <w:bottom w:val="single" w:sz="8" w:color="auto"/>
            </w:tcBorders>
            <w:gridSpan w:val="3"/>
          </w:tcPr>
          <w:p>
            <w:pPr>
              <w:ind w:left="1600"/>
              <w:spacing w:after="0"/>
              <w:rPr>
                <w:sz w:val="20"/>
                <w:szCs w:val="20"/>
                <w:color w:val="auto"/>
              </w:rPr>
            </w:pPr>
            <w:r>
              <w:rPr>
                <w:rFonts w:ascii="Arial" w:cs="Arial" w:eastAsia="Arial" w:hAnsi="Arial"/>
                <w:sz w:val="11"/>
                <w:szCs w:val="11"/>
                <w:b w:val="1"/>
                <w:bCs w:val="1"/>
                <w:color w:val="auto"/>
              </w:rPr>
              <w:t>Shares Held</w:t>
            </w:r>
          </w:p>
        </w:tc>
        <w:tc>
          <w:tcPr>
            <w:tcW w:w="1480" w:type="dxa"/>
            <w:vAlign w:val="bottom"/>
            <w:tcBorders>
              <w:bottom w:val="single" w:sz="8" w:color="auto"/>
            </w:tcBorders>
          </w:tcPr>
          <w:p>
            <w:pPr>
              <w:spacing w:after="0"/>
              <w:rPr>
                <w:sz w:val="13"/>
                <w:szCs w:val="13"/>
                <w:color w:val="auto"/>
              </w:rPr>
            </w:pPr>
          </w:p>
        </w:tc>
      </w:tr>
      <w:tr>
        <w:trPr>
          <w:trHeight w:val="169"/>
        </w:trPr>
        <w:tc>
          <w:tcPr>
            <w:tcW w:w="334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2300" w:type="dxa"/>
            <w:vAlign w:val="bottom"/>
            <w:gridSpan w:val="3"/>
          </w:tcPr>
          <w:p>
            <w:pPr>
              <w:ind w:left="460"/>
              <w:spacing w:after="0"/>
              <w:rPr>
                <w:sz w:val="20"/>
                <w:szCs w:val="20"/>
                <w:color w:val="auto"/>
              </w:rPr>
            </w:pPr>
            <w:r>
              <w:rPr>
                <w:rFonts w:ascii="Arial" w:cs="Arial" w:eastAsia="Arial" w:hAnsi="Arial"/>
                <w:sz w:val="11"/>
                <w:szCs w:val="11"/>
                <w:b w:val="1"/>
                <w:bCs w:val="1"/>
                <w:color w:val="auto"/>
              </w:rPr>
              <w:t>September 30, 2019</w:t>
            </w:r>
          </w:p>
        </w:tc>
        <w:tc>
          <w:tcPr>
            <w:tcW w:w="1480" w:type="dxa"/>
            <w:vAlign w:val="bottom"/>
          </w:tcPr>
          <w:p>
            <w:pPr>
              <w:jc w:val="right"/>
              <w:ind w:right="373"/>
              <w:spacing w:after="0"/>
              <w:rPr>
                <w:sz w:val="20"/>
                <w:szCs w:val="20"/>
                <w:color w:val="auto"/>
              </w:rPr>
            </w:pPr>
            <w:r>
              <w:rPr>
                <w:rFonts w:ascii="Arial" w:cs="Arial" w:eastAsia="Arial" w:hAnsi="Arial"/>
                <w:sz w:val="11"/>
                <w:szCs w:val="11"/>
                <w:b w:val="1"/>
                <w:bCs w:val="1"/>
                <w:color w:val="auto"/>
              </w:rPr>
              <w:t>December 31, 2018</w:t>
            </w:r>
          </w:p>
        </w:tc>
      </w:tr>
      <w:tr>
        <w:trPr>
          <w:trHeight w:val="41"/>
        </w:trPr>
        <w:tc>
          <w:tcPr>
            <w:tcW w:w="3340" w:type="dxa"/>
            <w:vAlign w:val="bottom"/>
            <w:tcBorders>
              <w:bottom w:val="single" w:sz="8" w:color="CCEEFF"/>
            </w:tcBorders>
          </w:tcPr>
          <w:p>
            <w:pPr>
              <w:spacing w:after="0"/>
              <w:rPr>
                <w:sz w:val="3"/>
                <w:szCs w:val="3"/>
                <w:color w:val="auto"/>
              </w:rPr>
            </w:pPr>
          </w:p>
        </w:tc>
        <w:tc>
          <w:tcPr>
            <w:tcW w:w="4340" w:type="dxa"/>
            <w:vAlign w:val="bottom"/>
            <w:tcBorders>
              <w:bottom w:val="single" w:sz="8" w:color="CCEEFF"/>
            </w:tcBorders>
          </w:tcPr>
          <w:p>
            <w:pPr>
              <w:spacing w:after="0"/>
              <w:rPr>
                <w:sz w:val="3"/>
                <w:szCs w:val="3"/>
                <w:color w:val="auto"/>
              </w:rPr>
            </w:pPr>
          </w:p>
        </w:tc>
        <w:tc>
          <w:tcPr>
            <w:tcW w:w="18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r>
      <w:tr>
        <w:trPr>
          <w:trHeight w:val="186"/>
        </w:trPr>
        <w:tc>
          <w:tcPr>
            <w:tcW w:w="3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AT&amp;T Common</w:t>
            </w:r>
          </w:p>
        </w:tc>
        <w:tc>
          <w:tcPr>
            <w:tcW w:w="6200" w:type="dxa"/>
            <w:vAlign w:val="bottom"/>
            <w:tcBorders>
              <w:bottom w:val="single" w:sz="8" w:color="CCEEFF"/>
            </w:tcBorders>
            <w:gridSpan w:val="2"/>
            <w:shd w:val="clear" w:color="auto" w:fill="CCEEFF"/>
          </w:tcPr>
          <w:p>
            <w:pPr>
              <w:jc w:val="right"/>
              <w:ind w:right="63"/>
              <w:spacing w:after="0"/>
              <w:rPr>
                <w:sz w:val="20"/>
                <w:szCs w:val="20"/>
                <w:color w:val="auto"/>
              </w:rPr>
            </w:pPr>
            <w:r>
              <w:rPr>
                <w:rFonts w:ascii="Arial" w:cs="Arial" w:eastAsia="Arial" w:hAnsi="Arial"/>
                <w:sz w:val="14"/>
                <w:szCs w:val="14"/>
                <w:color w:val="auto"/>
              </w:rPr>
              <w:t>10,212,945</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4"/>
                <w:szCs w:val="14"/>
                <w:color w:val="auto"/>
              </w:rPr>
              <w:t>10,212,945</w:t>
            </w:r>
          </w:p>
        </w:tc>
      </w:tr>
      <w:tr>
        <w:trPr>
          <w:trHeight w:val="193"/>
        </w:trPr>
        <w:tc>
          <w:tcPr>
            <w:tcW w:w="3340" w:type="dxa"/>
            <w:vAlign w:val="bottom"/>
          </w:tcPr>
          <w:p>
            <w:pPr>
              <w:ind w:left="20"/>
              <w:spacing w:after="0"/>
              <w:rPr>
                <w:sz w:val="20"/>
                <w:szCs w:val="20"/>
                <w:color w:val="auto"/>
              </w:rPr>
            </w:pPr>
            <w:r>
              <w:rPr>
                <w:rFonts w:ascii="Arial" w:cs="Arial" w:eastAsia="Arial" w:hAnsi="Arial"/>
                <w:sz w:val="14"/>
                <w:szCs w:val="14"/>
                <w:color w:val="auto"/>
              </w:rPr>
              <w:t>Charter Common</w:t>
            </w:r>
          </w:p>
        </w:tc>
        <w:tc>
          <w:tcPr>
            <w:tcW w:w="6200" w:type="dxa"/>
            <w:vAlign w:val="bottom"/>
            <w:gridSpan w:val="2"/>
          </w:tcPr>
          <w:p>
            <w:pPr>
              <w:jc w:val="right"/>
              <w:ind w:right="63"/>
              <w:spacing w:after="0"/>
              <w:rPr>
                <w:sz w:val="20"/>
                <w:szCs w:val="20"/>
                <w:color w:val="auto"/>
              </w:rPr>
            </w:pPr>
            <w:r>
              <w:rPr>
                <w:rFonts w:ascii="Arial" w:cs="Arial" w:eastAsia="Arial" w:hAnsi="Arial"/>
                <w:sz w:val="14"/>
                <w:szCs w:val="14"/>
                <w:color w:val="auto"/>
              </w:rPr>
              <w:t>872,503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80" w:type="dxa"/>
            <w:vAlign w:val="bottom"/>
          </w:tcPr>
          <w:p>
            <w:pPr>
              <w:jc w:val="right"/>
              <w:ind w:right="33"/>
              <w:spacing w:after="0"/>
              <w:rPr>
                <w:sz w:val="20"/>
                <w:szCs w:val="20"/>
                <w:color w:val="auto"/>
              </w:rPr>
            </w:pPr>
            <w:r>
              <w:rPr>
                <w:rFonts w:ascii="Arial" w:cs="Arial" w:eastAsia="Arial" w:hAnsi="Arial"/>
                <w:sz w:val="14"/>
                <w:szCs w:val="14"/>
                <w:color w:val="auto"/>
              </w:rPr>
              <w:t>872,912</w:t>
            </w:r>
          </w:p>
        </w:tc>
      </w:tr>
      <w:tr>
        <w:trPr>
          <w:trHeight w:val="733"/>
        </w:trPr>
        <w:tc>
          <w:tcPr>
            <w:tcW w:w="3340" w:type="dxa"/>
            <w:vAlign w:val="bottom"/>
          </w:tcPr>
          <w:p>
            <w:pPr>
              <w:spacing w:after="0"/>
              <w:rPr>
                <w:sz w:val="24"/>
                <w:szCs w:val="24"/>
                <w:color w:val="auto"/>
              </w:rPr>
            </w:pPr>
          </w:p>
        </w:tc>
        <w:tc>
          <w:tcPr>
            <w:tcW w:w="4340" w:type="dxa"/>
            <w:vAlign w:val="bottom"/>
          </w:tcPr>
          <w:p>
            <w:pPr>
              <w:jc w:val="right"/>
              <w:ind w:right="1808"/>
              <w:spacing w:after="0"/>
              <w:rPr>
                <w:sz w:val="20"/>
                <w:szCs w:val="20"/>
                <w:color w:val="auto"/>
              </w:rPr>
            </w:pPr>
            <w:r>
              <w:rPr>
                <w:rFonts w:ascii="Arial" w:cs="Arial" w:eastAsia="Arial" w:hAnsi="Arial"/>
                <w:sz w:val="14"/>
                <w:szCs w:val="14"/>
                <w:color w:val="auto"/>
              </w:rPr>
              <w:t>46</w:t>
            </w: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80" w:type="dxa"/>
            <w:vAlign w:val="bottom"/>
          </w:tcPr>
          <w:p>
            <w:pPr>
              <w:spacing w:after="0"/>
              <w:rPr>
                <w:sz w:val="24"/>
                <w:szCs w:val="24"/>
                <w:color w:val="auto"/>
              </w:rPr>
            </w:pPr>
          </w:p>
        </w:tc>
      </w:tr>
    </w:tbl>
    <w:p>
      <w:pPr>
        <w:sectPr>
          <w:pgSz w:w="11900" w:h="16838" w:orient="portrait"/>
          <w:cols w:equalWidth="0" w:num="1">
            <w:col w:w="11460"/>
          </w:cols>
          <w:pgMar w:left="220" w:top="129" w:right="219" w:bottom="1440" w:gutter="0" w:footer="0" w:header="0"/>
        </w:sectPr>
      </w:pPr>
    </w:p>
    <w:bookmarkStart w:id="56" w:name="page57"/>
    <w:bookmarkEnd w:id="56"/>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205" w:lineRule="exact"/>
        <w:rPr>
          <w:sz w:val="20"/>
          <w:szCs w:val="20"/>
          <w:color w:val="auto"/>
        </w:rPr>
      </w:pPr>
    </w:p>
    <w:p>
      <w:pPr>
        <w:ind w:left="140"/>
        <w:spacing w:after="0"/>
        <w:rPr>
          <w:sz w:val="20"/>
          <w:szCs w:val="20"/>
          <w:color w:val="auto"/>
        </w:rPr>
      </w:pPr>
      <w:r>
        <w:rPr>
          <w:rFonts w:ascii="Arial" w:cs="Arial" w:eastAsia="Arial" w:hAnsi="Arial"/>
          <w:sz w:val="14"/>
          <w:szCs w:val="14"/>
          <w:b w:val="1"/>
          <w:bCs w:val="1"/>
          <w:i w:val="1"/>
          <w:iCs w:val="1"/>
          <w:color w:val="auto"/>
        </w:rPr>
        <w:t>(b) ZENS</w:t>
      </w:r>
    </w:p>
    <w:p>
      <w:pPr>
        <w:spacing w:after="0" w:line="184" w:lineRule="exact"/>
        <w:rPr>
          <w:sz w:val="20"/>
          <w:szCs w:val="20"/>
          <w:color w:val="auto"/>
        </w:rPr>
      </w:pPr>
    </w:p>
    <w:p>
      <w:pPr>
        <w:jc w:val="both"/>
        <w:ind w:firstLine="259"/>
        <w:spacing w:after="0" w:line="272" w:lineRule="auto"/>
        <w:rPr>
          <w:sz w:val="20"/>
          <w:szCs w:val="20"/>
          <w:color w:val="auto"/>
        </w:rPr>
      </w:pPr>
      <w:r>
        <w:rPr>
          <w:rFonts w:ascii="Arial" w:cs="Arial" w:eastAsia="Arial" w:hAnsi="Arial"/>
          <w:sz w:val="14"/>
          <w:szCs w:val="14"/>
          <w:color w:val="auto"/>
        </w:rPr>
        <w:t>In September 1999, CenterPoint Energy issued ZENS having an original principal amount of $1.0 billion of which $828 million remained outstanding as of September 30, 2019. Each ZENS is exchangeable at the holder’s option at any time for an amount of cash equal to 95% of the market value of the reference shares attributable to such note. The number and identity of the reference shares attributable to each ZENS are adjusted for certain corporate events. CenterPoint Energy’s reference shares for each ZENS consisted of the following:</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7680" w:type="dxa"/>
            <w:vAlign w:val="bottom"/>
          </w:tcPr>
          <w:p>
            <w:pPr>
              <w:spacing w:after="0"/>
              <w:rPr>
                <w:sz w:val="13"/>
                <w:szCs w:val="13"/>
                <w:color w:val="auto"/>
              </w:rPr>
            </w:pPr>
          </w:p>
        </w:tc>
        <w:tc>
          <w:tcPr>
            <w:tcW w:w="2280" w:type="dxa"/>
            <w:vAlign w:val="bottom"/>
            <w:tcBorders>
              <w:bottom w:val="single" w:sz="8" w:color="auto"/>
            </w:tcBorders>
          </w:tcPr>
          <w:p>
            <w:pPr>
              <w:jc w:val="right"/>
              <w:ind w:right="795"/>
              <w:spacing w:after="0"/>
              <w:rPr>
                <w:sz w:val="20"/>
                <w:szCs w:val="20"/>
                <w:color w:val="auto"/>
              </w:rPr>
            </w:pPr>
            <w:r>
              <w:rPr>
                <w:rFonts w:ascii="Arial" w:cs="Arial" w:eastAsia="Arial" w:hAnsi="Arial"/>
                <w:sz w:val="11"/>
                <w:szCs w:val="11"/>
                <w:b w:val="1"/>
                <w:bCs w:val="1"/>
                <w:color w:val="auto"/>
              </w:rPr>
              <w:t>September 30, 2019</w:t>
            </w:r>
          </w:p>
        </w:tc>
        <w:tc>
          <w:tcPr>
            <w:tcW w:w="1500" w:type="dxa"/>
            <w:vAlign w:val="bottom"/>
            <w:tcBorders>
              <w:bottom w:val="single" w:sz="8" w:color="auto"/>
            </w:tcBorders>
          </w:tcPr>
          <w:p>
            <w:pPr>
              <w:jc w:val="right"/>
              <w:ind w:right="373"/>
              <w:spacing w:after="0"/>
              <w:rPr>
                <w:sz w:val="20"/>
                <w:szCs w:val="20"/>
                <w:color w:val="auto"/>
              </w:rPr>
            </w:pPr>
            <w:r>
              <w:rPr>
                <w:rFonts w:ascii="Arial" w:cs="Arial" w:eastAsia="Arial" w:hAnsi="Arial"/>
                <w:sz w:val="11"/>
                <w:szCs w:val="11"/>
                <w:b w:val="1"/>
                <w:bCs w:val="1"/>
                <w:color w:val="auto"/>
              </w:rPr>
              <w:t>December 31, 2018</w:t>
            </w:r>
          </w:p>
        </w:tc>
      </w:tr>
      <w:tr>
        <w:trPr>
          <w:trHeight w:val="196"/>
        </w:trPr>
        <w:tc>
          <w:tcPr>
            <w:tcW w:w="7680" w:type="dxa"/>
            <w:vAlign w:val="bottom"/>
          </w:tcPr>
          <w:p>
            <w:pPr>
              <w:spacing w:after="0"/>
              <w:rPr>
                <w:sz w:val="17"/>
                <w:szCs w:val="17"/>
                <w:color w:val="auto"/>
              </w:rPr>
            </w:pPr>
          </w:p>
        </w:tc>
        <w:tc>
          <w:tcPr>
            <w:tcW w:w="2280" w:type="dxa"/>
            <w:vAlign w:val="bottom"/>
          </w:tcPr>
          <w:p>
            <w:pPr>
              <w:jc w:val="right"/>
              <w:ind w:right="55"/>
              <w:spacing w:after="0"/>
              <w:rPr>
                <w:sz w:val="20"/>
                <w:szCs w:val="20"/>
                <w:color w:val="auto"/>
              </w:rPr>
            </w:pPr>
            <w:r>
              <w:rPr>
                <w:rFonts w:ascii="Arial" w:cs="Arial" w:eastAsia="Arial" w:hAnsi="Arial"/>
                <w:sz w:val="11"/>
                <w:szCs w:val="11"/>
                <w:b w:val="1"/>
                <w:bCs w:val="1"/>
                <w:color w:val="auto"/>
              </w:rPr>
              <w:t>(in shares)</w:t>
            </w:r>
          </w:p>
        </w:tc>
        <w:tc>
          <w:tcPr>
            <w:tcW w:w="1500" w:type="dxa"/>
            <w:vAlign w:val="bottom"/>
          </w:tcPr>
          <w:p>
            <w:pPr>
              <w:spacing w:after="0"/>
              <w:rPr>
                <w:sz w:val="17"/>
                <w:szCs w:val="17"/>
                <w:color w:val="auto"/>
              </w:rPr>
            </w:pPr>
          </w:p>
        </w:tc>
      </w:tr>
      <w:tr>
        <w:trPr>
          <w:trHeight w:val="200"/>
        </w:trPr>
        <w:tc>
          <w:tcPr>
            <w:tcW w:w="7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AT&amp;T Common</w:t>
            </w:r>
          </w:p>
        </w:tc>
        <w:tc>
          <w:tcPr>
            <w:tcW w:w="2280" w:type="dxa"/>
            <w:vAlign w:val="bottom"/>
            <w:tcBorders>
              <w:bottom w:val="single" w:sz="8" w:color="CCEEFF"/>
            </w:tcBorders>
            <w:shd w:val="clear" w:color="auto" w:fill="CCEEFF"/>
          </w:tcPr>
          <w:p>
            <w:pPr>
              <w:jc w:val="right"/>
              <w:ind w:right="475"/>
              <w:spacing w:after="0"/>
              <w:rPr>
                <w:sz w:val="20"/>
                <w:szCs w:val="20"/>
                <w:color w:val="auto"/>
              </w:rPr>
            </w:pPr>
            <w:r>
              <w:rPr>
                <w:rFonts w:ascii="Arial" w:cs="Arial" w:eastAsia="Arial" w:hAnsi="Arial"/>
                <w:sz w:val="14"/>
                <w:szCs w:val="14"/>
                <w:color w:val="auto"/>
              </w:rPr>
              <w:t>0.7185</w:t>
            </w: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4"/>
                <w:szCs w:val="14"/>
                <w:color w:val="auto"/>
              </w:rPr>
              <w:t>0.7185</w:t>
            </w:r>
          </w:p>
        </w:tc>
      </w:tr>
      <w:tr>
        <w:trPr>
          <w:trHeight w:val="193"/>
        </w:trPr>
        <w:tc>
          <w:tcPr>
            <w:tcW w:w="7680" w:type="dxa"/>
            <w:vAlign w:val="bottom"/>
          </w:tcPr>
          <w:p>
            <w:pPr>
              <w:ind w:left="20"/>
              <w:spacing w:after="0"/>
              <w:rPr>
                <w:sz w:val="20"/>
                <w:szCs w:val="20"/>
                <w:color w:val="auto"/>
              </w:rPr>
            </w:pPr>
            <w:r>
              <w:rPr>
                <w:rFonts w:ascii="Arial" w:cs="Arial" w:eastAsia="Arial" w:hAnsi="Arial"/>
                <w:sz w:val="14"/>
                <w:szCs w:val="14"/>
                <w:color w:val="auto"/>
              </w:rPr>
              <w:t>Charter Common</w:t>
            </w:r>
          </w:p>
        </w:tc>
        <w:tc>
          <w:tcPr>
            <w:tcW w:w="2280" w:type="dxa"/>
            <w:vAlign w:val="bottom"/>
          </w:tcPr>
          <w:p>
            <w:pPr>
              <w:jc w:val="right"/>
              <w:ind w:right="475"/>
              <w:spacing w:after="0"/>
              <w:rPr>
                <w:sz w:val="20"/>
                <w:szCs w:val="20"/>
                <w:color w:val="auto"/>
              </w:rPr>
            </w:pPr>
            <w:r>
              <w:rPr>
                <w:rFonts w:ascii="Arial" w:cs="Arial" w:eastAsia="Arial" w:hAnsi="Arial"/>
                <w:sz w:val="14"/>
                <w:szCs w:val="14"/>
                <w:color w:val="auto"/>
              </w:rPr>
              <w:t>0.061382</w:t>
            </w:r>
          </w:p>
        </w:tc>
        <w:tc>
          <w:tcPr>
            <w:tcW w:w="1500" w:type="dxa"/>
            <w:vAlign w:val="bottom"/>
          </w:tcPr>
          <w:p>
            <w:pPr>
              <w:jc w:val="right"/>
              <w:ind w:right="33"/>
              <w:spacing w:after="0"/>
              <w:rPr>
                <w:sz w:val="20"/>
                <w:szCs w:val="20"/>
                <w:color w:val="auto"/>
              </w:rPr>
            </w:pPr>
            <w:r>
              <w:rPr>
                <w:rFonts w:ascii="Arial" w:cs="Arial" w:eastAsia="Arial" w:hAnsi="Arial"/>
                <w:sz w:val="14"/>
                <w:szCs w:val="14"/>
                <w:color w:val="auto"/>
              </w:rPr>
              <w:t>0.061382</w:t>
            </w:r>
          </w:p>
        </w:tc>
      </w:tr>
    </w:tbl>
    <w:p>
      <w:pPr>
        <w:spacing w:after="0" w:line="357" w:lineRule="exact"/>
        <w:rPr>
          <w:sz w:val="20"/>
          <w:szCs w:val="20"/>
          <w:color w:val="auto"/>
        </w:rPr>
      </w:pPr>
    </w:p>
    <w:p>
      <w:pPr>
        <w:jc w:val="both"/>
        <w:ind w:firstLine="259"/>
        <w:spacing w:after="0" w:line="294" w:lineRule="auto"/>
        <w:rPr>
          <w:sz w:val="20"/>
          <w:szCs w:val="20"/>
          <w:color w:val="auto"/>
        </w:rPr>
      </w:pPr>
      <w:r>
        <w:rPr>
          <w:rFonts w:ascii="Arial" w:cs="Arial" w:eastAsia="Arial" w:hAnsi="Arial"/>
          <w:sz w:val="13"/>
          <w:szCs w:val="13"/>
          <w:color w:val="auto"/>
        </w:rPr>
        <w:t>CenterPoint Energy pays interest on the ZENS at an annual rate of 2% plus the amount of any quarterly cash dividends paid in respect of the ZENS-Related Securities. The principal amount of the ZENS is subject to increases or decreases to the extent that the annual yield from interest and cash dividends on the ZENS-Related Securities is less than or more than 2.309%. The adjusted principal amount is defined in the ZENS instrument as “contingent principal.” As of September 30, 2019, the ZENS, having an original principal amount of $828 million and a contingent principal amount of $80 million, were outstanding and were exchangeable at the option of the holders for cash equal to 95% of the market value of the ZENS-Related Securities.</w:t>
      </w:r>
    </w:p>
    <w:p>
      <w:pPr>
        <w:spacing w:after="0" w:line="126" w:lineRule="exact"/>
        <w:rPr>
          <w:sz w:val="20"/>
          <w:szCs w:val="20"/>
          <w:color w:val="auto"/>
        </w:rPr>
      </w:pPr>
    </w:p>
    <w:p>
      <w:pPr>
        <w:ind w:left="280" w:hanging="274"/>
        <w:spacing w:after="0"/>
        <w:tabs>
          <w:tab w:leader="none" w:pos="280" w:val="left"/>
        </w:tabs>
        <w:numPr>
          <w:ilvl w:val="0"/>
          <w:numId w:val="36"/>
        </w:numPr>
        <w:rPr>
          <w:rFonts w:ascii="Arial" w:cs="Arial" w:eastAsia="Arial" w:hAnsi="Arial"/>
          <w:sz w:val="14"/>
          <w:szCs w:val="14"/>
          <w:b w:val="1"/>
          <w:bCs w:val="1"/>
          <w:color w:val="auto"/>
        </w:rPr>
      </w:pPr>
      <w:r>
        <w:rPr>
          <w:rFonts w:ascii="Arial" w:cs="Arial" w:eastAsia="Arial" w:hAnsi="Arial"/>
          <w:sz w:val="14"/>
          <w:szCs w:val="14"/>
          <w:b w:val="1"/>
          <w:bCs w:val="1"/>
          <w:color w:val="auto"/>
        </w:rPr>
        <w:t>Short-term Borrowings and Long-term Debt</w:t>
      </w:r>
    </w:p>
    <w:p>
      <w:pPr>
        <w:spacing w:after="0" w:line="187" w:lineRule="exact"/>
        <w:rPr>
          <w:rFonts w:ascii="Arial" w:cs="Arial" w:eastAsia="Arial" w:hAnsi="Arial"/>
          <w:sz w:val="14"/>
          <w:szCs w:val="14"/>
          <w:b w:val="1"/>
          <w:bCs w:val="1"/>
          <w:color w:val="auto"/>
        </w:rPr>
      </w:pPr>
    </w:p>
    <w:p>
      <w:pPr>
        <w:ind w:left="520" w:hanging="255"/>
        <w:spacing w:after="0"/>
        <w:tabs>
          <w:tab w:leader="none" w:pos="520" w:val="left"/>
        </w:tabs>
        <w:numPr>
          <w:ilvl w:val="1"/>
          <w:numId w:val="36"/>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Short-term Borrowings (CenterPoint Energy and CERC)</w:t>
      </w:r>
    </w:p>
    <w:p>
      <w:pPr>
        <w:spacing w:after="0" w:line="184" w:lineRule="exact"/>
        <w:rPr>
          <w:sz w:val="20"/>
          <w:szCs w:val="20"/>
          <w:color w:val="auto"/>
        </w:rPr>
      </w:pPr>
    </w:p>
    <w:p>
      <w:pPr>
        <w:jc w:val="both"/>
        <w:ind w:firstLine="259"/>
        <w:spacing w:after="0" w:line="267" w:lineRule="auto"/>
        <w:rPr>
          <w:sz w:val="20"/>
          <w:szCs w:val="20"/>
          <w:color w:val="auto"/>
        </w:rPr>
      </w:pPr>
      <w:r>
        <w:rPr>
          <w:rFonts w:ascii="Arial" w:cs="Arial" w:eastAsia="Arial" w:hAnsi="Arial"/>
          <w:sz w:val="14"/>
          <w:szCs w:val="14"/>
          <w:i w:val="1"/>
          <w:iCs w:val="1"/>
          <w:color w:val="auto"/>
        </w:rPr>
        <w:t>Inventory Financing</w:t>
      </w:r>
      <w:r>
        <w:rPr>
          <w:rFonts w:ascii="Arial" w:cs="Arial" w:eastAsia="Arial" w:hAnsi="Arial"/>
          <w:sz w:val="14"/>
          <w:szCs w:val="14"/>
          <w:color w:val="auto"/>
        </w:rPr>
        <w:t>. NGD has AMAs associated with its utility distribution service in Arkansas, Louisiana, Mississippi, Oklahoma and Texas. The AMAs have varying terms, the longest of</w:t>
      </w:r>
      <w:r>
        <w:rPr>
          <w:rFonts w:ascii="Arial" w:cs="Arial" w:eastAsia="Arial" w:hAnsi="Arial"/>
          <w:sz w:val="14"/>
          <w:szCs w:val="14"/>
          <w:i w:val="1"/>
          <w:iCs w:val="1"/>
          <w:color w:val="auto"/>
        </w:rPr>
        <w:t xml:space="preserve"> </w:t>
      </w:r>
      <w:r>
        <w:rPr>
          <w:rFonts w:ascii="Arial" w:cs="Arial" w:eastAsia="Arial" w:hAnsi="Arial"/>
          <w:sz w:val="14"/>
          <w:szCs w:val="14"/>
          <w:color w:val="auto"/>
        </w:rPr>
        <w:t>which expires in 2021. Pursuant to the provisions of the agreements, NGD sells natural gas and agrees to repurchase an equivalent amount of natural gas during the winter heating seasons at the same cost. These transactions are accounted for as an inventory financing. CenterPoint Energy and CERC had no outstanding obligations related to the AMAs as of both September 30, 2019 and December 31, 2018.</w:t>
      </w:r>
    </w:p>
    <w:p>
      <w:pPr>
        <w:spacing w:after="0" w:line="146"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(b) Long-term Debt</w:t>
      </w:r>
    </w:p>
    <w:p>
      <w:pPr>
        <w:spacing w:after="0" w:line="184" w:lineRule="exact"/>
        <w:rPr>
          <w:sz w:val="20"/>
          <w:szCs w:val="20"/>
          <w:color w:val="auto"/>
        </w:rPr>
      </w:pPr>
    </w:p>
    <w:p>
      <w:pPr>
        <w:ind w:left="260"/>
        <w:spacing w:after="0"/>
        <w:rPr>
          <w:sz w:val="20"/>
          <w:szCs w:val="20"/>
          <w:color w:val="auto"/>
        </w:rPr>
      </w:pPr>
      <w:r>
        <w:rPr>
          <w:rFonts w:ascii="Arial" w:cs="Arial" w:eastAsia="Arial" w:hAnsi="Arial"/>
          <w:sz w:val="14"/>
          <w:szCs w:val="14"/>
          <w:i w:val="1"/>
          <w:iCs w:val="1"/>
          <w:color w:val="auto"/>
        </w:rPr>
        <w:t xml:space="preserve">Debt Transactions. </w:t>
      </w:r>
      <w:r>
        <w:rPr>
          <w:rFonts w:ascii="Arial" w:cs="Arial" w:eastAsia="Arial" w:hAnsi="Arial"/>
          <w:sz w:val="14"/>
          <w:szCs w:val="14"/>
          <w:color w:val="auto"/>
        </w:rPr>
        <w:t>During the nine months ended September 30, 2019, the following debt instruments were issued or incurred:</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760" w:type="dxa"/>
            <w:vAlign w:val="bottom"/>
          </w:tcPr>
          <w:p>
            <w:pPr>
              <w:spacing w:after="0"/>
              <w:rPr>
                <w:sz w:val="10"/>
                <w:szCs w:val="10"/>
                <w:color w:val="auto"/>
              </w:rPr>
            </w:pPr>
          </w:p>
        </w:tc>
        <w:tc>
          <w:tcPr>
            <w:tcW w:w="1720" w:type="dxa"/>
            <w:vAlign w:val="bottom"/>
            <w:vMerge w:val="restart"/>
          </w:tcPr>
          <w:p>
            <w:pPr>
              <w:ind w:left="520"/>
              <w:spacing w:after="0"/>
              <w:rPr>
                <w:sz w:val="20"/>
                <w:szCs w:val="20"/>
                <w:color w:val="auto"/>
              </w:rPr>
            </w:pPr>
            <w:r>
              <w:rPr>
                <w:rFonts w:ascii="Arial" w:cs="Arial" w:eastAsia="Arial" w:hAnsi="Arial"/>
                <w:sz w:val="11"/>
                <w:szCs w:val="11"/>
                <w:b w:val="1"/>
                <w:bCs w:val="1"/>
                <w:color w:val="auto"/>
              </w:rPr>
              <w:t>Issuance Date</w:t>
            </w:r>
          </w:p>
        </w:tc>
        <w:tc>
          <w:tcPr>
            <w:tcW w:w="120" w:type="dxa"/>
            <w:vAlign w:val="bottom"/>
            <w:vMerge w:val="restart"/>
          </w:tcPr>
          <w:p>
            <w:pPr>
              <w:spacing w:after="0"/>
              <w:rPr>
                <w:sz w:val="10"/>
                <w:szCs w:val="10"/>
                <w:color w:val="auto"/>
              </w:rPr>
            </w:pPr>
          </w:p>
        </w:tc>
        <w:tc>
          <w:tcPr>
            <w:tcW w:w="2640" w:type="dxa"/>
            <w:vAlign w:val="bottom"/>
            <w:vMerge w:val="restart"/>
          </w:tcPr>
          <w:p>
            <w:pPr>
              <w:ind w:left="920"/>
              <w:spacing w:after="0"/>
              <w:rPr>
                <w:sz w:val="20"/>
                <w:szCs w:val="20"/>
                <w:color w:val="auto"/>
              </w:rPr>
            </w:pPr>
            <w:r>
              <w:rPr>
                <w:rFonts w:ascii="Arial" w:cs="Arial" w:eastAsia="Arial" w:hAnsi="Arial"/>
                <w:sz w:val="11"/>
                <w:szCs w:val="11"/>
                <w:b w:val="1"/>
                <w:bCs w:val="1"/>
                <w:color w:val="auto"/>
              </w:rPr>
              <w:t>Debt Instrument</w:t>
            </w:r>
          </w:p>
        </w:tc>
        <w:tc>
          <w:tcPr>
            <w:tcW w:w="100" w:type="dxa"/>
            <w:vAlign w:val="bottom"/>
            <w:vMerge w:val="restart"/>
          </w:tcPr>
          <w:p>
            <w:pPr>
              <w:spacing w:after="0"/>
              <w:rPr>
                <w:sz w:val="10"/>
                <w:szCs w:val="10"/>
                <w:color w:val="auto"/>
              </w:rPr>
            </w:pPr>
          </w:p>
        </w:tc>
        <w:tc>
          <w:tcPr>
            <w:tcW w:w="148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w w:val="95"/>
              </w:rPr>
              <w:t>Aggregate Principal Amount</w:t>
            </w:r>
          </w:p>
        </w:tc>
        <w:tc>
          <w:tcPr>
            <w:tcW w:w="100" w:type="dxa"/>
            <w:vAlign w:val="bottom"/>
            <w:vMerge w:val="restart"/>
          </w:tcPr>
          <w:p>
            <w:pPr>
              <w:spacing w:after="0"/>
              <w:rPr>
                <w:sz w:val="10"/>
                <w:szCs w:val="10"/>
                <w:color w:val="auto"/>
              </w:rPr>
            </w:pPr>
          </w:p>
        </w:tc>
        <w:tc>
          <w:tcPr>
            <w:tcW w:w="1400" w:type="dxa"/>
            <w:vAlign w:val="bottom"/>
            <w:gridSpan w:val="2"/>
          </w:tcPr>
          <w:p>
            <w:pPr>
              <w:ind w:left="200"/>
              <w:spacing w:after="0"/>
              <w:rPr>
                <w:sz w:val="20"/>
                <w:szCs w:val="20"/>
                <w:color w:val="auto"/>
              </w:rPr>
            </w:pPr>
            <w:r>
              <w:rPr>
                <w:rFonts w:ascii="Arial" w:cs="Arial" w:eastAsia="Arial" w:hAnsi="Arial"/>
                <w:sz w:val="11"/>
                <w:szCs w:val="11"/>
                <w:b w:val="1"/>
                <w:bCs w:val="1"/>
                <w:color w:val="auto"/>
              </w:rPr>
              <w:t>Interest Rate as of</w:t>
            </w:r>
          </w:p>
        </w:tc>
        <w:tc>
          <w:tcPr>
            <w:tcW w:w="1140" w:type="dxa"/>
            <w:vAlign w:val="bottom"/>
            <w:vMerge w:val="restart"/>
          </w:tcPr>
          <w:p>
            <w:pPr>
              <w:jc w:val="center"/>
              <w:spacing w:after="0"/>
              <w:rPr>
                <w:sz w:val="20"/>
                <w:szCs w:val="20"/>
                <w:color w:val="auto"/>
              </w:rPr>
            </w:pPr>
            <w:r>
              <w:rPr>
                <w:rFonts w:ascii="Arial" w:cs="Arial" w:eastAsia="Arial" w:hAnsi="Arial"/>
                <w:sz w:val="11"/>
                <w:szCs w:val="11"/>
                <w:b w:val="1"/>
                <w:bCs w:val="1"/>
                <w:color w:val="auto"/>
              </w:rPr>
              <w:t>Maturity Date</w:t>
            </w:r>
          </w:p>
        </w:tc>
        <w:tc>
          <w:tcPr>
            <w:tcW w:w="0" w:type="dxa"/>
            <w:vAlign w:val="bottom"/>
          </w:tcPr>
          <w:p>
            <w:pPr>
              <w:spacing w:after="0"/>
              <w:rPr>
                <w:sz w:val="1"/>
                <w:szCs w:val="1"/>
                <w:color w:val="auto"/>
              </w:rPr>
            </w:pPr>
          </w:p>
        </w:tc>
      </w:tr>
      <w:tr>
        <w:trPr>
          <w:trHeight w:val="153"/>
        </w:trPr>
        <w:tc>
          <w:tcPr>
            <w:tcW w:w="2760" w:type="dxa"/>
            <w:vAlign w:val="bottom"/>
          </w:tcPr>
          <w:p>
            <w:pPr>
              <w:spacing w:after="0"/>
              <w:rPr>
                <w:sz w:val="13"/>
                <w:szCs w:val="13"/>
                <w:color w:val="auto"/>
              </w:rPr>
            </w:pPr>
          </w:p>
        </w:tc>
        <w:tc>
          <w:tcPr>
            <w:tcW w:w="1720" w:type="dxa"/>
            <w:vAlign w:val="bottom"/>
            <w:tcBorders>
              <w:bottom w:val="single" w:sz="8" w:color="auto"/>
            </w:tcBorders>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2640" w:type="dxa"/>
            <w:vAlign w:val="bottom"/>
            <w:tcBorders>
              <w:bottom w:val="single" w:sz="8" w:color="auto"/>
            </w:tcBorders>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1480" w:type="dxa"/>
            <w:vAlign w:val="bottom"/>
            <w:tcBorders>
              <w:bottom w:val="single" w:sz="8" w:color="auto"/>
            </w:tcBorders>
            <w:gridSpan w:val="2"/>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1300" w:type="dxa"/>
            <w:vAlign w:val="bottom"/>
            <w:tcBorders>
              <w:bottom w:val="single" w:sz="8" w:color="auto"/>
            </w:tcBorders>
          </w:tcPr>
          <w:p>
            <w:pPr>
              <w:jc w:val="right"/>
              <w:ind w:right="112"/>
              <w:spacing w:after="0"/>
              <w:rPr>
                <w:sz w:val="20"/>
                <w:szCs w:val="20"/>
                <w:color w:val="auto"/>
              </w:rPr>
            </w:pPr>
            <w:r>
              <w:rPr>
                <w:rFonts w:ascii="Arial" w:cs="Arial" w:eastAsia="Arial" w:hAnsi="Arial"/>
                <w:sz w:val="11"/>
                <w:szCs w:val="11"/>
                <w:b w:val="1"/>
                <w:bCs w:val="1"/>
                <w:color w:val="auto"/>
              </w:rPr>
              <w:t>September 30, 2019</w:t>
            </w:r>
          </w:p>
        </w:tc>
        <w:tc>
          <w:tcPr>
            <w:tcW w:w="100" w:type="dxa"/>
            <w:vAlign w:val="bottom"/>
          </w:tcPr>
          <w:p>
            <w:pPr>
              <w:spacing w:after="0"/>
              <w:rPr>
                <w:sz w:val="13"/>
                <w:szCs w:val="13"/>
                <w:color w:val="auto"/>
              </w:rPr>
            </w:pPr>
          </w:p>
        </w:tc>
        <w:tc>
          <w:tcPr>
            <w:tcW w:w="114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27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gridSpan w:val="2"/>
          </w:tcPr>
          <w:p>
            <w:pPr>
              <w:ind w:left="160"/>
              <w:spacing w:after="0"/>
              <w:rPr>
                <w:sz w:val="20"/>
                <w:szCs w:val="20"/>
                <w:color w:val="auto"/>
              </w:rPr>
            </w:pPr>
            <w:r>
              <w:rPr>
                <w:rFonts w:ascii="Arial" w:cs="Arial" w:eastAsia="Arial" w:hAnsi="Arial"/>
                <w:sz w:val="11"/>
                <w:szCs w:val="11"/>
                <w:b w:val="1"/>
                <w:bCs w:val="1"/>
                <w:color w:val="auto"/>
              </w:rPr>
              <w:t>(in millions)</w:t>
            </w: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Houston Electric</w:t>
            </w:r>
          </w:p>
        </w:tc>
        <w:tc>
          <w:tcPr>
            <w:tcW w:w="18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January 2019</w:t>
            </w:r>
          </w:p>
        </w:tc>
        <w:tc>
          <w:tcPr>
            <w:tcW w:w="2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General mortgage bonds</w:t>
            </w:r>
          </w:p>
        </w:tc>
        <w:tc>
          <w:tcPr>
            <w:tcW w:w="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700</w:t>
            </w:r>
          </w:p>
        </w:tc>
        <w:tc>
          <w:tcPr>
            <w:tcW w:w="10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4.25%</w:t>
            </w:r>
          </w:p>
        </w:tc>
        <w:tc>
          <w:tcPr>
            <w:tcW w:w="10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6"/>
              </w:rPr>
              <w:t>2049</w:t>
            </w:r>
          </w:p>
        </w:tc>
        <w:tc>
          <w:tcPr>
            <w:tcW w:w="0" w:type="dxa"/>
            <w:vAlign w:val="bottom"/>
          </w:tcPr>
          <w:p>
            <w:pPr>
              <w:spacing w:after="0"/>
              <w:rPr>
                <w:sz w:val="1"/>
                <w:szCs w:val="1"/>
                <w:color w:val="auto"/>
              </w:rPr>
            </w:pPr>
          </w:p>
        </w:tc>
      </w:tr>
      <w:tr>
        <w:trPr>
          <w:trHeight w:val="193"/>
        </w:trPr>
        <w:tc>
          <w:tcPr>
            <w:tcW w:w="2760" w:type="dxa"/>
            <w:vAlign w:val="bottom"/>
          </w:tcPr>
          <w:p>
            <w:pPr>
              <w:ind w:left="20"/>
              <w:spacing w:after="0"/>
              <w:rPr>
                <w:sz w:val="20"/>
                <w:szCs w:val="20"/>
                <w:color w:val="auto"/>
              </w:rPr>
            </w:pPr>
            <w:r>
              <w:rPr>
                <w:rFonts w:ascii="Arial" w:cs="Arial" w:eastAsia="Arial" w:hAnsi="Arial"/>
                <w:sz w:val="14"/>
                <w:szCs w:val="14"/>
                <w:color w:val="auto"/>
              </w:rPr>
              <w:t xml:space="preserve">CenterPoint Energy </w:t>
            </w:r>
            <w:r>
              <w:rPr>
                <w:rFonts w:ascii="Arial" w:cs="Arial" w:eastAsia="Arial" w:hAnsi="Arial"/>
                <w:sz w:val="11"/>
                <w:szCs w:val="11"/>
                <w:color w:val="auto"/>
              </w:rPr>
              <w:t>(1)</w:t>
            </w:r>
          </w:p>
        </w:tc>
        <w:tc>
          <w:tcPr>
            <w:tcW w:w="1840" w:type="dxa"/>
            <w:vAlign w:val="bottom"/>
            <w:gridSpan w:val="2"/>
          </w:tcPr>
          <w:p>
            <w:pPr>
              <w:ind w:left="20"/>
              <w:spacing w:after="0"/>
              <w:rPr>
                <w:sz w:val="20"/>
                <w:szCs w:val="20"/>
                <w:color w:val="auto"/>
              </w:rPr>
            </w:pPr>
            <w:r>
              <w:rPr>
                <w:rFonts w:ascii="Arial" w:cs="Arial" w:eastAsia="Arial" w:hAnsi="Arial"/>
                <w:sz w:val="14"/>
                <w:szCs w:val="14"/>
                <w:color w:val="auto"/>
              </w:rPr>
              <w:t>February 2019</w:t>
            </w:r>
          </w:p>
        </w:tc>
        <w:tc>
          <w:tcPr>
            <w:tcW w:w="2740" w:type="dxa"/>
            <w:vAlign w:val="bottom"/>
            <w:gridSpan w:val="2"/>
          </w:tcPr>
          <w:p>
            <w:pPr>
              <w:ind w:left="20"/>
              <w:spacing w:after="0"/>
              <w:rPr>
                <w:sz w:val="20"/>
                <w:szCs w:val="20"/>
                <w:color w:val="auto"/>
              </w:rPr>
            </w:pPr>
            <w:r>
              <w:rPr>
                <w:rFonts w:ascii="Arial" w:cs="Arial" w:eastAsia="Arial" w:hAnsi="Arial"/>
                <w:sz w:val="14"/>
                <w:szCs w:val="14"/>
                <w:color w:val="auto"/>
              </w:rPr>
              <w:t>Variable rate term loan</w:t>
            </w:r>
          </w:p>
        </w:tc>
        <w:tc>
          <w:tcPr>
            <w:tcW w:w="280" w:type="dxa"/>
            <w:vAlign w:val="bottom"/>
          </w:tcPr>
          <w:p>
            <w:pPr>
              <w:spacing w:after="0"/>
              <w:rPr>
                <w:sz w:val="16"/>
                <w:szCs w:val="16"/>
                <w:color w:val="auto"/>
              </w:rPr>
            </w:pPr>
          </w:p>
        </w:tc>
        <w:tc>
          <w:tcPr>
            <w:tcW w:w="1200" w:type="dxa"/>
            <w:vAlign w:val="bottom"/>
          </w:tcPr>
          <w:p>
            <w:pPr>
              <w:jc w:val="right"/>
              <w:ind w:right="50"/>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2.88%</w:t>
            </w:r>
          </w:p>
        </w:tc>
        <w:tc>
          <w:tcPr>
            <w:tcW w:w="100" w:type="dxa"/>
            <w:vAlign w:val="bottom"/>
          </w:tcPr>
          <w:p>
            <w:pPr>
              <w:spacing w:after="0"/>
              <w:rPr>
                <w:sz w:val="16"/>
                <w:szCs w:val="16"/>
                <w:color w:val="auto"/>
              </w:rPr>
            </w:pPr>
          </w:p>
        </w:tc>
        <w:tc>
          <w:tcPr>
            <w:tcW w:w="1140" w:type="dxa"/>
            <w:vAlign w:val="bottom"/>
          </w:tcPr>
          <w:p>
            <w:pPr>
              <w:jc w:val="center"/>
              <w:spacing w:after="0"/>
              <w:rPr>
                <w:sz w:val="20"/>
                <w:szCs w:val="20"/>
                <w:color w:val="auto"/>
              </w:rPr>
            </w:pPr>
            <w:r>
              <w:rPr>
                <w:rFonts w:ascii="Arial" w:cs="Arial" w:eastAsia="Arial" w:hAnsi="Arial"/>
                <w:sz w:val="14"/>
                <w:szCs w:val="14"/>
                <w:color w:val="auto"/>
                <w:w w:val="96"/>
              </w:rPr>
              <w:t>2020</w:t>
            </w:r>
          </w:p>
        </w:tc>
        <w:tc>
          <w:tcPr>
            <w:tcW w:w="0" w:type="dxa"/>
            <w:vAlign w:val="bottom"/>
          </w:tcPr>
          <w:p>
            <w:pPr>
              <w:spacing w:after="0"/>
              <w:rPr>
                <w:sz w:val="1"/>
                <w:szCs w:val="1"/>
                <w:color w:val="auto"/>
              </w:rPr>
            </w:pPr>
          </w:p>
        </w:tc>
      </w:tr>
      <w:tr>
        <w:trPr>
          <w:trHeight w:val="23"/>
        </w:trPr>
        <w:tc>
          <w:tcPr>
            <w:tcW w:w="27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CenterPoint Energy</w:t>
            </w:r>
          </w:p>
        </w:tc>
        <w:tc>
          <w:tcPr>
            <w:tcW w:w="18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May 2019</w:t>
            </w:r>
          </w:p>
        </w:tc>
        <w:tc>
          <w:tcPr>
            <w:tcW w:w="2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Variable rate term loan</w:t>
            </w:r>
          </w:p>
        </w:tc>
        <w:tc>
          <w:tcPr>
            <w:tcW w:w="28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1,000</w:t>
            </w:r>
          </w:p>
        </w:tc>
        <w:tc>
          <w:tcPr>
            <w:tcW w:w="10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2.81%</w:t>
            </w:r>
          </w:p>
        </w:tc>
        <w:tc>
          <w:tcPr>
            <w:tcW w:w="10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6"/>
              </w:rPr>
              <w:t>2021</w:t>
            </w:r>
          </w:p>
        </w:tc>
        <w:tc>
          <w:tcPr>
            <w:tcW w:w="0" w:type="dxa"/>
            <w:vAlign w:val="bottom"/>
          </w:tcPr>
          <w:p>
            <w:pPr>
              <w:spacing w:after="0"/>
              <w:rPr>
                <w:sz w:val="1"/>
                <w:szCs w:val="1"/>
                <w:color w:val="auto"/>
              </w:rPr>
            </w:pPr>
          </w:p>
        </w:tc>
      </w:tr>
      <w:tr>
        <w:trPr>
          <w:trHeight w:val="193"/>
        </w:trPr>
        <w:tc>
          <w:tcPr>
            <w:tcW w:w="2760" w:type="dxa"/>
            <w:vAlign w:val="bottom"/>
          </w:tcPr>
          <w:p>
            <w:pPr>
              <w:ind w:left="20"/>
              <w:spacing w:after="0"/>
              <w:rPr>
                <w:sz w:val="20"/>
                <w:szCs w:val="20"/>
                <w:color w:val="auto"/>
              </w:rPr>
            </w:pPr>
            <w:r>
              <w:rPr>
                <w:rFonts w:ascii="Arial" w:cs="Arial" w:eastAsia="Arial" w:hAnsi="Arial"/>
                <w:sz w:val="14"/>
                <w:szCs w:val="14"/>
                <w:color w:val="auto"/>
              </w:rPr>
              <w:t>CenterPoint Energy</w:t>
            </w:r>
          </w:p>
        </w:tc>
        <w:tc>
          <w:tcPr>
            <w:tcW w:w="1840" w:type="dxa"/>
            <w:vAlign w:val="bottom"/>
            <w:gridSpan w:val="2"/>
          </w:tcPr>
          <w:p>
            <w:pPr>
              <w:ind w:left="20"/>
              <w:spacing w:after="0"/>
              <w:rPr>
                <w:sz w:val="20"/>
                <w:szCs w:val="20"/>
                <w:color w:val="auto"/>
              </w:rPr>
            </w:pPr>
            <w:r>
              <w:rPr>
                <w:rFonts w:ascii="Arial" w:cs="Arial" w:eastAsia="Arial" w:hAnsi="Arial"/>
                <w:sz w:val="14"/>
                <w:szCs w:val="14"/>
                <w:color w:val="auto"/>
              </w:rPr>
              <w:t>August 2019</w:t>
            </w:r>
          </w:p>
        </w:tc>
        <w:tc>
          <w:tcPr>
            <w:tcW w:w="2740" w:type="dxa"/>
            <w:vAlign w:val="bottom"/>
            <w:gridSpan w:val="2"/>
          </w:tcPr>
          <w:p>
            <w:pPr>
              <w:ind w:left="20"/>
              <w:spacing w:after="0"/>
              <w:rPr>
                <w:sz w:val="20"/>
                <w:szCs w:val="20"/>
                <w:color w:val="auto"/>
              </w:rPr>
            </w:pPr>
            <w:r>
              <w:rPr>
                <w:rFonts w:ascii="Arial" w:cs="Arial" w:eastAsia="Arial" w:hAnsi="Arial"/>
                <w:sz w:val="14"/>
                <w:szCs w:val="14"/>
                <w:color w:val="auto"/>
              </w:rPr>
              <w:t>Unsecured senior notes</w:t>
            </w:r>
          </w:p>
        </w:tc>
        <w:tc>
          <w:tcPr>
            <w:tcW w:w="280" w:type="dxa"/>
            <w:vAlign w:val="bottom"/>
          </w:tcPr>
          <w:p>
            <w:pPr>
              <w:spacing w:after="0"/>
              <w:rPr>
                <w:sz w:val="16"/>
                <w:szCs w:val="16"/>
                <w:color w:val="auto"/>
              </w:rPr>
            </w:pPr>
          </w:p>
        </w:tc>
        <w:tc>
          <w:tcPr>
            <w:tcW w:w="1200" w:type="dxa"/>
            <w:vAlign w:val="bottom"/>
          </w:tcPr>
          <w:p>
            <w:pPr>
              <w:jc w:val="right"/>
              <w:ind w:right="50"/>
              <w:spacing w:after="0"/>
              <w:rPr>
                <w:sz w:val="20"/>
                <w:szCs w:val="20"/>
                <w:color w:val="auto"/>
              </w:rPr>
            </w:pPr>
            <w:r>
              <w:rPr>
                <w:rFonts w:ascii="Arial" w:cs="Arial" w:eastAsia="Arial" w:hAnsi="Arial"/>
                <w:sz w:val="14"/>
                <w:szCs w:val="14"/>
                <w:color w:val="auto"/>
              </w:rPr>
              <w:t>500</w:t>
            </w:r>
          </w:p>
        </w:tc>
        <w:tc>
          <w:tcPr>
            <w:tcW w:w="1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2.50%</w:t>
            </w:r>
          </w:p>
        </w:tc>
        <w:tc>
          <w:tcPr>
            <w:tcW w:w="100" w:type="dxa"/>
            <w:vAlign w:val="bottom"/>
          </w:tcPr>
          <w:p>
            <w:pPr>
              <w:spacing w:after="0"/>
              <w:rPr>
                <w:sz w:val="16"/>
                <w:szCs w:val="16"/>
                <w:color w:val="auto"/>
              </w:rPr>
            </w:pPr>
          </w:p>
        </w:tc>
        <w:tc>
          <w:tcPr>
            <w:tcW w:w="1140" w:type="dxa"/>
            <w:vAlign w:val="bottom"/>
          </w:tcPr>
          <w:p>
            <w:pPr>
              <w:jc w:val="center"/>
              <w:spacing w:after="0"/>
              <w:rPr>
                <w:sz w:val="20"/>
                <w:szCs w:val="20"/>
                <w:color w:val="auto"/>
              </w:rPr>
            </w:pPr>
            <w:r>
              <w:rPr>
                <w:rFonts w:ascii="Arial" w:cs="Arial" w:eastAsia="Arial" w:hAnsi="Arial"/>
                <w:sz w:val="14"/>
                <w:szCs w:val="14"/>
                <w:color w:val="auto"/>
                <w:w w:val="96"/>
              </w:rPr>
              <w:t>2024</w:t>
            </w:r>
          </w:p>
        </w:tc>
        <w:tc>
          <w:tcPr>
            <w:tcW w:w="0" w:type="dxa"/>
            <w:vAlign w:val="bottom"/>
          </w:tcPr>
          <w:p>
            <w:pPr>
              <w:spacing w:after="0"/>
              <w:rPr>
                <w:sz w:val="1"/>
                <w:szCs w:val="1"/>
                <w:color w:val="auto"/>
              </w:rPr>
            </w:pPr>
          </w:p>
        </w:tc>
      </w:tr>
      <w:tr>
        <w:trPr>
          <w:trHeight w:val="23"/>
        </w:trPr>
        <w:tc>
          <w:tcPr>
            <w:tcW w:w="27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CenterPoint Energy</w:t>
            </w:r>
          </w:p>
        </w:tc>
        <w:tc>
          <w:tcPr>
            <w:tcW w:w="18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August 2019</w:t>
            </w:r>
          </w:p>
        </w:tc>
        <w:tc>
          <w:tcPr>
            <w:tcW w:w="2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Unsecured senior notes</w:t>
            </w:r>
          </w:p>
        </w:tc>
        <w:tc>
          <w:tcPr>
            <w:tcW w:w="28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400</w:t>
            </w:r>
          </w:p>
        </w:tc>
        <w:tc>
          <w:tcPr>
            <w:tcW w:w="10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2.95%</w:t>
            </w:r>
          </w:p>
        </w:tc>
        <w:tc>
          <w:tcPr>
            <w:tcW w:w="10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6"/>
              </w:rPr>
              <w:t>2030</w:t>
            </w:r>
          </w:p>
        </w:tc>
        <w:tc>
          <w:tcPr>
            <w:tcW w:w="0" w:type="dxa"/>
            <w:vAlign w:val="bottom"/>
          </w:tcPr>
          <w:p>
            <w:pPr>
              <w:spacing w:after="0"/>
              <w:rPr>
                <w:sz w:val="1"/>
                <w:szCs w:val="1"/>
                <w:color w:val="auto"/>
              </w:rPr>
            </w:pPr>
          </w:p>
        </w:tc>
      </w:tr>
      <w:tr>
        <w:trPr>
          <w:trHeight w:val="193"/>
        </w:trPr>
        <w:tc>
          <w:tcPr>
            <w:tcW w:w="2760" w:type="dxa"/>
            <w:vAlign w:val="bottom"/>
          </w:tcPr>
          <w:p>
            <w:pPr>
              <w:ind w:left="20"/>
              <w:spacing w:after="0"/>
              <w:rPr>
                <w:sz w:val="20"/>
                <w:szCs w:val="20"/>
                <w:color w:val="auto"/>
              </w:rPr>
            </w:pPr>
            <w:r>
              <w:rPr>
                <w:rFonts w:ascii="Arial" w:cs="Arial" w:eastAsia="Arial" w:hAnsi="Arial"/>
                <w:sz w:val="14"/>
                <w:szCs w:val="14"/>
                <w:color w:val="auto"/>
              </w:rPr>
              <w:t>CenterPoint Energy</w:t>
            </w:r>
          </w:p>
        </w:tc>
        <w:tc>
          <w:tcPr>
            <w:tcW w:w="1840" w:type="dxa"/>
            <w:vAlign w:val="bottom"/>
            <w:gridSpan w:val="2"/>
          </w:tcPr>
          <w:p>
            <w:pPr>
              <w:ind w:left="20"/>
              <w:spacing w:after="0"/>
              <w:rPr>
                <w:sz w:val="20"/>
                <w:szCs w:val="20"/>
                <w:color w:val="auto"/>
              </w:rPr>
            </w:pPr>
            <w:r>
              <w:rPr>
                <w:rFonts w:ascii="Arial" w:cs="Arial" w:eastAsia="Arial" w:hAnsi="Arial"/>
                <w:sz w:val="14"/>
                <w:szCs w:val="14"/>
                <w:color w:val="auto"/>
              </w:rPr>
              <w:t>August 2019</w:t>
            </w:r>
          </w:p>
        </w:tc>
        <w:tc>
          <w:tcPr>
            <w:tcW w:w="2740" w:type="dxa"/>
            <w:vAlign w:val="bottom"/>
            <w:gridSpan w:val="2"/>
          </w:tcPr>
          <w:p>
            <w:pPr>
              <w:ind w:left="20"/>
              <w:spacing w:after="0"/>
              <w:rPr>
                <w:sz w:val="20"/>
                <w:szCs w:val="20"/>
                <w:color w:val="auto"/>
              </w:rPr>
            </w:pPr>
            <w:r>
              <w:rPr>
                <w:rFonts w:ascii="Arial" w:cs="Arial" w:eastAsia="Arial" w:hAnsi="Arial"/>
                <w:sz w:val="14"/>
                <w:szCs w:val="14"/>
                <w:color w:val="auto"/>
              </w:rPr>
              <w:t>Unsecured senior notes</w:t>
            </w:r>
          </w:p>
        </w:tc>
        <w:tc>
          <w:tcPr>
            <w:tcW w:w="280" w:type="dxa"/>
            <w:vAlign w:val="bottom"/>
          </w:tcPr>
          <w:p>
            <w:pPr>
              <w:spacing w:after="0"/>
              <w:rPr>
                <w:sz w:val="16"/>
                <w:szCs w:val="16"/>
                <w:color w:val="auto"/>
              </w:rPr>
            </w:pPr>
          </w:p>
        </w:tc>
        <w:tc>
          <w:tcPr>
            <w:tcW w:w="1200" w:type="dxa"/>
            <w:vAlign w:val="bottom"/>
          </w:tcPr>
          <w:p>
            <w:pPr>
              <w:jc w:val="right"/>
              <w:ind w:right="50"/>
              <w:spacing w:after="0"/>
              <w:rPr>
                <w:sz w:val="20"/>
                <w:szCs w:val="20"/>
                <w:color w:val="auto"/>
              </w:rPr>
            </w:pPr>
            <w:r>
              <w:rPr>
                <w:rFonts w:ascii="Arial" w:cs="Arial" w:eastAsia="Arial" w:hAnsi="Arial"/>
                <w:sz w:val="14"/>
                <w:szCs w:val="14"/>
                <w:color w:val="auto"/>
              </w:rPr>
              <w:t>300</w:t>
            </w:r>
          </w:p>
        </w:tc>
        <w:tc>
          <w:tcPr>
            <w:tcW w:w="1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3.70%</w:t>
            </w:r>
          </w:p>
        </w:tc>
        <w:tc>
          <w:tcPr>
            <w:tcW w:w="100" w:type="dxa"/>
            <w:vAlign w:val="bottom"/>
          </w:tcPr>
          <w:p>
            <w:pPr>
              <w:spacing w:after="0"/>
              <w:rPr>
                <w:sz w:val="16"/>
                <w:szCs w:val="16"/>
                <w:color w:val="auto"/>
              </w:rPr>
            </w:pPr>
          </w:p>
        </w:tc>
        <w:tc>
          <w:tcPr>
            <w:tcW w:w="1140" w:type="dxa"/>
            <w:vAlign w:val="bottom"/>
          </w:tcPr>
          <w:p>
            <w:pPr>
              <w:jc w:val="center"/>
              <w:spacing w:after="0"/>
              <w:rPr>
                <w:sz w:val="20"/>
                <w:szCs w:val="20"/>
                <w:color w:val="auto"/>
              </w:rPr>
            </w:pPr>
            <w:r>
              <w:rPr>
                <w:rFonts w:ascii="Arial" w:cs="Arial" w:eastAsia="Arial" w:hAnsi="Arial"/>
                <w:sz w:val="14"/>
                <w:szCs w:val="14"/>
                <w:color w:val="auto"/>
                <w:w w:val="96"/>
              </w:rPr>
              <w:t>2049</w:t>
            </w:r>
          </w:p>
        </w:tc>
        <w:tc>
          <w:tcPr>
            <w:tcW w:w="0" w:type="dxa"/>
            <w:vAlign w:val="bottom"/>
          </w:tcPr>
          <w:p>
            <w:pPr>
              <w:spacing w:after="0"/>
              <w:rPr>
                <w:sz w:val="1"/>
                <w:szCs w:val="1"/>
                <w:color w:val="auto"/>
              </w:rPr>
            </w:pPr>
          </w:p>
        </w:tc>
      </w:tr>
    </w:tbl>
    <w:p>
      <w:pPr>
        <w:spacing w:after="0" w:line="357" w:lineRule="exact"/>
        <w:rPr>
          <w:sz w:val="20"/>
          <w:szCs w:val="20"/>
          <w:color w:val="auto"/>
        </w:rPr>
      </w:pPr>
    </w:p>
    <w:p>
      <w:pPr>
        <w:ind w:left="260"/>
        <w:spacing w:after="0"/>
        <w:rPr>
          <w:sz w:val="20"/>
          <w:szCs w:val="20"/>
          <w:color w:val="auto"/>
        </w:rPr>
      </w:pPr>
      <w:r>
        <w:rPr>
          <w:rFonts w:ascii="Arial" w:cs="Arial" w:eastAsia="Arial" w:hAnsi="Arial"/>
          <w:sz w:val="14"/>
          <w:szCs w:val="14"/>
          <w:color w:val="auto"/>
        </w:rPr>
        <w:t>(1)  Draw down by VCC on its variable rate term loan.</w:t>
      </w:r>
    </w:p>
    <w:p>
      <w:pPr>
        <w:spacing w:after="0" w:line="184" w:lineRule="exact"/>
        <w:rPr>
          <w:sz w:val="20"/>
          <w:szCs w:val="20"/>
          <w:color w:val="auto"/>
        </w:rPr>
      </w:pPr>
    </w:p>
    <w:p>
      <w:pPr>
        <w:jc w:val="both"/>
        <w:ind w:firstLine="259"/>
        <w:spacing w:after="0" w:line="328" w:lineRule="auto"/>
        <w:rPr>
          <w:sz w:val="20"/>
          <w:szCs w:val="20"/>
          <w:color w:val="auto"/>
        </w:rPr>
      </w:pPr>
      <w:r>
        <w:rPr>
          <w:rFonts w:ascii="Arial" w:cs="Arial" w:eastAsia="Arial" w:hAnsi="Arial"/>
          <w:sz w:val="13"/>
          <w:szCs w:val="13"/>
          <w:color w:val="auto"/>
        </w:rPr>
        <w:t>Proceeds from Houston Electric’s debt issuance were used for general limited liability company purposes, including capital expenditures. Proceeds from VCC’s draw down of its term loan were used for general corporate purposes. Proceeds from CenterPoint Energy’s debt issuances were used for general corporate purposes, including the repayment of commercial paper.</w:t>
      </w: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47</w:t>
      </w:r>
    </w:p>
    <w:p>
      <w:pPr>
        <w:sectPr>
          <w:pgSz w:w="11900" w:h="16838" w:orient="portrait"/>
          <w:cols w:equalWidth="0" w:num="1">
            <w:col w:w="11460"/>
          </w:cols>
          <w:pgMar w:left="220" w:top="129" w:right="219" w:bottom="1440" w:gutter="0" w:footer="0" w:header="0"/>
        </w:sectPr>
      </w:pPr>
    </w:p>
    <w:bookmarkStart w:id="57" w:name="page58"/>
    <w:bookmarkEnd w:id="57"/>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205" w:lineRule="exact"/>
        <w:rPr>
          <w:sz w:val="20"/>
          <w:szCs w:val="20"/>
          <w:color w:val="auto"/>
        </w:rPr>
      </w:pPr>
    </w:p>
    <w:p>
      <w:pPr>
        <w:ind w:left="260"/>
        <w:spacing w:after="0"/>
        <w:rPr>
          <w:sz w:val="20"/>
          <w:szCs w:val="20"/>
          <w:color w:val="auto"/>
        </w:rPr>
      </w:pPr>
      <w:r>
        <w:rPr>
          <w:rFonts w:ascii="Arial" w:cs="Arial" w:eastAsia="Arial" w:hAnsi="Arial"/>
          <w:sz w:val="14"/>
          <w:szCs w:val="14"/>
          <w:i w:val="1"/>
          <w:iCs w:val="1"/>
          <w:color w:val="auto"/>
        </w:rPr>
        <w:t xml:space="preserve">Acquired Debt (CenterPoint Energy). </w:t>
      </w:r>
      <w:r>
        <w:rPr>
          <w:rFonts w:ascii="Arial" w:cs="Arial" w:eastAsia="Arial" w:hAnsi="Arial"/>
          <w:sz w:val="14"/>
          <w:szCs w:val="14"/>
          <w:color w:val="auto"/>
        </w:rPr>
        <w:t>The table below summarizes the long-term external debt of Vectren and its subsidiaries that remained outstanding as of September 30, 2019:</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96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80" w:type="dxa"/>
            <w:vAlign w:val="bottom"/>
          </w:tcPr>
          <w:p>
            <w:pPr>
              <w:jc w:val="right"/>
              <w:ind w:right="550"/>
              <w:spacing w:after="0"/>
              <w:rPr>
                <w:sz w:val="20"/>
                <w:szCs w:val="20"/>
                <w:color w:val="auto"/>
              </w:rPr>
            </w:pPr>
            <w:r>
              <w:rPr>
                <w:rFonts w:ascii="Arial" w:cs="Arial" w:eastAsia="Arial" w:hAnsi="Arial"/>
                <w:sz w:val="11"/>
                <w:szCs w:val="11"/>
                <w:b w:val="1"/>
                <w:bCs w:val="1"/>
                <w:color w:val="auto"/>
              </w:rPr>
              <w:t>(in millions)</w:t>
            </w:r>
          </w:p>
        </w:tc>
      </w:tr>
      <w:tr>
        <w:trPr>
          <w:trHeight w:val="202"/>
        </w:trPr>
        <w:tc>
          <w:tcPr>
            <w:tcW w:w="9620" w:type="dxa"/>
            <w:vAlign w:val="bottom"/>
          </w:tcPr>
          <w:p>
            <w:pPr>
              <w:ind w:left="20"/>
              <w:spacing w:after="0"/>
              <w:rPr>
                <w:sz w:val="20"/>
                <w:szCs w:val="20"/>
                <w:color w:val="auto"/>
              </w:rPr>
            </w:pPr>
            <w:r>
              <w:rPr>
                <w:rFonts w:ascii="Arial" w:cs="Arial" w:eastAsia="Arial" w:hAnsi="Arial"/>
                <w:sz w:val="14"/>
                <w:szCs w:val="14"/>
                <w:color w:val="auto"/>
              </w:rPr>
              <w:t>Long-term debt:</w:t>
            </w:r>
          </w:p>
        </w:tc>
        <w:tc>
          <w:tcPr>
            <w:tcW w:w="3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3"/>
        </w:trPr>
        <w:tc>
          <w:tcPr>
            <w:tcW w:w="9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96"/>
        </w:trPr>
        <w:tc>
          <w:tcPr>
            <w:tcW w:w="96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 xml:space="preserve">Senior notes due 2020 to 2045 </w:t>
            </w:r>
            <w:r>
              <w:rPr>
                <w:rFonts w:ascii="Arial" w:cs="Arial" w:eastAsia="Arial" w:hAnsi="Arial"/>
                <w:sz w:val="11"/>
                <w:szCs w:val="11"/>
                <w:color w:val="auto"/>
              </w:rPr>
              <w:t>(1)</w:t>
            </w:r>
          </w:p>
        </w:tc>
        <w:tc>
          <w:tcPr>
            <w:tcW w:w="360" w:type="dxa"/>
            <w:vAlign w:val="bottom"/>
            <w:tcBorders>
              <w:bottom w:val="single" w:sz="8" w:color="CCEEFF"/>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637</w:t>
            </w:r>
          </w:p>
        </w:tc>
      </w:tr>
      <w:tr>
        <w:trPr>
          <w:trHeight w:val="193"/>
        </w:trPr>
        <w:tc>
          <w:tcPr>
            <w:tcW w:w="9620" w:type="dxa"/>
            <w:vAlign w:val="bottom"/>
          </w:tcPr>
          <w:p>
            <w:pPr>
              <w:ind w:left="140"/>
              <w:spacing w:after="0"/>
              <w:rPr>
                <w:sz w:val="20"/>
                <w:szCs w:val="20"/>
                <w:color w:val="auto"/>
              </w:rPr>
            </w:pPr>
            <w:r>
              <w:rPr>
                <w:rFonts w:ascii="Arial" w:cs="Arial" w:eastAsia="Arial" w:hAnsi="Arial"/>
                <w:sz w:val="14"/>
                <w:szCs w:val="14"/>
                <w:color w:val="auto"/>
              </w:rPr>
              <w:t xml:space="preserve">Variable rate term loan due 2020 </w:t>
            </w:r>
            <w:r>
              <w:rPr>
                <w:rFonts w:ascii="Arial" w:cs="Arial" w:eastAsia="Arial" w:hAnsi="Arial"/>
                <w:sz w:val="11"/>
                <w:szCs w:val="11"/>
                <w:color w:val="auto"/>
              </w:rPr>
              <w:t>(2)</w:t>
            </w:r>
          </w:p>
        </w:tc>
        <w:tc>
          <w:tcPr>
            <w:tcW w:w="360" w:type="dxa"/>
            <w:vAlign w:val="bottom"/>
          </w:tcPr>
          <w:p>
            <w:pPr>
              <w:spacing w:after="0"/>
              <w:rPr>
                <w:sz w:val="16"/>
                <w:szCs w:val="16"/>
                <w:color w:val="auto"/>
              </w:rPr>
            </w:pPr>
          </w:p>
        </w:tc>
        <w:tc>
          <w:tcPr>
            <w:tcW w:w="1480" w:type="dxa"/>
            <w:vAlign w:val="bottom"/>
          </w:tcPr>
          <w:p>
            <w:pPr>
              <w:jc w:val="right"/>
              <w:ind w:right="30"/>
              <w:spacing w:after="0"/>
              <w:rPr>
                <w:sz w:val="20"/>
                <w:szCs w:val="20"/>
                <w:color w:val="auto"/>
              </w:rPr>
            </w:pPr>
            <w:r>
              <w:rPr>
                <w:rFonts w:ascii="Arial" w:cs="Arial" w:eastAsia="Arial" w:hAnsi="Arial"/>
                <w:sz w:val="14"/>
                <w:szCs w:val="14"/>
                <w:color w:val="auto"/>
              </w:rPr>
              <w:t>300</w:t>
            </w:r>
          </w:p>
        </w:tc>
      </w:tr>
      <w:tr>
        <w:trPr>
          <w:trHeight w:val="23"/>
        </w:trPr>
        <w:tc>
          <w:tcPr>
            <w:tcW w:w="9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96"/>
        </w:trPr>
        <w:tc>
          <w:tcPr>
            <w:tcW w:w="96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 xml:space="preserve">Variable rate term loan due 2020 </w:t>
            </w:r>
            <w:r>
              <w:rPr>
                <w:rFonts w:ascii="Arial" w:cs="Arial" w:eastAsia="Arial" w:hAnsi="Arial"/>
                <w:sz w:val="11"/>
                <w:szCs w:val="11"/>
                <w:color w:val="auto"/>
              </w:rPr>
              <w:t>(3)</w:t>
            </w:r>
          </w:p>
        </w:tc>
        <w:tc>
          <w:tcPr>
            <w:tcW w:w="36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200</w:t>
            </w:r>
          </w:p>
        </w:tc>
      </w:tr>
      <w:tr>
        <w:trPr>
          <w:trHeight w:val="193"/>
        </w:trPr>
        <w:tc>
          <w:tcPr>
            <w:tcW w:w="9620" w:type="dxa"/>
            <w:vAlign w:val="bottom"/>
          </w:tcPr>
          <w:p>
            <w:pPr>
              <w:ind w:left="140"/>
              <w:spacing w:after="0"/>
              <w:rPr>
                <w:sz w:val="20"/>
                <w:szCs w:val="20"/>
                <w:color w:val="auto"/>
              </w:rPr>
            </w:pPr>
            <w:r>
              <w:rPr>
                <w:rFonts w:ascii="Arial" w:cs="Arial" w:eastAsia="Arial" w:hAnsi="Arial"/>
                <w:sz w:val="14"/>
                <w:szCs w:val="14"/>
                <w:color w:val="auto"/>
              </w:rPr>
              <w:t xml:space="preserve">First mortgage bonds due 2022 to 2055 </w:t>
            </w:r>
            <w:r>
              <w:rPr>
                <w:rFonts w:ascii="Arial" w:cs="Arial" w:eastAsia="Arial" w:hAnsi="Arial"/>
                <w:sz w:val="11"/>
                <w:szCs w:val="11"/>
                <w:color w:val="auto"/>
              </w:rPr>
              <w:t>(4)</w:t>
            </w:r>
          </w:p>
        </w:tc>
        <w:tc>
          <w:tcPr>
            <w:tcW w:w="360" w:type="dxa"/>
            <w:vAlign w:val="bottom"/>
          </w:tcPr>
          <w:p>
            <w:pPr>
              <w:spacing w:after="0"/>
              <w:rPr>
                <w:sz w:val="16"/>
                <w:szCs w:val="16"/>
                <w:color w:val="auto"/>
              </w:rPr>
            </w:pPr>
          </w:p>
        </w:tc>
        <w:tc>
          <w:tcPr>
            <w:tcW w:w="1480" w:type="dxa"/>
            <w:vAlign w:val="bottom"/>
          </w:tcPr>
          <w:p>
            <w:pPr>
              <w:jc w:val="right"/>
              <w:ind w:right="30"/>
              <w:spacing w:after="0"/>
              <w:rPr>
                <w:sz w:val="20"/>
                <w:szCs w:val="20"/>
                <w:color w:val="auto"/>
              </w:rPr>
            </w:pPr>
            <w:r>
              <w:rPr>
                <w:rFonts w:ascii="Arial" w:cs="Arial" w:eastAsia="Arial" w:hAnsi="Arial"/>
                <w:sz w:val="14"/>
                <w:szCs w:val="14"/>
                <w:color w:val="auto"/>
              </w:rPr>
              <w:t>293</w:t>
            </w:r>
          </w:p>
        </w:tc>
      </w:tr>
      <w:tr>
        <w:trPr>
          <w:trHeight w:val="23"/>
        </w:trPr>
        <w:tc>
          <w:tcPr>
            <w:tcW w:w="9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96"/>
        </w:trPr>
        <w:tc>
          <w:tcPr>
            <w:tcW w:w="96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 xml:space="preserve">Commercial paper </w:t>
            </w:r>
            <w:r>
              <w:rPr>
                <w:rFonts w:ascii="Arial" w:cs="Arial" w:eastAsia="Arial" w:hAnsi="Arial"/>
                <w:sz w:val="11"/>
                <w:szCs w:val="11"/>
                <w:color w:val="auto"/>
              </w:rPr>
              <w:t>(5)</w:t>
            </w:r>
          </w:p>
        </w:tc>
        <w:tc>
          <w:tcPr>
            <w:tcW w:w="36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278</w:t>
            </w:r>
          </w:p>
        </w:tc>
      </w:tr>
      <w:tr>
        <w:trPr>
          <w:trHeight w:val="193"/>
        </w:trPr>
        <w:tc>
          <w:tcPr>
            <w:tcW w:w="9620" w:type="dxa"/>
            <w:vAlign w:val="bottom"/>
          </w:tcPr>
          <w:p>
            <w:pPr>
              <w:ind w:left="140"/>
              <w:spacing w:after="0"/>
              <w:rPr>
                <w:sz w:val="20"/>
                <w:szCs w:val="20"/>
                <w:color w:val="auto"/>
              </w:rPr>
            </w:pPr>
            <w:r>
              <w:rPr>
                <w:rFonts w:ascii="Arial" w:cs="Arial" w:eastAsia="Arial" w:hAnsi="Arial"/>
                <w:sz w:val="14"/>
                <w:szCs w:val="14"/>
                <w:color w:val="auto"/>
              </w:rPr>
              <w:t xml:space="preserve">Bank revolver </w:t>
            </w:r>
            <w:r>
              <w:rPr>
                <w:rFonts w:ascii="Arial" w:cs="Arial" w:eastAsia="Arial" w:hAnsi="Arial"/>
                <w:sz w:val="11"/>
                <w:szCs w:val="11"/>
                <w:color w:val="auto"/>
              </w:rPr>
              <w:t>(6)</w:t>
            </w:r>
          </w:p>
        </w:tc>
        <w:tc>
          <w:tcPr>
            <w:tcW w:w="360" w:type="dxa"/>
            <w:vAlign w:val="bottom"/>
          </w:tcPr>
          <w:p>
            <w:pPr>
              <w:spacing w:after="0"/>
              <w:rPr>
                <w:sz w:val="16"/>
                <w:szCs w:val="16"/>
                <w:color w:val="auto"/>
              </w:rPr>
            </w:pPr>
          </w:p>
        </w:tc>
        <w:tc>
          <w:tcPr>
            <w:tcW w:w="1480" w:type="dxa"/>
            <w:vAlign w:val="bottom"/>
          </w:tcPr>
          <w:p>
            <w:pPr>
              <w:jc w:val="right"/>
              <w:ind w:right="30"/>
              <w:spacing w:after="0"/>
              <w:rPr>
                <w:sz w:val="20"/>
                <w:szCs w:val="20"/>
                <w:color w:val="auto"/>
              </w:rPr>
            </w:pPr>
            <w:r>
              <w:rPr>
                <w:rFonts w:ascii="Arial" w:cs="Arial" w:eastAsia="Arial" w:hAnsi="Arial"/>
                <w:sz w:val="14"/>
                <w:szCs w:val="14"/>
                <w:color w:val="auto"/>
              </w:rPr>
              <w:t>—</w:t>
            </w:r>
          </w:p>
        </w:tc>
      </w:tr>
      <w:tr>
        <w:trPr>
          <w:trHeight w:val="23"/>
        </w:trPr>
        <w:tc>
          <w:tcPr>
            <w:tcW w:w="96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200"/>
        </w:trPr>
        <w:tc>
          <w:tcPr>
            <w:tcW w:w="962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4"/>
                <w:szCs w:val="14"/>
                <w:color w:val="auto"/>
              </w:rPr>
              <w:t>Total Vectren debt</w:t>
            </w: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1,708</w:t>
            </w:r>
          </w:p>
        </w:tc>
      </w:tr>
      <w:tr>
        <w:trPr>
          <w:trHeight w:val="20"/>
        </w:trPr>
        <w:tc>
          <w:tcPr>
            <w:tcW w:w="96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162" w:lineRule="exact"/>
        <w:rPr>
          <w:sz w:val="20"/>
          <w:szCs w:val="20"/>
          <w:color w:val="auto"/>
        </w:rPr>
      </w:pPr>
    </w:p>
    <w:p>
      <w:pPr>
        <w:jc w:val="both"/>
        <w:ind w:left="520" w:hanging="255"/>
        <w:spacing w:after="0" w:line="263" w:lineRule="auto"/>
        <w:tabs>
          <w:tab w:leader="none" w:pos="520" w:val="left"/>
        </w:tabs>
        <w:numPr>
          <w:ilvl w:val="0"/>
          <w:numId w:val="37"/>
        </w:numPr>
        <w:rPr>
          <w:rFonts w:ascii="Arial" w:cs="Arial" w:eastAsia="Arial" w:hAnsi="Arial"/>
          <w:sz w:val="14"/>
          <w:szCs w:val="14"/>
          <w:color w:val="auto"/>
        </w:rPr>
      </w:pPr>
      <w:r>
        <w:rPr>
          <w:rFonts w:ascii="Arial" w:cs="Arial" w:eastAsia="Arial" w:hAnsi="Arial"/>
          <w:sz w:val="14"/>
          <w:szCs w:val="14"/>
          <w:color w:val="auto"/>
        </w:rPr>
        <w:t>Consists of $532 million of senior notes issued by VUHI, $96 million of senior notes issued by Indiana Gas, and $9 million of senior notes issued by VCC. The senior notes have stated interest rates that range from 3.33% to 7.08%. The senior notes issued by VUHI are guaranteed by SIGECO, Indiana Gas and VEDO. The senior notes issued by VCC are guaranteed by Vectren. In connection with the Merger, two of CenterPoint Energy’s acquired wholly-owned subsidiaries, VUHI and VCC, made offers to prepay certain outstanding guaranteed senior notes as required pursuant to certain note purchase agreements previously entered into by VUHI and VCC. In turn, VUHI and VCC borrowed $568 million and $191 million, respectively, from CenterPoint Energy to fund note redemptions effected pursuant to these prepayment offers. To fund these prepayments and payments of approximately $5 million of accrued interest, CenterPoint Energy issued approximately $764 million of commercial paper.</w:t>
      </w:r>
    </w:p>
    <w:p>
      <w:pPr>
        <w:spacing w:after="0" w:line="148" w:lineRule="exact"/>
        <w:rPr>
          <w:rFonts w:ascii="Arial" w:cs="Arial" w:eastAsia="Arial" w:hAnsi="Arial"/>
          <w:sz w:val="14"/>
          <w:szCs w:val="14"/>
          <w:color w:val="auto"/>
        </w:rPr>
      </w:pPr>
    </w:p>
    <w:p>
      <w:pPr>
        <w:ind w:left="520" w:hanging="255"/>
        <w:spacing w:after="0" w:line="288" w:lineRule="auto"/>
        <w:tabs>
          <w:tab w:leader="none" w:pos="520" w:val="left"/>
        </w:tabs>
        <w:numPr>
          <w:ilvl w:val="0"/>
          <w:numId w:val="37"/>
        </w:numPr>
        <w:rPr>
          <w:rFonts w:ascii="Arial" w:cs="Arial" w:eastAsia="Arial" w:hAnsi="Arial"/>
          <w:sz w:val="14"/>
          <w:szCs w:val="14"/>
          <w:color w:val="auto"/>
        </w:rPr>
      </w:pPr>
      <w:r>
        <w:rPr>
          <w:rFonts w:ascii="Arial" w:cs="Arial" w:eastAsia="Arial" w:hAnsi="Arial"/>
          <w:sz w:val="14"/>
          <w:szCs w:val="14"/>
          <w:color w:val="auto"/>
        </w:rPr>
        <w:t>Issued by VUHI and guaranteed by SIGECO, Indiana Gas and VEDO. As of September 30, 2019, the term loan was fully drawn upon. The term loan’s interest rate is currently priced at one-month LIBOR, plus a credit spread ranging from 70 to 90 basis points depending on credit rating.</w:t>
      </w:r>
    </w:p>
    <w:p>
      <w:pPr>
        <w:spacing w:after="0" w:line="130" w:lineRule="exact"/>
        <w:rPr>
          <w:rFonts w:ascii="Arial" w:cs="Arial" w:eastAsia="Arial" w:hAnsi="Arial"/>
          <w:sz w:val="14"/>
          <w:szCs w:val="14"/>
          <w:color w:val="auto"/>
        </w:rPr>
      </w:pPr>
    </w:p>
    <w:p>
      <w:pPr>
        <w:ind w:left="520" w:hanging="255"/>
        <w:spacing w:after="0" w:line="288" w:lineRule="auto"/>
        <w:tabs>
          <w:tab w:leader="none" w:pos="520" w:val="left"/>
        </w:tabs>
        <w:numPr>
          <w:ilvl w:val="0"/>
          <w:numId w:val="37"/>
        </w:numPr>
        <w:rPr>
          <w:rFonts w:ascii="Arial" w:cs="Arial" w:eastAsia="Arial" w:hAnsi="Arial"/>
          <w:sz w:val="14"/>
          <w:szCs w:val="14"/>
          <w:color w:val="auto"/>
        </w:rPr>
      </w:pPr>
      <w:r>
        <w:rPr>
          <w:rFonts w:ascii="Arial" w:cs="Arial" w:eastAsia="Arial" w:hAnsi="Arial"/>
          <w:sz w:val="14"/>
          <w:szCs w:val="14"/>
          <w:color w:val="auto"/>
        </w:rPr>
        <w:t>Issued by VCC and guaranteed by Vectren. As of September 30, 2019, the term loan was fully drawn upon, exclusive of any potential incremental term loans under the related facility’s accordion feature. The term loan’s interest rate is currently priced at one-month LIBOR, plus a credit spread of 70 basis points.</w:t>
      </w:r>
    </w:p>
    <w:p>
      <w:pPr>
        <w:spacing w:after="0" w:line="130" w:lineRule="exact"/>
        <w:rPr>
          <w:rFonts w:ascii="Arial" w:cs="Arial" w:eastAsia="Arial" w:hAnsi="Arial"/>
          <w:sz w:val="14"/>
          <w:szCs w:val="14"/>
          <w:color w:val="auto"/>
        </w:rPr>
      </w:pPr>
    </w:p>
    <w:p>
      <w:pPr>
        <w:ind w:left="520" w:hanging="255"/>
        <w:spacing w:after="0" w:line="288" w:lineRule="auto"/>
        <w:tabs>
          <w:tab w:leader="none" w:pos="520" w:val="left"/>
        </w:tabs>
        <w:numPr>
          <w:ilvl w:val="0"/>
          <w:numId w:val="37"/>
        </w:numPr>
        <w:rPr>
          <w:rFonts w:ascii="Arial" w:cs="Arial" w:eastAsia="Arial" w:hAnsi="Arial"/>
          <w:sz w:val="14"/>
          <w:szCs w:val="14"/>
          <w:color w:val="auto"/>
        </w:rPr>
      </w:pPr>
      <w:r>
        <w:rPr>
          <w:rFonts w:ascii="Arial" w:cs="Arial" w:eastAsia="Arial" w:hAnsi="Arial"/>
          <w:sz w:val="14"/>
          <w:szCs w:val="14"/>
          <w:color w:val="auto"/>
        </w:rPr>
        <w:t>The first mortgage bonds issued by SIGECO subject SIGECO’s properties to a lien under the related mortgage indenture. The first mortgage bonds have stated interest rates that range from 2.375% to 6.72%.</w:t>
      </w:r>
    </w:p>
    <w:p>
      <w:pPr>
        <w:spacing w:after="0" w:line="130" w:lineRule="exact"/>
        <w:rPr>
          <w:rFonts w:ascii="Arial" w:cs="Arial" w:eastAsia="Arial" w:hAnsi="Arial"/>
          <w:sz w:val="14"/>
          <w:szCs w:val="14"/>
          <w:color w:val="auto"/>
        </w:rPr>
      </w:pPr>
    </w:p>
    <w:p>
      <w:pPr>
        <w:ind w:left="520" w:hanging="255"/>
        <w:spacing w:after="0"/>
        <w:tabs>
          <w:tab w:leader="none" w:pos="520" w:val="left"/>
        </w:tabs>
        <w:numPr>
          <w:ilvl w:val="0"/>
          <w:numId w:val="37"/>
        </w:numPr>
        <w:rPr>
          <w:rFonts w:ascii="Arial" w:cs="Arial" w:eastAsia="Arial" w:hAnsi="Arial"/>
          <w:sz w:val="14"/>
          <w:szCs w:val="14"/>
          <w:color w:val="auto"/>
        </w:rPr>
      </w:pPr>
      <w:r>
        <w:rPr>
          <w:rFonts w:ascii="Arial" w:cs="Arial" w:eastAsia="Arial" w:hAnsi="Arial"/>
          <w:sz w:val="14"/>
          <w:szCs w:val="14"/>
          <w:color w:val="auto"/>
        </w:rPr>
        <w:t>Issued by VUHI with maturities up to 30 days.</w:t>
      </w:r>
    </w:p>
    <w:p>
      <w:pPr>
        <w:spacing w:after="0" w:line="183" w:lineRule="exact"/>
        <w:rPr>
          <w:rFonts w:ascii="Arial" w:cs="Arial" w:eastAsia="Arial" w:hAnsi="Arial"/>
          <w:sz w:val="14"/>
          <w:szCs w:val="14"/>
          <w:color w:val="auto"/>
        </w:rPr>
      </w:pPr>
    </w:p>
    <w:p>
      <w:pPr>
        <w:ind w:left="520" w:hanging="255"/>
        <w:spacing w:after="0"/>
        <w:tabs>
          <w:tab w:leader="none" w:pos="520" w:val="left"/>
        </w:tabs>
        <w:numPr>
          <w:ilvl w:val="0"/>
          <w:numId w:val="37"/>
        </w:numPr>
        <w:rPr>
          <w:rFonts w:ascii="Arial" w:cs="Arial" w:eastAsia="Arial" w:hAnsi="Arial"/>
          <w:sz w:val="14"/>
          <w:szCs w:val="14"/>
          <w:color w:val="auto"/>
        </w:rPr>
      </w:pPr>
      <w:r>
        <w:rPr>
          <w:rFonts w:ascii="Arial" w:cs="Arial" w:eastAsia="Arial" w:hAnsi="Arial"/>
          <w:sz w:val="14"/>
          <w:szCs w:val="14"/>
          <w:color w:val="auto"/>
        </w:rPr>
        <w:t>Represents borrowings under the VCC credit facility, which is guaranteed by Vectren.</w:t>
      </w:r>
    </w:p>
    <w:p>
      <w:pPr>
        <w:spacing w:after="0" w:line="184" w:lineRule="exact"/>
        <w:rPr>
          <w:sz w:val="20"/>
          <w:szCs w:val="20"/>
          <w:color w:val="auto"/>
        </w:rPr>
      </w:pPr>
    </w:p>
    <w:p>
      <w:pPr>
        <w:ind w:left="260"/>
        <w:spacing w:after="0"/>
        <w:rPr>
          <w:sz w:val="20"/>
          <w:szCs w:val="20"/>
          <w:color w:val="auto"/>
        </w:rPr>
      </w:pPr>
      <w:r>
        <w:rPr>
          <w:rFonts w:ascii="Arial" w:cs="Arial" w:eastAsia="Arial" w:hAnsi="Arial"/>
          <w:sz w:val="14"/>
          <w:szCs w:val="14"/>
          <w:i w:val="1"/>
          <w:iCs w:val="1"/>
          <w:color w:val="auto"/>
        </w:rPr>
        <w:t xml:space="preserve">Maturities (CenterPoint Energy). </w:t>
      </w:r>
      <w:r>
        <w:rPr>
          <w:rFonts w:ascii="Arial" w:cs="Arial" w:eastAsia="Arial" w:hAnsi="Arial"/>
          <w:sz w:val="14"/>
          <w:szCs w:val="14"/>
          <w:color w:val="auto"/>
        </w:rPr>
        <w:t>As of September 30, 2019, maturities of CenterPoint Energy’s long-term debt were as follows:</w:t>
      </w:r>
    </w:p>
    <w:p>
      <w:pPr>
        <w:spacing w:after="0" w:line="188" w:lineRule="exact"/>
        <w:rPr>
          <w:sz w:val="20"/>
          <w:szCs w:val="20"/>
          <w:color w:val="auto"/>
        </w:rPr>
      </w:pPr>
    </w:p>
    <w:tbl>
      <w:tblPr>
        <w:tblLayout w:type="fixed"/>
        <w:tblInd w:w="40" w:type="dxa"/>
        <w:tblCellMar>
          <w:top w:w="0" w:type="dxa"/>
          <w:left w:w="0" w:type="dxa"/>
          <w:bottom w:w="0" w:type="dxa"/>
          <w:right w:w="0" w:type="dxa"/>
        </w:tblCellMar>
      </w:tblPr>
      <w:tr>
        <w:trPr>
          <w:trHeight w:val="153"/>
        </w:trPr>
        <w:tc>
          <w:tcPr>
            <w:tcW w:w="3780" w:type="dxa"/>
            <w:vAlign w:val="bottom"/>
          </w:tcPr>
          <w:p>
            <w:pPr>
              <w:spacing w:after="0"/>
              <w:rPr>
                <w:sz w:val="13"/>
                <w:szCs w:val="13"/>
                <w:color w:val="auto"/>
              </w:rPr>
            </w:pPr>
          </w:p>
        </w:tc>
        <w:tc>
          <w:tcPr>
            <w:tcW w:w="6180" w:type="dxa"/>
            <w:vAlign w:val="bottom"/>
          </w:tcPr>
          <w:p>
            <w:pPr>
              <w:spacing w:after="0"/>
              <w:rPr>
                <w:sz w:val="13"/>
                <w:szCs w:val="13"/>
                <w:color w:val="auto"/>
              </w:rPr>
            </w:pPr>
          </w:p>
        </w:tc>
        <w:tc>
          <w:tcPr>
            <w:tcW w:w="1460" w:type="dxa"/>
            <w:vAlign w:val="bottom"/>
          </w:tcPr>
          <w:p>
            <w:pPr>
              <w:jc w:val="right"/>
              <w:ind w:right="550"/>
              <w:spacing w:after="0"/>
              <w:rPr>
                <w:sz w:val="20"/>
                <w:szCs w:val="20"/>
                <w:color w:val="auto"/>
              </w:rPr>
            </w:pPr>
            <w:r>
              <w:rPr>
                <w:rFonts w:ascii="Arial" w:cs="Arial" w:eastAsia="Arial" w:hAnsi="Arial"/>
                <w:sz w:val="11"/>
                <w:szCs w:val="11"/>
                <w:b w:val="1"/>
                <w:bCs w:val="1"/>
                <w:color w:val="auto"/>
              </w:rPr>
              <w:t>(in millions)</w:t>
            </w:r>
          </w:p>
        </w:tc>
      </w:tr>
      <w:tr>
        <w:trPr>
          <w:trHeight w:val="20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Remaining three months of 2019</w:t>
            </w:r>
          </w:p>
        </w:tc>
        <w:tc>
          <w:tcPr>
            <w:tcW w:w="6180" w:type="dxa"/>
            <w:vAlign w:val="bottom"/>
            <w:tcBorders>
              <w:bottom w:val="single" w:sz="8" w:color="CCEEFF"/>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69</w:t>
            </w:r>
          </w:p>
        </w:tc>
      </w:tr>
      <w:tr>
        <w:trPr>
          <w:trHeight w:val="193"/>
        </w:trPr>
        <w:tc>
          <w:tcPr>
            <w:tcW w:w="3780" w:type="dxa"/>
            <w:vAlign w:val="bottom"/>
          </w:tcPr>
          <w:p>
            <w:pPr>
              <w:ind w:left="40"/>
              <w:spacing w:after="0"/>
              <w:rPr>
                <w:sz w:val="20"/>
                <w:szCs w:val="20"/>
                <w:color w:val="auto"/>
              </w:rPr>
            </w:pPr>
            <w:r>
              <w:rPr>
                <w:rFonts w:ascii="Arial" w:cs="Arial" w:eastAsia="Arial" w:hAnsi="Arial"/>
                <w:sz w:val="14"/>
                <w:szCs w:val="14"/>
                <w:color w:val="auto"/>
              </w:rPr>
              <w:t>2020</w:t>
            </w:r>
          </w:p>
        </w:tc>
        <w:tc>
          <w:tcPr>
            <w:tcW w:w="6180" w:type="dxa"/>
            <w:vAlign w:val="bottom"/>
          </w:tcPr>
          <w:p>
            <w:pPr>
              <w:spacing w:after="0"/>
              <w:rPr>
                <w:sz w:val="16"/>
                <w:szCs w:val="16"/>
                <w:color w:val="auto"/>
              </w:rPr>
            </w:pPr>
          </w:p>
        </w:tc>
        <w:tc>
          <w:tcPr>
            <w:tcW w:w="1460" w:type="dxa"/>
            <w:vAlign w:val="bottom"/>
          </w:tcPr>
          <w:p>
            <w:pPr>
              <w:jc w:val="right"/>
              <w:ind w:right="30"/>
              <w:spacing w:after="0"/>
              <w:rPr>
                <w:sz w:val="20"/>
                <w:szCs w:val="20"/>
                <w:color w:val="auto"/>
              </w:rPr>
            </w:pPr>
            <w:r>
              <w:rPr>
                <w:rFonts w:ascii="Arial" w:cs="Arial" w:eastAsia="Arial" w:hAnsi="Arial"/>
                <w:sz w:val="14"/>
                <w:szCs w:val="14"/>
                <w:color w:val="auto"/>
              </w:rPr>
              <w:t>831</w:t>
            </w:r>
          </w:p>
        </w:tc>
      </w:tr>
      <w:tr>
        <w:trPr>
          <w:trHeight w:val="23"/>
        </w:trPr>
        <w:tc>
          <w:tcPr>
            <w:tcW w:w="378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196"/>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2021</w:t>
            </w:r>
          </w:p>
        </w:tc>
        <w:tc>
          <w:tcPr>
            <w:tcW w:w="618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2,761</w:t>
            </w:r>
          </w:p>
        </w:tc>
      </w:tr>
      <w:tr>
        <w:trPr>
          <w:trHeight w:val="193"/>
        </w:trPr>
        <w:tc>
          <w:tcPr>
            <w:tcW w:w="3780" w:type="dxa"/>
            <w:vAlign w:val="bottom"/>
          </w:tcPr>
          <w:p>
            <w:pPr>
              <w:ind w:left="40"/>
              <w:spacing w:after="0"/>
              <w:rPr>
                <w:sz w:val="20"/>
                <w:szCs w:val="20"/>
                <w:color w:val="auto"/>
              </w:rPr>
            </w:pPr>
            <w:r>
              <w:rPr>
                <w:rFonts w:ascii="Arial" w:cs="Arial" w:eastAsia="Arial" w:hAnsi="Arial"/>
                <w:sz w:val="14"/>
                <w:szCs w:val="14"/>
                <w:color w:val="auto"/>
              </w:rPr>
              <w:t>2022</w:t>
            </w:r>
          </w:p>
        </w:tc>
        <w:tc>
          <w:tcPr>
            <w:tcW w:w="6180" w:type="dxa"/>
            <w:vAlign w:val="bottom"/>
          </w:tcPr>
          <w:p>
            <w:pPr>
              <w:spacing w:after="0"/>
              <w:rPr>
                <w:sz w:val="16"/>
                <w:szCs w:val="16"/>
                <w:color w:val="auto"/>
              </w:rPr>
            </w:pPr>
          </w:p>
        </w:tc>
        <w:tc>
          <w:tcPr>
            <w:tcW w:w="1460" w:type="dxa"/>
            <w:vAlign w:val="bottom"/>
          </w:tcPr>
          <w:p>
            <w:pPr>
              <w:jc w:val="right"/>
              <w:ind w:right="30"/>
              <w:spacing w:after="0"/>
              <w:rPr>
                <w:sz w:val="20"/>
                <w:szCs w:val="20"/>
                <w:color w:val="auto"/>
              </w:rPr>
            </w:pPr>
            <w:r>
              <w:rPr>
                <w:rFonts w:ascii="Arial" w:cs="Arial" w:eastAsia="Arial" w:hAnsi="Arial"/>
                <w:sz w:val="14"/>
                <w:szCs w:val="14"/>
                <w:color w:val="auto"/>
              </w:rPr>
              <w:t>2,998</w:t>
            </w:r>
          </w:p>
        </w:tc>
      </w:tr>
      <w:tr>
        <w:trPr>
          <w:trHeight w:val="23"/>
        </w:trPr>
        <w:tc>
          <w:tcPr>
            <w:tcW w:w="378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196"/>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2023</w:t>
            </w:r>
          </w:p>
        </w:tc>
        <w:tc>
          <w:tcPr>
            <w:tcW w:w="618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713</w:t>
            </w:r>
          </w:p>
        </w:tc>
      </w:tr>
      <w:tr>
        <w:trPr>
          <w:trHeight w:val="193"/>
        </w:trPr>
        <w:tc>
          <w:tcPr>
            <w:tcW w:w="3780" w:type="dxa"/>
            <w:vAlign w:val="bottom"/>
          </w:tcPr>
          <w:p>
            <w:pPr>
              <w:ind w:left="40"/>
              <w:spacing w:after="0"/>
              <w:rPr>
                <w:sz w:val="20"/>
                <w:szCs w:val="20"/>
                <w:color w:val="auto"/>
              </w:rPr>
            </w:pPr>
            <w:r>
              <w:rPr>
                <w:rFonts w:ascii="Arial" w:cs="Arial" w:eastAsia="Arial" w:hAnsi="Arial"/>
                <w:sz w:val="14"/>
                <w:szCs w:val="14"/>
                <w:color w:val="auto"/>
              </w:rPr>
              <w:t>2024</w:t>
            </w:r>
          </w:p>
        </w:tc>
        <w:tc>
          <w:tcPr>
            <w:tcW w:w="6180" w:type="dxa"/>
            <w:vAlign w:val="bottom"/>
          </w:tcPr>
          <w:p>
            <w:pPr>
              <w:spacing w:after="0"/>
              <w:rPr>
                <w:sz w:val="16"/>
                <w:szCs w:val="16"/>
                <w:color w:val="auto"/>
              </w:rPr>
            </w:pPr>
          </w:p>
        </w:tc>
        <w:tc>
          <w:tcPr>
            <w:tcW w:w="1460" w:type="dxa"/>
            <w:vAlign w:val="bottom"/>
          </w:tcPr>
          <w:p>
            <w:pPr>
              <w:jc w:val="right"/>
              <w:ind w:right="30"/>
              <w:spacing w:after="0"/>
              <w:rPr>
                <w:sz w:val="20"/>
                <w:szCs w:val="20"/>
                <w:color w:val="auto"/>
              </w:rPr>
            </w:pPr>
            <w:r>
              <w:rPr>
                <w:rFonts w:ascii="Arial" w:cs="Arial" w:eastAsia="Arial" w:hAnsi="Arial"/>
                <w:sz w:val="14"/>
                <w:szCs w:val="14"/>
                <w:color w:val="auto"/>
              </w:rPr>
              <w:t>1,184</w:t>
            </w:r>
          </w:p>
        </w:tc>
      </w:tr>
      <w:tr>
        <w:trPr>
          <w:trHeight w:val="23"/>
        </w:trPr>
        <w:tc>
          <w:tcPr>
            <w:tcW w:w="378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196"/>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2025 and thereafter</w:t>
            </w:r>
          </w:p>
        </w:tc>
        <w:tc>
          <w:tcPr>
            <w:tcW w:w="618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6,447</w:t>
            </w:r>
          </w:p>
        </w:tc>
      </w:tr>
      <w:tr>
        <w:trPr>
          <w:trHeight w:val="710"/>
        </w:trPr>
        <w:tc>
          <w:tcPr>
            <w:tcW w:w="3780" w:type="dxa"/>
            <w:vAlign w:val="bottom"/>
          </w:tcPr>
          <w:p>
            <w:pPr>
              <w:spacing w:after="0"/>
              <w:rPr>
                <w:sz w:val="24"/>
                <w:szCs w:val="24"/>
                <w:color w:val="auto"/>
              </w:rPr>
            </w:pPr>
          </w:p>
        </w:tc>
        <w:tc>
          <w:tcPr>
            <w:tcW w:w="6180" w:type="dxa"/>
            <w:vAlign w:val="bottom"/>
          </w:tcPr>
          <w:p>
            <w:pPr>
              <w:jc w:val="right"/>
              <w:ind w:right="4128"/>
              <w:spacing w:after="0"/>
              <w:rPr>
                <w:sz w:val="20"/>
                <w:szCs w:val="20"/>
                <w:color w:val="auto"/>
              </w:rPr>
            </w:pPr>
            <w:r>
              <w:rPr>
                <w:rFonts w:ascii="Arial" w:cs="Arial" w:eastAsia="Arial" w:hAnsi="Arial"/>
                <w:sz w:val="14"/>
                <w:szCs w:val="14"/>
                <w:color w:val="auto"/>
              </w:rPr>
              <w:t>48</w:t>
            </w:r>
          </w:p>
        </w:tc>
        <w:tc>
          <w:tcPr>
            <w:tcW w:w="1460" w:type="dxa"/>
            <w:vAlign w:val="bottom"/>
          </w:tcPr>
          <w:p>
            <w:pPr>
              <w:spacing w:after="0"/>
              <w:rPr>
                <w:sz w:val="24"/>
                <w:szCs w:val="24"/>
                <w:color w:val="auto"/>
              </w:rPr>
            </w:pPr>
          </w:p>
        </w:tc>
      </w:tr>
    </w:tbl>
    <w:p>
      <w:pPr>
        <w:sectPr>
          <w:pgSz w:w="11900" w:h="16838" w:orient="portrait"/>
          <w:cols w:equalWidth="0" w:num="1">
            <w:col w:w="11460"/>
          </w:cols>
          <w:pgMar w:left="220" w:top="129" w:right="219" w:bottom="1440" w:gutter="0" w:footer="0" w:header="0"/>
        </w:sectPr>
      </w:pPr>
    </w:p>
    <w:bookmarkStart w:id="58" w:name="page59"/>
    <w:bookmarkEnd w:id="58"/>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205" w:lineRule="exact"/>
        <w:rPr>
          <w:sz w:val="20"/>
          <w:szCs w:val="20"/>
          <w:color w:val="auto"/>
        </w:rPr>
      </w:pPr>
    </w:p>
    <w:p>
      <w:pPr>
        <w:ind w:left="260"/>
        <w:spacing w:after="0"/>
        <w:rPr>
          <w:sz w:val="20"/>
          <w:szCs w:val="20"/>
          <w:color w:val="auto"/>
        </w:rPr>
      </w:pPr>
      <w:r>
        <w:rPr>
          <w:rFonts w:ascii="Arial" w:cs="Arial" w:eastAsia="Arial" w:hAnsi="Arial"/>
          <w:sz w:val="14"/>
          <w:szCs w:val="14"/>
          <w:i w:val="1"/>
          <w:iCs w:val="1"/>
          <w:color w:val="auto"/>
        </w:rPr>
        <w:t>Credit Facilities</w:t>
      </w:r>
      <w:r>
        <w:rPr>
          <w:rFonts w:ascii="Arial" w:cs="Arial" w:eastAsia="Arial" w:hAnsi="Arial"/>
          <w:sz w:val="14"/>
          <w:szCs w:val="14"/>
          <w:color w:val="auto"/>
        </w:rPr>
        <w:t>. The Registrants had the following revolving credit facilities as of September 30, 2019:</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jc w:val="center"/>
              <w:spacing w:after="0"/>
              <w:rPr>
                <w:sz w:val="20"/>
                <w:szCs w:val="20"/>
                <w:color w:val="auto"/>
              </w:rPr>
            </w:pPr>
            <w:r>
              <w:rPr>
                <w:rFonts w:ascii="Arial" w:cs="Arial" w:eastAsia="Arial" w:hAnsi="Arial"/>
                <w:sz w:val="11"/>
                <w:szCs w:val="11"/>
                <w:b w:val="1"/>
                <w:bCs w:val="1"/>
                <w:color w:val="auto"/>
                <w:w w:val="95"/>
              </w:rPr>
              <w:t>Financial Covenant</w:t>
            </w:r>
          </w:p>
        </w:tc>
        <w:tc>
          <w:tcPr>
            <w:tcW w:w="340" w:type="dxa"/>
            <w:vAlign w:val="bottom"/>
          </w:tcPr>
          <w:p>
            <w:pPr>
              <w:spacing w:after="0"/>
              <w:rPr>
                <w:sz w:val="10"/>
                <w:szCs w:val="10"/>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7"/>
              </w:rPr>
              <w:t>Debt for Borrowed</w:t>
            </w:r>
          </w:p>
        </w:tc>
        <w:tc>
          <w:tcPr>
            <w:tcW w:w="1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1740" w:type="dxa"/>
            <w:vAlign w:val="bottom"/>
            <w:gridSpan w:val="2"/>
            <w:vMerge w:val="restart"/>
          </w:tcPr>
          <w:p>
            <w:pPr>
              <w:jc w:val="center"/>
              <w:ind w:right="120"/>
              <w:spacing w:after="0"/>
              <w:rPr>
                <w:sz w:val="20"/>
                <w:szCs w:val="20"/>
                <w:color w:val="auto"/>
              </w:rPr>
            </w:pPr>
            <w:r>
              <w:rPr>
                <w:rFonts w:ascii="Arial" w:cs="Arial" w:eastAsia="Arial" w:hAnsi="Arial"/>
                <w:sz w:val="11"/>
                <w:szCs w:val="11"/>
                <w:b w:val="1"/>
                <w:bCs w:val="1"/>
                <w:color w:val="auto"/>
                <w:w w:val="95"/>
              </w:rPr>
              <w:t>Execution</w:t>
            </w:r>
          </w:p>
        </w:tc>
        <w:tc>
          <w:tcPr>
            <w:tcW w:w="2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20" w:type="dxa"/>
            <w:vAlign w:val="bottom"/>
            <w:vMerge w:val="restart"/>
          </w:tcPr>
          <w:p>
            <w:pPr>
              <w:jc w:val="center"/>
              <w:ind w:right="203"/>
              <w:spacing w:after="0"/>
              <w:rPr>
                <w:sz w:val="20"/>
                <w:szCs w:val="20"/>
                <w:color w:val="auto"/>
              </w:rPr>
            </w:pPr>
            <w:r>
              <w:rPr>
                <w:rFonts w:ascii="Arial" w:cs="Arial" w:eastAsia="Arial" w:hAnsi="Arial"/>
                <w:sz w:val="11"/>
                <w:szCs w:val="11"/>
                <w:b w:val="1"/>
                <w:bCs w:val="1"/>
                <w:color w:val="auto"/>
                <w:w w:val="90"/>
              </w:rPr>
              <w:t>Size of</w:t>
            </w:r>
          </w:p>
        </w:tc>
        <w:tc>
          <w:tcPr>
            <w:tcW w:w="120" w:type="dxa"/>
            <w:vAlign w:val="bottom"/>
          </w:tcPr>
          <w:p>
            <w:pPr>
              <w:spacing w:after="0"/>
              <w:rPr>
                <w:sz w:val="10"/>
                <w:szCs w:val="10"/>
                <w:color w:val="auto"/>
              </w:rPr>
            </w:pPr>
          </w:p>
        </w:tc>
        <w:tc>
          <w:tcPr>
            <w:tcW w:w="1160" w:type="dxa"/>
            <w:vAlign w:val="bottom"/>
            <w:gridSpan w:val="2"/>
            <w:vMerge w:val="restart"/>
          </w:tcPr>
          <w:p>
            <w:pPr>
              <w:jc w:val="center"/>
              <w:ind w:right="100"/>
              <w:spacing w:after="0"/>
              <w:rPr>
                <w:sz w:val="20"/>
                <w:szCs w:val="20"/>
                <w:color w:val="auto"/>
              </w:rPr>
            </w:pPr>
            <w:r>
              <w:rPr>
                <w:rFonts w:ascii="Arial" w:cs="Arial" w:eastAsia="Arial" w:hAnsi="Arial"/>
                <w:sz w:val="11"/>
                <w:szCs w:val="11"/>
                <w:b w:val="1"/>
                <w:bCs w:val="1"/>
                <w:color w:val="auto"/>
                <w:w w:val="98"/>
              </w:rPr>
              <w:t>Draw Rate of</w:t>
            </w:r>
          </w:p>
        </w:tc>
        <w:tc>
          <w:tcPr>
            <w:tcW w:w="102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w w:val="97"/>
              </w:rPr>
              <w:t>Limit on Debt for</w:t>
            </w:r>
          </w:p>
        </w:tc>
        <w:tc>
          <w:tcPr>
            <w:tcW w:w="340" w:type="dxa"/>
            <w:vAlign w:val="bottom"/>
          </w:tcPr>
          <w:p>
            <w:pPr>
              <w:spacing w:after="0"/>
              <w:rPr>
                <w:sz w:val="10"/>
                <w:szCs w:val="10"/>
                <w:color w:val="auto"/>
              </w:rPr>
            </w:pPr>
          </w:p>
        </w:tc>
        <w:tc>
          <w:tcPr>
            <w:tcW w:w="1240" w:type="dxa"/>
            <w:vAlign w:val="bottom"/>
            <w:gridSpan w:val="2"/>
          </w:tcPr>
          <w:p>
            <w:pPr>
              <w:jc w:val="center"/>
              <w:ind w:right="100"/>
              <w:spacing w:after="0" w:line="119" w:lineRule="exact"/>
              <w:rPr>
                <w:sz w:val="20"/>
                <w:szCs w:val="20"/>
                <w:color w:val="auto"/>
              </w:rPr>
            </w:pPr>
            <w:r>
              <w:rPr>
                <w:rFonts w:ascii="Arial" w:cs="Arial" w:eastAsia="Arial" w:hAnsi="Arial"/>
                <w:sz w:val="11"/>
                <w:szCs w:val="11"/>
                <w:b w:val="1"/>
                <w:bCs w:val="1"/>
                <w:color w:val="auto"/>
                <w:w w:val="97"/>
              </w:rPr>
              <w:t>Money to Capital</w:t>
            </w:r>
          </w:p>
        </w:tc>
        <w:tc>
          <w:tcPr>
            <w:tcW w:w="1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1740" w:type="dxa"/>
            <w:vAlign w:val="bottom"/>
            <w:gridSpan w:val="2"/>
            <w:vMerge w:val="continue"/>
          </w:tcPr>
          <w:p>
            <w:pPr>
              <w:spacing w:after="0"/>
              <w:rPr>
                <w:sz w:val="10"/>
                <w:szCs w:val="10"/>
                <w:color w:val="auto"/>
              </w:rPr>
            </w:pPr>
          </w:p>
        </w:tc>
        <w:tc>
          <w:tcPr>
            <w:tcW w:w="2740" w:type="dxa"/>
            <w:vAlign w:val="bottom"/>
            <w:gridSpan w:val="2"/>
            <w:vMerge w:val="restart"/>
          </w:tcPr>
          <w:p>
            <w:pPr>
              <w:ind w:left="1060"/>
              <w:spacing w:after="0"/>
              <w:rPr>
                <w:sz w:val="20"/>
                <w:szCs w:val="20"/>
                <w:color w:val="auto"/>
              </w:rPr>
            </w:pPr>
            <w:r>
              <w:rPr>
                <w:rFonts w:ascii="Arial" w:cs="Arial" w:eastAsia="Arial" w:hAnsi="Arial"/>
                <w:sz w:val="11"/>
                <w:szCs w:val="11"/>
                <w:b w:val="1"/>
                <w:bCs w:val="1"/>
                <w:color w:val="auto"/>
              </w:rPr>
              <w:t>Registrant</w:t>
            </w:r>
          </w:p>
        </w:tc>
        <w:tc>
          <w:tcPr>
            <w:tcW w:w="280" w:type="dxa"/>
            <w:vAlign w:val="bottom"/>
          </w:tcPr>
          <w:p>
            <w:pPr>
              <w:spacing w:after="0"/>
              <w:rPr>
                <w:sz w:val="10"/>
                <w:szCs w:val="10"/>
                <w:color w:val="auto"/>
              </w:rPr>
            </w:pPr>
          </w:p>
        </w:tc>
        <w:tc>
          <w:tcPr>
            <w:tcW w:w="122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102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w w:val="95"/>
              </w:rPr>
              <w:t>Borrowed Money to</w:t>
            </w:r>
          </w:p>
        </w:tc>
        <w:tc>
          <w:tcPr>
            <w:tcW w:w="340" w:type="dxa"/>
            <w:vAlign w:val="bottom"/>
          </w:tcPr>
          <w:p>
            <w:pPr>
              <w:spacing w:after="0"/>
              <w:rPr>
                <w:sz w:val="10"/>
                <w:szCs w:val="10"/>
                <w:color w:val="auto"/>
              </w:rPr>
            </w:pPr>
          </w:p>
        </w:tc>
        <w:tc>
          <w:tcPr>
            <w:tcW w:w="1240" w:type="dxa"/>
            <w:vAlign w:val="bottom"/>
            <w:gridSpan w:val="2"/>
          </w:tcPr>
          <w:p>
            <w:pPr>
              <w:jc w:val="center"/>
              <w:ind w:right="120"/>
              <w:spacing w:after="0" w:line="119" w:lineRule="exact"/>
              <w:rPr>
                <w:sz w:val="20"/>
                <w:szCs w:val="20"/>
                <w:color w:val="auto"/>
              </w:rPr>
            </w:pPr>
            <w:r>
              <w:rPr>
                <w:rFonts w:ascii="Arial" w:cs="Arial" w:eastAsia="Arial" w:hAnsi="Arial"/>
                <w:sz w:val="11"/>
                <w:szCs w:val="11"/>
                <w:b w:val="1"/>
                <w:bCs w:val="1"/>
                <w:color w:val="auto"/>
                <w:w w:val="92"/>
              </w:rPr>
              <w:t>Ratio as of</w:t>
            </w:r>
          </w:p>
        </w:tc>
        <w:tc>
          <w:tcPr>
            <w:tcW w:w="160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5"/>
              </w:rPr>
              <w:t>Termination Date</w:t>
            </w:r>
          </w:p>
        </w:tc>
        <w:tc>
          <w:tcPr>
            <w:tcW w:w="0" w:type="dxa"/>
            <w:vAlign w:val="bottom"/>
          </w:tcPr>
          <w:p>
            <w:pPr>
              <w:spacing w:after="0"/>
              <w:rPr>
                <w:sz w:val="1"/>
                <w:szCs w:val="1"/>
                <w:color w:val="auto"/>
              </w:rPr>
            </w:pPr>
          </w:p>
        </w:tc>
      </w:tr>
      <w:tr>
        <w:trPr>
          <w:trHeight w:val="153"/>
        </w:trPr>
        <w:tc>
          <w:tcPr>
            <w:tcW w:w="174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rPr>
              <w:t>Date</w:t>
            </w:r>
          </w:p>
        </w:tc>
        <w:tc>
          <w:tcPr>
            <w:tcW w:w="274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220" w:type="dxa"/>
            <w:vAlign w:val="bottom"/>
          </w:tcPr>
          <w:p>
            <w:pPr>
              <w:jc w:val="center"/>
              <w:ind w:right="203"/>
              <w:spacing w:after="0"/>
              <w:rPr>
                <w:sz w:val="20"/>
                <w:szCs w:val="20"/>
                <w:color w:val="auto"/>
              </w:rPr>
            </w:pPr>
            <w:r>
              <w:rPr>
                <w:rFonts w:ascii="Arial" w:cs="Arial" w:eastAsia="Arial" w:hAnsi="Arial"/>
                <w:sz w:val="11"/>
                <w:szCs w:val="11"/>
                <w:b w:val="1"/>
                <w:bCs w:val="1"/>
                <w:color w:val="auto"/>
                <w:w w:val="94"/>
              </w:rPr>
              <w:t>Facility</w:t>
            </w:r>
          </w:p>
        </w:tc>
        <w:tc>
          <w:tcPr>
            <w:tcW w:w="120" w:type="dxa"/>
            <w:vAlign w:val="bottom"/>
          </w:tcPr>
          <w:p>
            <w:pPr>
              <w:spacing w:after="0"/>
              <w:rPr>
                <w:sz w:val="13"/>
                <w:szCs w:val="13"/>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8"/>
              </w:rPr>
              <w:t xml:space="preserve">LIBOR plus </w:t>
            </w:r>
            <w:r>
              <w:rPr>
                <w:rFonts w:ascii="Arial" w:cs="Arial" w:eastAsia="Arial" w:hAnsi="Arial"/>
                <w:sz w:val="8"/>
                <w:szCs w:val="8"/>
                <w:b w:val="1"/>
                <w:bCs w:val="1"/>
                <w:color w:val="auto"/>
                <w:w w:val="98"/>
              </w:rPr>
              <w:t>(1)</w:t>
            </w:r>
          </w:p>
        </w:tc>
        <w:tc>
          <w:tcPr>
            <w:tcW w:w="1020" w:type="dxa"/>
            <w:vAlign w:val="bottom"/>
          </w:tcPr>
          <w:p>
            <w:pPr>
              <w:jc w:val="center"/>
              <w:spacing w:after="0"/>
              <w:rPr>
                <w:sz w:val="20"/>
                <w:szCs w:val="20"/>
                <w:color w:val="auto"/>
              </w:rPr>
            </w:pPr>
            <w:r>
              <w:rPr>
                <w:rFonts w:ascii="Arial" w:cs="Arial" w:eastAsia="Arial" w:hAnsi="Arial"/>
                <w:sz w:val="11"/>
                <w:szCs w:val="11"/>
                <w:b w:val="1"/>
                <w:bCs w:val="1"/>
                <w:color w:val="auto"/>
                <w:w w:val="98"/>
              </w:rPr>
              <w:t>Capital Ratio</w:t>
            </w:r>
          </w:p>
        </w:tc>
        <w:tc>
          <w:tcPr>
            <w:tcW w:w="340" w:type="dxa"/>
            <w:vAlign w:val="bottom"/>
          </w:tcPr>
          <w:p>
            <w:pPr>
              <w:spacing w:after="0"/>
              <w:rPr>
                <w:sz w:val="13"/>
                <w:szCs w:val="13"/>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5"/>
              </w:rPr>
              <w:t xml:space="preserve">September 30, 2019 </w:t>
            </w:r>
            <w:r>
              <w:rPr>
                <w:rFonts w:ascii="Arial" w:cs="Arial" w:eastAsia="Arial" w:hAnsi="Arial"/>
                <w:sz w:val="8"/>
                <w:szCs w:val="8"/>
                <w:b w:val="1"/>
                <w:bCs w:val="1"/>
                <w:color w:val="auto"/>
                <w:w w:val="95"/>
              </w:rPr>
              <w:t>(2)</w:t>
            </w:r>
          </w:p>
        </w:tc>
        <w:tc>
          <w:tcPr>
            <w:tcW w:w="16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16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6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center"/>
              <w:ind w:right="203"/>
              <w:spacing w:after="0"/>
              <w:rPr>
                <w:sz w:val="20"/>
                <w:szCs w:val="20"/>
                <w:color w:val="auto"/>
              </w:rPr>
            </w:pPr>
            <w:r>
              <w:rPr>
                <w:rFonts w:ascii="Arial" w:cs="Arial" w:eastAsia="Arial" w:hAnsi="Arial"/>
                <w:sz w:val="11"/>
                <w:szCs w:val="11"/>
                <w:b w:val="1"/>
                <w:bCs w:val="1"/>
                <w:color w:val="auto"/>
                <w:w w:val="97"/>
              </w:rPr>
              <w:t>(in millions)</w:t>
            </w:r>
          </w:p>
        </w:tc>
        <w:tc>
          <w:tcPr>
            <w:tcW w:w="120" w:type="dxa"/>
            <w:vAlign w:val="bottom"/>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1740" w:type="dxa"/>
            <w:vAlign w:val="bottom"/>
            <w:gridSpan w:val="2"/>
            <w:shd w:val="clear" w:color="auto" w:fill="CCEEFF"/>
          </w:tcPr>
          <w:p>
            <w:pPr>
              <w:jc w:val="center"/>
              <w:ind w:right="120"/>
              <w:spacing w:after="0"/>
              <w:rPr>
                <w:sz w:val="20"/>
                <w:szCs w:val="20"/>
                <w:color w:val="auto"/>
              </w:rPr>
            </w:pPr>
            <w:r>
              <w:rPr>
                <w:rFonts w:ascii="Arial" w:cs="Arial" w:eastAsia="Arial" w:hAnsi="Arial"/>
                <w:sz w:val="11"/>
                <w:szCs w:val="11"/>
                <w:color w:val="auto"/>
                <w:w w:val="93"/>
              </w:rPr>
              <w:t>March 3, 2016</w:t>
            </w:r>
          </w:p>
        </w:tc>
        <w:tc>
          <w:tcPr>
            <w:tcW w:w="274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CenterPoint Energy</w:t>
            </w:r>
          </w:p>
        </w:tc>
        <w:tc>
          <w:tcPr>
            <w:tcW w:w="280" w:type="dxa"/>
            <w:vAlign w:val="bottom"/>
            <w:shd w:val="clear" w:color="auto" w:fill="CCEEFF"/>
          </w:tcPr>
          <w:p>
            <w:pPr>
              <w:jc w:val="right"/>
              <w:ind w:right="143"/>
              <w:spacing w:after="0"/>
              <w:rPr>
                <w:sz w:val="20"/>
                <w:szCs w:val="20"/>
                <w:color w:val="auto"/>
              </w:rPr>
            </w:pPr>
            <w:r>
              <w:rPr>
                <w:rFonts w:ascii="Arial" w:cs="Arial" w:eastAsia="Arial" w:hAnsi="Arial"/>
                <w:sz w:val="11"/>
                <w:szCs w:val="11"/>
                <w:color w:val="auto"/>
                <w:w w:val="97"/>
              </w:rPr>
              <w:t>$</w:t>
            </w:r>
          </w:p>
        </w:tc>
        <w:tc>
          <w:tcPr>
            <w:tcW w:w="122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3,300</w:t>
            </w:r>
          </w:p>
        </w:tc>
        <w:tc>
          <w:tcPr>
            <w:tcW w:w="1160" w:type="dxa"/>
            <w:vAlign w:val="bottom"/>
            <w:gridSpan w:val="2"/>
            <w:shd w:val="clear" w:color="auto" w:fill="CCEEFF"/>
          </w:tcPr>
          <w:p>
            <w:pPr>
              <w:jc w:val="center"/>
              <w:ind w:left="63"/>
              <w:spacing w:after="0"/>
              <w:rPr>
                <w:sz w:val="20"/>
                <w:szCs w:val="20"/>
                <w:color w:val="auto"/>
              </w:rPr>
            </w:pPr>
            <w:r>
              <w:rPr>
                <w:rFonts w:ascii="Arial" w:cs="Arial" w:eastAsia="Arial" w:hAnsi="Arial"/>
                <w:sz w:val="11"/>
                <w:szCs w:val="11"/>
                <w:color w:val="auto"/>
                <w:w w:val="96"/>
              </w:rPr>
              <w:t>1.500%</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99"/>
              </w:rPr>
              <w:t>65%</w:t>
            </w:r>
          </w:p>
        </w:tc>
        <w:tc>
          <w:tcPr>
            <w:tcW w:w="340" w:type="dxa"/>
            <w:vAlign w:val="bottom"/>
            <w:shd w:val="clear" w:color="auto" w:fill="CCEEFF"/>
          </w:tcPr>
          <w:p>
            <w:pPr>
              <w:jc w:val="right"/>
              <w:ind w:right="177"/>
              <w:spacing w:after="0"/>
              <w:rPr>
                <w:sz w:val="20"/>
                <w:szCs w:val="20"/>
                <w:color w:val="auto"/>
              </w:rPr>
            </w:pPr>
            <w:r>
              <w:rPr>
                <w:rFonts w:ascii="Arial" w:cs="Arial" w:eastAsia="Arial" w:hAnsi="Arial"/>
                <w:sz w:val="9"/>
                <w:szCs w:val="9"/>
                <w:color w:val="auto"/>
                <w:w w:val="90"/>
              </w:rPr>
              <w:t>(3)</w:t>
            </w:r>
          </w:p>
        </w:tc>
        <w:tc>
          <w:tcPr>
            <w:tcW w:w="114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96"/>
              </w:rPr>
              <w:t>58.6%</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96"/>
              </w:rPr>
              <w:t>March 3, 2022</w:t>
            </w:r>
          </w:p>
        </w:tc>
        <w:tc>
          <w:tcPr>
            <w:tcW w:w="0" w:type="dxa"/>
            <w:vAlign w:val="bottom"/>
          </w:tcPr>
          <w:p>
            <w:pPr>
              <w:spacing w:after="0"/>
              <w:rPr>
                <w:sz w:val="1"/>
                <w:szCs w:val="1"/>
                <w:color w:val="auto"/>
              </w:rPr>
            </w:pPr>
          </w:p>
        </w:tc>
      </w:tr>
      <w:tr>
        <w:trPr>
          <w:trHeight w:val="211"/>
        </w:trPr>
        <w:tc>
          <w:tcPr>
            <w:tcW w:w="1740" w:type="dxa"/>
            <w:vAlign w:val="bottom"/>
            <w:gridSpan w:val="2"/>
          </w:tcPr>
          <w:p>
            <w:pPr>
              <w:jc w:val="center"/>
              <w:ind w:right="120"/>
              <w:spacing w:after="0"/>
              <w:rPr>
                <w:sz w:val="20"/>
                <w:szCs w:val="20"/>
                <w:color w:val="auto"/>
              </w:rPr>
            </w:pPr>
            <w:r>
              <w:rPr>
                <w:rFonts w:ascii="Arial" w:cs="Arial" w:eastAsia="Arial" w:hAnsi="Arial"/>
                <w:sz w:val="11"/>
                <w:szCs w:val="11"/>
                <w:color w:val="auto"/>
                <w:w w:val="94"/>
              </w:rPr>
              <w:t>July 14, 2017</w:t>
            </w:r>
          </w:p>
        </w:tc>
        <w:tc>
          <w:tcPr>
            <w:tcW w:w="2740" w:type="dxa"/>
            <w:vAlign w:val="bottom"/>
            <w:gridSpan w:val="2"/>
          </w:tcPr>
          <w:p>
            <w:pPr>
              <w:ind w:left="20"/>
              <w:spacing w:after="0"/>
              <w:rPr>
                <w:sz w:val="20"/>
                <w:szCs w:val="20"/>
                <w:color w:val="auto"/>
              </w:rPr>
            </w:pPr>
            <w:r>
              <w:rPr>
                <w:rFonts w:ascii="Arial" w:cs="Arial" w:eastAsia="Arial" w:hAnsi="Arial"/>
                <w:sz w:val="11"/>
                <w:szCs w:val="11"/>
                <w:color w:val="auto"/>
              </w:rPr>
              <w:t xml:space="preserve">CenterPoint Energy </w:t>
            </w:r>
            <w:r>
              <w:rPr>
                <w:rFonts w:ascii="Arial" w:cs="Arial" w:eastAsia="Arial" w:hAnsi="Arial"/>
                <w:sz w:val="8"/>
                <w:szCs w:val="8"/>
                <w:color w:val="auto"/>
              </w:rPr>
              <w:t>(4)</w:t>
            </w:r>
          </w:p>
        </w:tc>
        <w:tc>
          <w:tcPr>
            <w:tcW w:w="280" w:type="dxa"/>
            <w:vAlign w:val="bottom"/>
          </w:tcPr>
          <w:p>
            <w:pPr>
              <w:spacing w:after="0"/>
              <w:rPr>
                <w:sz w:val="18"/>
                <w:szCs w:val="18"/>
                <w:color w:val="auto"/>
              </w:rPr>
            </w:pPr>
          </w:p>
        </w:tc>
        <w:tc>
          <w:tcPr>
            <w:tcW w:w="1220" w:type="dxa"/>
            <w:vAlign w:val="bottom"/>
          </w:tcPr>
          <w:p>
            <w:pPr>
              <w:jc w:val="right"/>
              <w:ind w:right="63"/>
              <w:spacing w:after="0"/>
              <w:rPr>
                <w:sz w:val="20"/>
                <w:szCs w:val="20"/>
                <w:color w:val="auto"/>
              </w:rPr>
            </w:pPr>
            <w:r>
              <w:rPr>
                <w:rFonts w:ascii="Arial" w:cs="Arial" w:eastAsia="Arial" w:hAnsi="Arial"/>
                <w:sz w:val="11"/>
                <w:szCs w:val="11"/>
                <w:color w:val="auto"/>
              </w:rPr>
              <w:t>400</w:t>
            </w:r>
          </w:p>
        </w:tc>
        <w:tc>
          <w:tcPr>
            <w:tcW w:w="1160" w:type="dxa"/>
            <w:vAlign w:val="bottom"/>
            <w:gridSpan w:val="2"/>
          </w:tcPr>
          <w:p>
            <w:pPr>
              <w:jc w:val="center"/>
              <w:ind w:left="63"/>
              <w:spacing w:after="0"/>
              <w:rPr>
                <w:sz w:val="20"/>
                <w:szCs w:val="20"/>
                <w:color w:val="auto"/>
              </w:rPr>
            </w:pPr>
            <w:r>
              <w:rPr>
                <w:rFonts w:ascii="Arial" w:cs="Arial" w:eastAsia="Arial" w:hAnsi="Arial"/>
                <w:sz w:val="11"/>
                <w:szCs w:val="11"/>
                <w:color w:val="auto"/>
                <w:w w:val="96"/>
              </w:rPr>
              <w:t>1.125%</w:t>
            </w:r>
          </w:p>
        </w:tc>
        <w:tc>
          <w:tcPr>
            <w:tcW w:w="12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1"/>
                <w:szCs w:val="11"/>
                <w:color w:val="auto"/>
                <w:w w:val="99"/>
              </w:rPr>
              <w:t>65%</w:t>
            </w:r>
          </w:p>
        </w:tc>
        <w:tc>
          <w:tcPr>
            <w:tcW w:w="34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1"/>
                <w:szCs w:val="11"/>
                <w:color w:val="auto"/>
                <w:w w:val="96"/>
              </w:rPr>
              <w:t>52.9%</w:t>
            </w:r>
          </w:p>
        </w:tc>
        <w:tc>
          <w:tcPr>
            <w:tcW w:w="10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1"/>
                <w:szCs w:val="11"/>
                <w:color w:val="auto"/>
                <w:w w:val="94"/>
              </w:rPr>
              <w:t>July 14, 2022</w:t>
            </w:r>
          </w:p>
        </w:tc>
        <w:tc>
          <w:tcPr>
            <w:tcW w:w="0" w:type="dxa"/>
            <w:vAlign w:val="bottom"/>
          </w:tcPr>
          <w:p>
            <w:pPr>
              <w:spacing w:after="0"/>
              <w:rPr>
                <w:sz w:val="1"/>
                <w:szCs w:val="1"/>
                <w:color w:val="auto"/>
              </w:rPr>
            </w:pPr>
          </w:p>
        </w:tc>
      </w:tr>
      <w:tr>
        <w:trPr>
          <w:trHeight w:val="220"/>
        </w:trPr>
        <w:tc>
          <w:tcPr>
            <w:tcW w:w="1740" w:type="dxa"/>
            <w:vAlign w:val="bottom"/>
            <w:gridSpan w:val="2"/>
            <w:shd w:val="clear" w:color="auto" w:fill="CCEEFF"/>
          </w:tcPr>
          <w:p>
            <w:pPr>
              <w:jc w:val="center"/>
              <w:ind w:right="120"/>
              <w:spacing w:after="0"/>
              <w:rPr>
                <w:sz w:val="20"/>
                <w:szCs w:val="20"/>
                <w:color w:val="auto"/>
              </w:rPr>
            </w:pPr>
            <w:r>
              <w:rPr>
                <w:rFonts w:ascii="Arial" w:cs="Arial" w:eastAsia="Arial" w:hAnsi="Arial"/>
                <w:sz w:val="11"/>
                <w:szCs w:val="11"/>
                <w:color w:val="auto"/>
                <w:w w:val="94"/>
              </w:rPr>
              <w:t>July 14, 2017</w:t>
            </w:r>
          </w:p>
        </w:tc>
        <w:tc>
          <w:tcPr>
            <w:tcW w:w="274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 xml:space="preserve">CenterPoint Energy </w:t>
            </w:r>
            <w:r>
              <w:rPr>
                <w:rFonts w:ascii="Arial" w:cs="Arial" w:eastAsia="Arial" w:hAnsi="Arial"/>
                <w:sz w:val="8"/>
                <w:szCs w:val="8"/>
                <w:color w:val="auto"/>
              </w:rPr>
              <w:t>(5)</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200</w:t>
            </w:r>
          </w:p>
        </w:tc>
        <w:tc>
          <w:tcPr>
            <w:tcW w:w="1160" w:type="dxa"/>
            <w:vAlign w:val="bottom"/>
            <w:gridSpan w:val="2"/>
            <w:shd w:val="clear" w:color="auto" w:fill="CCEEFF"/>
          </w:tcPr>
          <w:p>
            <w:pPr>
              <w:jc w:val="center"/>
              <w:ind w:left="63"/>
              <w:spacing w:after="0"/>
              <w:rPr>
                <w:sz w:val="20"/>
                <w:szCs w:val="20"/>
                <w:color w:val="auto"/>
              </w:rPr>
            </w:pPr>
            <w:r>
              <w:rPr>
                <w:rFonts w:ascii="Arial" w:cs="Arial" w:eastAsia="Arial" w:hAnsi="Arial"/>
                <w:sz w:val="11"/>
                <w:szCs w:val="11"/>
                <w:color w:val="auto"/>
                <w:w w:val="96"/>
              </w:rPr>
              <w:t>1.250%</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99"/>
              </w:rPr>
              <w:t>65%</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96"/>
              </w:rPr>
              <w:t>57.1%</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94"/>
              </w:rPr>
              <w:t>July 14, 2022</w:t>
            </w:r>
          </w:p>
        </w:tc>
        <w:tc>
          <w:tcPr>
            <w:tcW w:w="0" w:type="dxa"/>
            <w:vAlign w:val="bottom"/>
          </w:tcPr>
          <w:p>
            <w:pPr>
              <w:spacing w:after="0"/>
              <w:rPr>
                <w:sz w:val="1"/>
                <w:szCs w:val="1"/>
                <w:color w:val="auto"/>
              </w:rPr>
            </w:pPr>
          </w:p>
        </w:tc>
      </w:tr>
      <w:tr>
        <w:trPr>
          <w:trHeight w:val="211"/>
        </w:trPr>
        <w:tc>
          <w:tcPr>
            <w:tcW w:w="1740" w:type="dxa"/>
            <w:vAlign w:val="bottom"/>
            <w:gridSpan w:val="2"/>
          </w:tcPr>
          <w:p>
            <w:pPr>
              <w:jc w:val="center"/>
              <w:ind w:right="120"/>
              <w:spacing w:after="0"/>
              <w:rPr>
                <w:sz w:val="20"/>
                <w:szCs w:val="20"/>
                <w:color w:val="auto"/>
              </w:rPr>
            </w:pPr>
            <w:r>
              <w:rPr>
                <w:rFonts w:ascii="Arial" w:cs="Arial" w:eastAsia="Arial" w:hAnsi="Arial"/>
                <w:sz w:val="11"/>
                <w:szCs w:val="11"/>
                <w:color w:val="auto"/>
                <w:w w:val="93"/>
              </w:rPr>
              <w:t>March 3, 2016</w:t>
            </w:r>
          </w:p>
        </w:tc>
        <w:tc>
          <w:tcPr>
            <w:tcW w:w="2740" w:type="dxa"/>
            <w:vAlign w:val="bottom"/>
            <w:gridSpan w:val="2"/>
          </w:tcPr>
          <w:p>
            <w:pPr>
              <w:ind w:left="20"/>
              <w:spacing w:after="0"/>
              <w:rPr>
                <w:sz w:val="20"/>
                <w:szCs w:val="20"/>
                <w:color w:val="auto"/>
              </w:rPr>
            </w:pPr>
            <w:r>
              <w:rPr>
                <w:rFonts w:ascii="Arial" w:cs="Arial" w:eastAsia="Arial" w:hAnsi="Arial"/>
                <w:sz w:val="11"/>
                <w:szCs w:val="11"/>
                <w:color w:val="auto"/>
              </w:rPr>
              <w:t>Houston Electric</w:t>
            </w:r>
          </w:p>
        </w:tc>
        <w:tc>
          <w:tcPr>
            <w:tcW w:w="280" w:type="dxa"/>
            <w:vAlign w:val="bottom"/>
          </w:tcPr>
          <w:p>
            <w:pPr>
              <w:spacing w:after="0"/>
              <w:rPr>
                <w:sz w:val="18"/>
                <w:szCs w:val="18"/>
                <w:color w:val="auto"/>
              </w:rPr>
            </w:pPr>
          </w:p>
        </w:tc>
        <w:tc>
          <w:tcPr>
            <w:tcW w:w="1220" w:type="dxa"/>
            <w:vAlign w:val="bottom"/>
          </w:tcPr>
          <w:p>
            <w:pPr>
              <w:jc w:val="right"/>
              <w:ind w:right="63"/>
              <w:spacing w:after="0"/>
              <w:rPr>
                <w:sz w:val="20"/>
                <w:szCs w:val="20"/>
                <w:color w:val="auto"/>
              </w:rPr>
            </w:pPr>
            <w:r>
              <w:rPr>
                <w:rFonts w:ascii="Arial" w:cs="Arial" w:eastAsia="Arial" w:hAnsi="Arial"/>
                <w:sz w:val="11"/>
                <w:szCs w:val="11"/>
                <w:color w:val="auto"/>
              </w:rPr>
              <w:t>300</w:t>
            </w:r>
          </w:p>
        </w:tc>
        <w:tc>
          <w:tcPr>
            <w:tcW w:w="1160" w:type="dxa"/>
            <w:vAlign w:val="bottom"/>
            <w:gridSpan w:val="2"/>
          </w:tcPr>
          <w:p>
            <w:pPr>
              <w:jc w:val="center"/>
              <w:ind w:left="63"/>
              <w:spacing w:after="0"/>
              <w:rPr>
                <w:sz w:val="20"/>
                <w:szCs w:val="20"/>
                <w:color w:val="auto"/>
              </w:rPr>
            </w:pPr>
            <w:r>
              <w:rPr>
                <w:rFonts w:ascii="Arial" w:cs="Arial" w:eastAsia="Arial" w:hAnsi="Arial"/>
                <w:sz w:val="11"/>
                <w:szCs w:val="11"/>
                <w:color w:val="auto"/>
                <w:w w:val="96"/>
              </w:rPr>
              <w:t>1.125%</w:t>
            </w:r>
          </w:p>
        </w:tc>
        <w:tc>
          <w:tcPr>
            <w:tcW w:w="12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1"/>
                <w:szCs w:val="11"/>
                <w:color w:val="auto"/>
                <w:w w:val="99"/>
              </w:rPr>
              <w:t>65%</w:t>
            </w:r>
          </w:p>
        </w:tc>
        <w:tc>
          <w:tcPr>
            <w:tcW w:w="340" w:type="dxa"/>
            <w:vAlign w:val="bottom"/>
          </w:tcPr>
          <w:p>
            <w:pPr>
              <w:jc w:val="right"/>
              <w:ind w:right="177"/>
              <w:spacing w:after="0"/>
              <w:rPr>
                <w:sz w:val="20"/>
                <w:szCs w:val="20"/>
                <w:color w:val="auto"/>
              </w:rPr>
            </w:pPr>
            <w:r>
              <w:rPr>
                <w:rFonts w:ascii="Arial" w:cs="Arial" w:eastAsia="Arial" w:hAnsi="Arial"/>
                <w:sz w:val="9"/>
                <w:szCs w:val="9"/>
                <w:color w:val="auto"/>
                <w:w w:val="90"/>
              </w:rPr>
              <w:t>(3)</w:t>
            </w:r>
          </w:p>
        </w:tc>
        <w:tc>
          <w:tcPr>
            <w:tcW w:w="1140" w:type="dxa"/>
            <w:vAlign w:val="bottom"/>
          </w:tcPr>
          <w:p>
            <w:pPr>
              <w:jc w:val="center"/>
              <w:spacing w:after="0"/>
              <w:rPr>
                <w:sz w:val="20"/>
                <w:szCs w:val="20"/>
                <w:color w:val="auto"/>
              </w:rPr>
            </w:pPr>
            <w:r>
              <w:rPr>
                <w:rFonts w:ascii="Arial" w:cs="Arial" w:eastAsia="Arial" w:hAnsi="Arial"/>
                <w:sz w:val="11"/>
                <w:szCs w:val="11"/>
                <w:color w:val="auto"/>
                <w:w w:val="96"/>
              </w:rPr>
              <w:t>48.7%</w:t>
            </w:r>
          </w:p>
        </w:tc>
        <w:tc>
          <w:tcPr>
            <w:tcW w:w="10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1"/>
                <w:szCs w:val="11"/>
                <w:color w:val="auto"/>
                <w:w w:val="96"/>
              </w:rPr>
              <w:t>March 3, 2022</w:t>
            </w:r>
          </w:p>
        </w:tc>
        <w:tc>
          <w:tcPr>
            <w:tcW w:w="0" w:type="dxa"/>
            <w:vAlign w:val="bottom"/>
          </w:tcPr>
          <w:p>
            <w:pPr>
              <w:spacing w:after="0"/>
              <w:rPr>
                <w:sz w:val="1"/>
                <w:szCs w:val="1"/>
                <w:color w:val="auto"/>
              </w:rPr>
            </w:pPr>
          </w:p>
        </w:tc>
      </w:tr>
      <w:tr>
        <w:trPr>
          <w:trHeight w:val="216"/>
        </w:trPr>
        <w:tc>
          <w:tcPr>
            <w:tcW w:w="1740" w:type="dxa"/>
            <w:vAlign w:val="bottom"/>
            <w:gridSpan w:val="2"/>
            <w:shd w:val="clear" w:color="auto" w:fill="CCEEFF"/>
          </w:tcPr>
          <w:p>
            <w:pPr>
              <w:jc w:val="center"/>
              <w:ind w:right="120"/>
              <w:spacing w:after="0"/>
              <w:rPr>
                <w:sz w:val="20"/>
                <w:szCs w:val="20"/>
                <w:color w:val="auto"/>
              </w:rPr>
            </w:pPr>
            <w:r>
              <w:rPr>
                <w:rFonts w:ascii="Arial" w:cs="Arial" w:eastAsia="Arial" w:hAnsi="Arial"/>
                <w:sz w:val="11"/>
                <w:szCs w:val="11"/>
                <w:color w:val="auto"/>
                <w:w w:val="93"/>
              </w:rPr>
              <w:t>March 3, 2016</w:t>
            </w:r>
          </w:p>
        </w:tc>
        <w:tc>
          <w:tcPr>
            <w:tcW w:w="274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CERC</w:t>
            </w:r>
          </w:p>
        </w:tc>
        <w:tc>
          <w:tcPr>
            <w:tcW w:w="2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color w:val="auto"/>
              </w:rPr>
              <w:t>900</w:t>
            </w:r>
          </w:p>
        </w:tc>
        <w:tc>
          <w:tcPr>
            <w:tcW w:w="1160" w:type="dxa"/>
            <w:vAlign w:val="bottom"/>
            <w:gridSpan w:val="2"/>
            <w:shd w:val="clear" w:color="auto" w:fill="CCEEFF"/>
          </w:tcPr>
          <w:p>
            <w:pPr>
              <w:jc w:val="center"/>
              <w:ind w:left="63"/>
              <w:spacing w:after="0"/>
              <w:rPr>
                <w:sz w:val="20"/>
                <w:szCs w:val="20"/>
                <w:color w:val="auto"/>
              </w:rPr>
            </w:pPr>
            <w:r>
              <w:rPr>
                <w:rFonts w:ascii="Arial" w:cs="Arial" w:eastAsia="Arial" w:hAnsi="Arial"/>
                <w:sz w:val="11"/>
                <w:szCs w:val="11"/>
                <w:color w:val="auto"/>
                <w:w w:val="96"/>
              </w:rPr>
              <w:t>1.250%</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99"/>
              </w:rPr>
              <w:t>65%</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96"/>
              </w:rPr>
              <w:t>47.5%</w:t>
            </w: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96"/>
              </w:rPr>
              <w:t>March 3, 2022</w:t>
            </w:r>
          </w:p>
        </w:tc>
        <w:tc>
          <w:tcPr>
            <w:tcW w:w="0" w:type="dxa"/>
            <w:vAlign w:val="bottom"/>
          </w:tcPr>
          <w:p>
            <w:pPr>
              <w:spacing w:after="0"/>
              <w:rPr>
                <w:sz w:val="1"/>
                <w:szCs w:val="1"/>
                <w:color w:val="auto"/>
              </w:rPr>
            </w:pPr>
          </w:p>
        </w:tc>
      </w:tr>
      <w:tr>
        <w:trPr>
          <w:trHeight w:val="189"/>
        </w:trPr>
        <w:tc>
          <w:tcPr>
            <w:tcW w:w="1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40" w:type="dxa"/>
            <w:vAlign w:val="bottom"/>
            <w:gridSpan w:val="2"/>
          </w:tcPr>
          <w:p>
            <w:pPr>
              <w:ind w:left="280"/>
              <w:spacing w:after="0"/>
              <w:rPr>
                <w:sz w:val="20"/>
                <w:szCs w:val="20"/>
                <w:color w:val="auto"/>
              </w:rPr>
            </w:pPr>
            <w:r>
              <w:rPr>
                <w:rFonts w:ascii="Arial" w:cs="Arial" w:eastAsia="Arial" w:hAnsi="Arial"/>
                <w:sz w:val="11"/>
                <w:szCs w:val="11"/>
                <w:color w:val="auto"/>
              </w:rPr>
              <w:t>Total</w:t>
            </w:r>
          </w:p>
        </w:tc>
        <w:tc>
          <w:tcPr>
            <w:tcW w:w="280" w:type="dxa"/>
            <w:vAlign w:val="bottom"/>
            <w:tcBorders>
              <w:bottom w:val="single" w:sz="8" w:color="auto"/>
            </w:tcBorders>
          </w:tcPr>
          <w:p>
            <w:pPr>
              <w:jc w:val="right"/>
              <w:ind w:right="143"/>
              <w:spacing w:after="0"/>
              <w:rPr>
                <w:sz w:val="20"/>
                <w:szCs w:val="20"/>
                <w:color w:val="auto"/>
              </w:rPr>
            </w:pPr>
            <w:r>
              <w:rPr>
                <w:rFonts w:ascii="Arial" w:cs="Arial" w:eastAsia="Arial" w:hAnsi="Arial"/>
                <w:sz w:val="11"/>
                <w:szCs w:val="11"/>
                <w:color w:val="auto"/>
                <w:w w:val="97"/>
              </w:rPr>
              <w:t>$</w:t>
            </w:r>
          </w:p>
        </w:tc>
        <w:tc>
          <w:tcPr>
            <w:tcW w:w="122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color w:val="auto"/>
              </w:rPr>
              <w:t>5,100</w:t>
            </w: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2" w:lineRule="exact"/>
        <w:rPr>
          <w:sz w:val="20"/>
          <w:szCs w:val="20"/>
          <w:color w:val="auto"/>
        </w:rPr>
      </w:pPr>
    </w:p>
    <w:p>
      <w:pPr>
        <w:ind w:left="520" w:hanging="255"/>
        <w:spacing w:after="0"/>
        <w:tabs>
          <w:tab w:leader="none" w:pos="520" w:val="left"/>
        </w:tabs>
        <w:numPr>
          <w:ilvl w:val="0"/>
          <w:numId w:val="38"/>
        </w:numPr>
        <w:rPr>
          <w:rFonts w:ascii="Arial" w:cs="Arial" w:eastAsia="Arial" w:hAnsi="Arial"/>
          <w:sz w:val="14"/>
          <w:szCs w:val="14"/>
          <w:color w:val="auto"/>
        </w:rPr>
      </w:pPr>
      <w:r>
        <w:rPr>
          <w:rFonts w:ascii="Arial" w:cs="Arial" w:eastAsia="Arial" w:hAnsi="Arial"/>
          <w:sz w:val="14"/>
          <w:szCs w:val="14"/>
          <w:color w:val="auto"/>
        </w:rPr>
        <w:t>Based on current credit ratings.</w:t>
      </w:r>
    </w:p>
    <w:p>
      <w:pPr>
        <w:spacing w:after="0" w:line="183" w:lineRule="exact"/>
        <w:rPr>
          <w:rFonts w:ascii="Arial" w:cs="Arial" w:eastAsia="Arial" w:hAnsi="Arial"/>
          <w:sz w:val="14"/>
          <w:szCs w:val="14"/>
          <w:color w:val="auto"/>
        </w:rPr>
      </w:pPr>
    </w:p>
    <w:p>
      <w:pPr>
        <w:ind w:left="520" w:hanging="255"/>
        <w:spacing w:after="0"/>
        <w:tabs>
          <w:tab w:leader="none" w:pos="520" w:val="left"/>
        </w:tabs>
        <w:numPr>
          <w:ilvl w:val="0"/>
          <w:numId w:val="38"/>
        </w:numPr>
        <w:rPr>
          <w:rFonts w:ascii="Arial" w:cs="Arial" w:eastAsia="Arial" w:hAnsi="Arial"/>
          <w:sz w:val="14"/>
          <w:szCs w:val="14"/>
          <w:color w:val="auto"/>
        </w:rPr>
      </w:pPr>
      <w:r>
        <w:rPr>
          <w:rFonts w:ascii="Arial" w:cs="Arial" w:eastAsia="Arial" w:hAnsi="Arial"/>
          <w:sz w:val="14"/>
          <w:szCs w:val="14"/>
          <w:color w:val="auto"/>
        </w:rPr>
        <w:t>As defined in the revolving credit facility agreements, excluding Securitization Bonds.</w:t>
      </w:r>
    </w:p>
    <w:p>
      <w:pPr>
        <w:spacing w:after="0" w:line="183" w:lineRule="exact"/>
        <w:rPr>
          <w:rFonts w:ascii="Arial" w:cs="Arial" w:eastAsia="Arial" w:hAnsi="Arial"/>
          <w:sz w:val="14"/>
          <w:szCs w:val="14"/>
          <w:color w:val="auto"/>
        </w:rPr>
      </w:pPr>
    </w:p>
    <w:p>
      <w:pPr>
        <w:jc w:val="both"/>
        <w:ind w:left="520" w:hanging="255"/>
        <w:spacing w:after="0" w:line="264" w:lineRule="auto"/>
        <w:tabs>
          <w:tab w:leader="none" w:pos="520" w:val="left"/>
        </w:tabs>
        <w:numPr>
          <w:ilvl w:val="0"/>
          <w:numId w:val="38"/>
        </w:numPr>
        <w:rPr>
          <w:rFonts w:ascii="Arial" w:cs="Arial" w:eastAsia="Arial" w:hAnsi="Arial"/>
          <w:sz w:val="14"/>
          <w:szCs w:val="14"/>
          <w:color w:val="auto"/>
        </w:rPr>
      </w:pPr>
      <w:r>
        <w:rPr>
          <w:rFonts w:ascii="Arial" w:cs="Arial" w:eastAsia="Arial" w:hAnsi="Arial"/>
          <w:sz w:val="14"/>
          <w:szCs w:val="14"/>
          <w:color w:val="auto"/>
        </w:rPr>
        <w:t>For CenterPoint Energy and Houston Electric, the financial covenant limit will temporarily increase from 65% to 70% if Houston Electric experiences damage from a natural disaster in its service territory and CenterPoint Energy certifies to the administrative agent that Houston Electric has incurred system restoration costs reasonably likely to exceed $100 million in a consecutive 12-month period, all or part of which Houston Electric intends to seek to recover through securitization financing. Such temporary increase in the financial covenant would be in effect from the date CenterPoint Energy delivers its certification until the earliest to occur of (i) the completion of the securitization financing, (ii) the first anniversary of CenterPoint Energy’s certification or (iii) the revocation of such certification.</w:t>
      </w:r>
    </w:p>
    <w:p>
      <w:pPr>
        <w:spacing w:after="0" w:line="149" w:lineRule="exact"/>
        <w:rPr>
          <w:rFonts w:ascii="Arial" w:cs="Arial" w:eastAsia="Arial" w:hAnsi="Arial"/>
          <w:sz w:val="14"/>
          <w:szCs w:val="14"/>
          <w:color w:val="auto"/>
        </w:rPr>
      </w:pPr>
    </w:p>
    <w:p>
      <w:pPr>
        <w:ind w:left="520" w:hanging="255"/>
        <w:spacing w:after="0" w:line="288" w:lineRule="auto"/>
        <w:tabs>
          <w:tab w:leader="none" w:pos="520" w:val="left"/>
        </w:tabs>
        <w:numPr>
          <w:ilvl w:val="0"/>
          <w:numId w:val="38"/>
        </w:numPr>
        <w:rPr>
          <w:rFonts w:ascii="Arial" w:cs="Arial" w:eastAsia="Arial" w:hAnsi="Arial"/>
          <w:sz w:val="14"/>
          <w:szCs w:val="14"/>
          <w:color w:val="auto"/>
        </w:rPr>
      </w:pPr>
      <w:r>
        <w:rPr>
          <w:rFonts w:ascii="Arial" w:cs="Arial" w:eastAsia="Arial" w:hAnsi="Arial"/>
          <w:sz w:val="14"/>
          <w:szCs w:val="14"/>
          <w:color w:val="auto"/>
        </w:rPr>
        <w:t>This credit facility was issued by VUHI, is guaranteed by SIGECO, Indiana Gas and VEDO and includes a $10 million swing line sublimit and a $20 million letter of credit sublimit. This credit facility backstops VUHI’s commercial paper program.</w:t>
      </w:r>
    </w:p>
    <w:p>
      <w:pPr>
        <w:spacing w:after="0" w:line="130" w:lineRule="exact"/>
        <w:rPr>
          <w:rFonts w:ascii="Arial" w:cs="Arial" w:eastAsia="Arial" w:hAnsi="Arial"/>
          <w:sz w:val="14"/>
          <w:szCs w:val="14"/>
          <w:color w:val="auto"/>
        </w:rPr>
      </w:pPr>
    </w:p>
    <w:p>
      <w:pPr>
        <w:ind w:left="520" w:hanging="255"/>
        <w:spacing w:after="0"/>
        <w:tabs>
          <w:tab w:leader="none" w:pos="520" w:val="left"/>
        </w:tabs>
        <w:numPr>
          <w:ilvl w:val="0"/>
          <w:numId w:val="38"/>
        </w:numPr>
        <w:rPr>
          <w:rFonts w:ascii="Arial" w:cs="Arial" w:eastAsia="Arial" w:hAnsi="Arial"/>
          <w:sz w:val="14"/>
          <w:szCs w:val="14"/>
          <w:color w:val="auto"/>
        </w:rPr>
      </w:pPr>
      <w:r>
        <w:rPr>
          <w:rFonts w:ascii="Arial" w:cs="Arial" w:eastAsia="Arial" w:hAnsi="Arial"/>
          <w:sz w:val="14"/>
          <w:szCs w:val="14"/>
          <w:color w:val="auto"/>
        </w:rPr>
        <w:t>This credit facility was issued by VCC, is guaranteed by Vectren and includes a $40 million swing line sublimit and an $80 million letter of credit sublimit.</w:t>
      </w:r>
    </w:p>
    <w:p>
      <w:pPr>
        <w:spacing w:after="0" w:line="184"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Registrants, including the subsidiaries of CenterPoint Energy discussed above, were in compliance with all financial debt covenants as of September 30, 2019.</w:t>
      </w:r>
    </w:p>
    <w:p>
      <w:pPr>
        <w:spacing w:after="0" w:line="184"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table below reflects the utilization of the Registrants’ respective revolving credit facilities: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1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040" w:type="dxa"/>
            <w:vAlign w:val="bottom"/>
            <w:tcBorders>
              <w:bottom w:val="single" w:sz="8" w:color="auto"/>
            </w:tcBorders>
            <w:gridSpan w:val="4"/>
          </w:tcPr>
          <w:p>
            <w:pPr>
              <w:jc w:val="right"/>
              <w:ind w:right="523"/>
              <w:spacing w:after="0"/>
              <w:rPr>
                <w:sz w:val="20"/>
                <w:szCs w:val="20"/>
                <w:color w:val="auto"/>
              </w:rPr>
            </w:pPr>
            <w:r>
              <w:rPr>
                <w:rFonts w:ascii="Arial" w:cs="Arial" w:eastAsia="Arial" w:hAnsi="Arial"/>
                <w:sz w:val="11"/>
                <w:szCs w:val="11"/>
                <w:b w:val="1"/>
                <w:bCs w:val="1"/>
                <w:color w:val="auto"/>
              </w:rPr>
              <w:t>September 30, 2019</w:t>
            </w:r>
          </w:p>
        </w:tc>
        <w:tc>
          <w:tcPr>
            <w:tcW w:w="10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080" w:type="dxa"/>
            <w:vAlign w:val="bottom"/>
            <w:tcBorders>
              <w:bottom w:val="single" w:sz="8" w:color="auto"/>
            </w:tcBorders>
            <w:gridSpan w:val="4"/>
          </w:tcPr>
          <w:p>
            <w:pPr>
              <w:jc w:val="right"/>
              <w:ind w:right="579"/>
              <w:spacing w:after="0"/>
              <w:rPr>
                <w:sz w:val="20"/>
                <w:szCs w:val="20"/>
                <w:color w:val="auto"/>
              </w:rPr>
            </w:pPr>
            <w:r>
              <w:rPr>
                <w:rFonts w:ascii="Arial" w:cs="Arial" w:eastAsia="Arial" w:hAnsi="Arial"/>
                <w:sz w:val="11"/>
                <w:szCs w:val="11"/>
                <w:b w:val="1"/>
                <w:bCs w:val="1"/>
                <w:color w:val="auto"/>
              </w:rPr>
              <w:t>December 31, 2018</w:t>
            </w:r>
          </w:p>
        </w:tc>
        <w:tc>
          <w:tcPr>
            <w:tcW w:w="11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8"/>
        </w:trPr>
        <w:tc>
          <w:tcPr>
            <w:tcW w:w="2180" w:type="dxa"/>
            <w:vAlign w:val="bottom"/>
            <w:vMerge w:val="restart"/>
          </w:tcPr>
          <w:p>
            <w:pPr>
              <w:ind w:left="840"/>
              <w:spacing w:after="0"/>
              <w:rPr>
                <w:sz w:val="20"/>
                <w:szCs w:val="20"/>
                <w:color w:val="auto"/>
              </w:rPr>
            </w:pPr>
            <w:r>
              <w:rPr>
                <w:rFonts w:ascii="Arial" w:cs="Arial" w:eastAsia="Arial" w:hAnsi="Arial"/>
                <w:sz w:val="11"/>
                <w:szCs w:val="11"/>
                <w:b w:val="1"/>
                <w:bCs w:val="1"/>
                <w:color w:val="auto"/>
              </w:rPr>
              <w:t>Registrant</w:t>
            </w:r>
          </w:p>
        </w:tc>
        <w:tc>
          <w:tcPr>
            <w:tcW w:w="220" w:type="dxa"/>
            <w:vAlign w:val="bottom"/>
          </w:tcPr>
          <w:p>
            <w:pPr>
              <w:spacing w:after="0"/>
              <w:rPr>
                <w:sz w:val="10"/>
                <w:szCs w:val="10"/>
                <w:color w:val="auto"/>
              </w:rPr>
            </w:pPr>
          </w:p>
        </w:tc>
        <w:tc>
          <w:tcPr>
            <w:tcW w:w="940" w:type="dxa"/>
            <w:vAlign w:val="bottom"/>
            <w:gridSpan w:val="2"/>
            <w:vMerge w:val="restart"/>
          </w:tcPr>
          <w:p>
            <w:pPr>
              <w:ind w:left="160"/>
              <w:spacing w:after="0"/>
              <w:rPr>
                <w:sz w:val="20"/>
                <w:szCs w:val="20"/>
                <w:color w:val="auto"/>
              </w:rPr>
            </w:pPr>
            <w:r>
              <w:rPr>
                <w:rFonts w:ascii="Arial" w:cs="Arial" w:eastAsia="Arial" w:hAnsi="Arial"/>
                <w:sz w:val="11"/>
                <w:szCs w:val="11"/>
                <w:b w:val="1"/>
                <w:bCs w:val="1"/>
                <w:color w:val="auto"/>
              </w:rPr>
              <w:t>Loans</w:t>
            </w:r>
          </w:p>
        </w:tc>
        <w:tc>
          <w:tcPr>
            <w:tcW w:w="200" w:type="dxa"/>
            <w:vAlign w:val="bottom"/>
          </w:tcPr>
          <w:p>
            <w:pPr>
              <w:spacing w:after="0"/>
              <w:rPr>
                <w:sz w:val="10"/>
                <w:szCs w:val="10"/>
                <w:color w:val="auto"/>
              </w:rPr>
            </w:pPr>
          </w:p>
        </w:tc>
        <w:tc>
          <w:tcPr>
            <w:tcW w:w="980" w:type="dxa"/>
            <w:vAlign w:val="bottom"/>
            <w:gridSpan w:val="2"/>
          </w:tcPr>
          <w:p>
            <w:pPr>
              <w:jc w:val="center"/>
              <w:ind w:right="320"/>
              <w:spacing w:after="0" w:line="119" w:lineRule="exact"/>
              <w:rPr>
                <w:sz w:val="20"/>
                <w:szCs w:val="20"/>
                <w:color w:val="auto"/>
              </w:rPr>
            </w:pPr>
            <w:r>
              <w:rPr>
                <w:rFonts w:ascii="Arial" w:cs="Arial" w:eastAsia="Arial" w:hAnsi="Arial"/>
                <w:sz w:val="11"/>
                <w:szCs w:val="11"/>
                <w:b w:val="1"/>
                <w:bCs w:val="1"/>
                <w:color w:val="auto"/>
                <w:w w:val="92"/>
              </w:rPr>
              <w:t>Letters</w:t>
            </w:r>
          </w:p>
        </w:tc>
        <w:tc>
          <w:tcPr>
            <w:tcW w:w="180" w:type="dxa"/>
            <w:vAlign w:val="bottom"/>
          </w:tcPr>
          <w:p>
            <w:pPr>
              <w:spacing w:after="0"/>
              <w:rPr>
                <w:sz w:val="10"/>
                <w:szCs w:val="10"/>
                <w:color w:val="auto"/>
              </w:rPr>
            </w:pPr>
          </w:p>
        </w:tc>
        <w:tc>
          <w:tcPr>
            <w:tcW w:w="880" w:type="dxa"/>
            <w:vAlign w:val="bottom"/>
          </w:tcPr>
          <w:p>
            <w:pPr>
              <w:jc w:val="right"/>
              <w:ind w:right="123"/>
              <w:spacing w:after="0" w:line="119" w:lineRule="exact"/>
              <w:rPr>
                <w:sz w:val="20"/>
                <w:szCs w:val="20"/>
                <w:color w:val="auto"/>
              </w:rPr>
            </w:pPr>
            <w:r>
              <w:rPr>
                <w:rFonts w:ascii="Arial" w:cs="Arial" w:eastAsia="Arial" w:hAnsi="Arial"/>
                <w:sz w:val="11"/>
                <w:szCs w:val="11"/>
                <w:b w:val="1"/>
                <w:bCs w:val="1"/>
                <w:color w:val="auto"/>
              </w:rPr>
              <w:t>Commercial</w:t>
            </w:r>
          </w:p>
        </w:tc>
        <w:tc>
          <w:tcPr>
            <w:tcW w:w="100" w:type="dxa"/>
            <w:vAlign w:val="bottom"/>
          </w:tcPr>
          <w:p>
            <w:pPr>
              <w:spacing w:after="0"/>
              <w:rPr>
                <w:sz w:val="10"/>
                <w:szCs w:val="10"/>
                <w:color w:val="auto"/>
              </w:rPr>
            </w:pPr>
          </w:p>
        </w:tc>
        <w:tc>
          <w:tcPr>
            <w:tcW w:w="1260" w:type="dxa"/>
            <w:vAlign w:val="bottom"/>
            <w:gridSpan w:val="2"/>
          </w:tcPr>
          <w:p>
            <w:pPr>
              <w:jc w:val="center"/>
              <w:spacing w:after="0" w:line="119" w:lineRule="exact"/>
              <w:rPr>
                <w:sz w:val="20"/>
                <w:szCs w:val="20"/>
                <w:color w:val="auto"/>
              </w:rPr>
            </w:pPr>
            <w:r>
              <w:rPr>
                <w:rFonts w:ascii="Arial" w:cs="Arial" w:eastAsia="Arial" w:hAnsi="Arial"/>
                <w:sz w:val="11"/>
                <w:szCs w:val="11"/>
                <w:b w:val="1"/>
                <w:bCs w:val="1"/>
                <w:color w:val="auto"/>
                <w:w w:val="93"/>
              </w:rPr>
              <w:t>Weighted Average</w:t>
            </w:r>
          </w:p>
        </w:tc>
        <w:tc>
          <w:tcPr>
            <w:tcW w:w="220" w:type="dxa"/>
            <w:vAlign w:val="bottom"/>
          </w:tcPr>
          <w:p>
            <w:pPr>
              <w:spacing w:after="0"/>
              <w:rPr>
                <w:sz w:val="10"/>
                <w:szCs w:val="10"/>
                <w:color w:val="auto"/>
              </w:rPr>
            </w:pPr>
          </w:p>
        </w:tc>
        <w:tc>
          <w:tcPr>
            <w:tcW w:w="900" w:type="dxa"/>
            <w:vAlign w:val="bottom"/>
            <w:gridSpan w:val="2"/>
            <w:vMerge w:val="restart"/>
          </w:tcPr>
          <w:p>
            <w:pPr>
              <w:ind w:left="140"/>
              <w:spacing w:after="0"/>
              <w:rPr>
                <w:sz w:val="20"/>
                <w:szCs w:val="20"/>
                <w:color w:val="auto"/>
              </w:rPr>
            </w:pPr>
            <w:r>
              <w:rPr>
                <w:rFonts w:ascii="Arial" w:cs="Arial" w:eastAsia="Arial" w:hAnsi="Arial"/>
                <w:sz w:val="11"/>
                <w:szCs w:val="11"/>
                <w:b w:val="1"/>
                <w:bCs w:val="1"/>
                <w:color w:val="auto"/>
              </w:rPr>
              <w:t>Loans</w:t>
            </w:r>
          </w:p>
        </w:tc>
        <w:tc>
          <w:tcPr>
            <w:tcW w:w="180" w:type="dxa"/>
            <w:vAlign w:val="bottom"/>
          </w:tcPr>
          <w:p>
            <w:pPr>
              <w:spacing w:after="0"/>
              <w:rPr>
                <w:sz w:val="10"/>
                <w:szCs w:val="10"/>
                <w:color w:val="auto"/>
              </w:rPr>
            </w:pPr>
          </w:p>
        </w:tc>
        <w:tc>
          <w:tcPr>
            <w:tcW w:w="940" w:type="dxa"/>
            <w:vAlign w:val="bottom"/>
            <w:gridSpan w:val="2"/>
          </w:tcPr>
          <w:p>
            <w:pPr>
              <w:jc w:val="center"/>
              <w:ind w:right="280"/>
              <w:spacing w:after="0" w:line="119" w:lineRule="exact"/>
              <w:rPr>
                <w:sz w:val="20"/>
                <w:szCs w:val="20"/>
                <w:color w:val="auto"/>
              </w:rPr>
            </w:pPr>
            <w:r>
              <w:rPr>
                <w:rFonts w:ascii="Arial" w:cs="Arial" w:eastAsia="Arial" w:hAnsi="Arial"/>
                <w:sz w:val="11"/>
                <w:szCs w:val="11"/>
                <w:b w:val="1"/>
                <w:bCs w:val="1"/>
                <w:color w:val="auto"/>
                <w:w w:val="92"/>
              </w:rPr>
              <w:t>Letters</w:t>
            </w:r>
          </w:p>
        </w:tc>
        <w:tc>
          <w:tcPr>
            <w:tcW w:w="180" w:type="dxa"/>
            <w:vAlign w:val="bottom"/>
          </w:tcPr>
          <w:p>
            <w:pPr>
              <w:spacing w:after="0"/>
              <w:rPr>
                <w:sz w:val="10"/>
                <w:szCs w:val="10"/>
                <w:color w:val="auto"/>
              </w:rPr>
            </w:pPr>
          </w:p>
        </w:tc>
        <w:tc>
          <w:tcPr>
            <w:tcW w:w="960" w:type="dxa"/>
            <w:vAlign w:val="bottom"/>
          </w:tcPr>
          <w:p>
            <w:pPr>
              <w:jc w:val="right"/>
              <w:ind w:right="199"/>
              <w:spacing w:after="0" w:line="119" w:lineRule="exact"/>
              <w:rPr>
                <w:sz w:val="20"/>
                <w:szCs w:val="20"/>
                <w:color w:val="auto"/>
              </w:rPr>
            </w:pPr>
            <w:r>
              <w:rPr>
                <w:rFonts w:ascii="Arial" w:cs="Arial" w:eastAsia="Arial" w:hAnsi="Arial"/>
                <w:sz w:val="11"/>
                <w:szCs w:val="11"/>
                <w:b w:val="1"/>
                <w:bCs w:val="1"/>
                <w:color w:val="auto"/>
              </w:rPr>
              <w:t>Commercial</w:t>
            </w:r>
          </w:p>
        </w:tc>
        <w:tc>
          <w:tcPr>
            <w:tcW w:w="1140" w:type="dxa"/>
            <w:vAlign w:val="bottom"/>
          </w:tcPr>
          <w:p>
            <w:pPr>
              <w:jc w:val="right"/>
              <w:ind w:right="3"/>
              <w:spacing w:after="0" w:line="119" w:lineRule="exact"/>
              <w:rPr>
                <w:sz w:val="20"/>
                <w:szCs w:val="20"/>
                <w:color w:val="auto"/>
              </w:rPr>
            </w:pPr>
            <w:r>
              <w:rPr>
                <w:rFonts w:ascii="Arial" w:cs="Arial" w:eastAsia="Arial" w:hAnsi="Arial"/>
                <w:sz w:val="11"/>
                <w:szCs w:val="11"/>
                <w:b w:val="1"/>
                <w:bCs w:val="1"/>
                <w:color w:val="auto"/>
              </w:rPr>
              <w:t>Weighted Average</w:t>
            </w:r>
          </w:p>
        </w:tc>
        <w:tc>
          <w:tcPr>
            <w:tcW w:w="0" w:type="dxa"/>
            <w:vAlign w:val="bottom"/>
          </w:tcPr>
          <w:p>
            <w:pPr>
              <w:spacing w:after="0"/>
              <w:rPr>
                <w:sz w:val="1"/>
                <w:szCs w:val="1"/>
                <w:color w:val="auto"/>
              </w:rPr>
            </w:pPr>
          </w:p>
        </w:tc>
      </w:tr>
      <w:tr>
        <w:trPr>
          <w:trHeight w:val="153"/>
        </w:trPr>
        <w:tc>
          <w:tcPr>
            <w:tcW w:w="2180" w:type="dxa"/>
            <w:vAlign w:val="bottom"/>
            <w:tcBorders>
              <w:bottom w:val="single" w:sz="8" w:color="auto"/>
            </w:tcBorders>
            <w:vMerge w:val="continue"/>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gridSpan w:val="2"/>
            <w:vMerge w:val="continue"/>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1"/>
                <w:szCs w:val="11"/>
                <w:b w:val="1"/>
                <w:bCs w:val="1"/>
                <w:color w:val="auto"/>
              </w:rPr>
              <w:t>of Credit</w:t>
            </w:r>
          </w:p>
        </w:tc>
        <w:tc>
          <w:tcPr>
            <w:tcW w:w="1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283"/>
              <w:spacing w:after="0"/>
              <w:rPr>
                <w:sz w:val="20"/>
                <w:szCs w:val="20"/>
                <w:color w:val="auto"/>
              </w:rPr>
            </w:pPr>
            <w:r>
              <w:rPr>
                <w:rFonts w:ascii="Arial" w:cs="Arial" w:eastAsia="Arial" w:hAnsi="Arial"/>
                <w:sz w:val="11"/>
                <w:szCs w:val="11"/>
                <w:b w:val="1"/>
                <w:bCs w:val="1"/>
                <w:color w:val="auto"/>
              </w:rPr>
              <w:t>Paper</w:t>
            </w:r>
          </w:p>
        </w:tc>
        <w:tc>
          <w:tcPr>
            <w:tcW w:w="10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gridSpan w:val="2"/>
          </w:tcPr>
          <w:p>
            <w:pPr>
              <w:jc w:val="center"/>
              <w:spacing w:after="0"/>
              <w:rPr>
                <w:sz w:val="20"/>
                <w:szCs w:val="20"/>
                <w:color w:val="auto"/>
              </w:rPr>
            </w:pPr>
            <w:r>
              <w:rPr>
                <w:rFonts w:ascii="Arial" w:cs="Arial" w:eastAsia="Arial" w:hAnsi="Arial"/>
                <w:sz w:val="11"/>
                <w:szCs w:val="11"/>
                <w:b w:val="1"/>
                <w:bCs w:val="1"/>
                <w:color w:val="auto"/>
                <w:w w:val="95"/>
              </w:rPr>
              <w:t>Interest Rate</w:t>
            </w:r>
          </w:p>
        </w:tc>
        <w:tc>
          <w:tcPr>
            <w:tcW w:w="2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gridSpan w:val="2"/>
            <w:vMerge w:val="continue"/>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1"/>
                <w:szCs w:val="11"/>
                <w:b w:val="1"/>
                <w:bCs w:val="1"/>
                <w:color w:val="auto"/>
                <w:w w:val="97"/>
              </w:rPr>
              <w:t>of Credit</w:t>
            </w:r>
          </w:p>
        </w:tc>
        <w:tc>
          <w:tcPr>
            <w:tcW w:w="1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59"/>
              <w:spacing w:after="0"/>
              <w:rPr>
                <w:sz w:val="20"/>
                <w:szCs w:val="20"/>
                <w:color w:val="auto"/>
              </w:rPr>
            </w:pPr>
            <w:r>
              <w:rPr>
                <w:rFonts w:ascii="Arial" w:cs="Arial" w:eastAsia="Arial" w:hAnsi="Arial"/>
                <w:sz w:val="11"/>
                <w:szCs w:val="11"/>
                <w:b w:val="1"/>
                <w:bCs w:val="1"/>
                <w:color w:val="auto"/>
              </w:rPr>
              <w:t>Paper</w:t>
            </w:r>
          </w:p>
        </w:tc>
        <w:tc>
          <w:tcPr>
            <w:tcW w:w="1140" w:type="dxa"/>
            <w:vAlign w:val="bottom"/>
            <w:tcBorders>
              <w:bottom w:val="single" w:sz="8" w:color="auto"/>
            </w:tcBorders>
          </w:tcPr>
          <w:p>
            <w:pPr>
              <w:jc w:val="right"/>
              <w:ind w:right="143"/>
              <w:spacing w:after="0"/>
              <w:rPr>
                <w:sz w:val="20"/>
                <w:szCs w:val="20"/>
                <w:color w:val="auto"/>
              </w:rPr>
            </w:pPr>
            <w:r>
              <w:rPr>
                <w:rFonts w:ascii="Arial" w:cs="Arial" w:eastAsia="Arial" w:hAnsi="Arial"/>
                <w:sz w:val="11"/>
                <w:szCs w:val="11"/>
                <w:b w:val="1"/>
                <w:bCs w:val="1"/>
                <w:color w:val="auto"/>
              </w:rPr>
              <w:t>Interest Rate</w:t>
            </w:r>
          </w:p>
        </w:tc>
        <w:tc>
          <w:tcPr>
            <w:tcW w:w="0" w:type="dxa"/>
            <w:vAlign w:val="bottom"/>
          </w:tcPr>
          <w:p>
            <w:pPr>
              <w:spacing w:after="0"/>
              <w:rPr>
                <w:sz w:val="1"/>
                <w:szCs w:val="1"/>
                <w:color w:val="auto"/>
              </w:rPr>
            </w:pPr>
          </w:p>
        </w:tc>
      </w:tr>
      <w:tr>
        <w:trPr>
          <w:trHeight w:val="206"/>
        </w:trPr>
        <w:tc>
          <w:tcPr>
            <w:tcW w:w="2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80" w:type="dxa"/>
            <w:vAlign w:val="bottom"/>
            <w:gridSpan w:val="6"/>
          </w:tcPr>
          <w:p>
            <w:pPr>
              <w:ind w:left="20"/>
              <w:spacing w:after="0"/>
              <w:rPr>
                <w:sz w:val="20"/>
                <w:szCs w:val="20"/>
                <w:color w:val="auto"/>
              </w:rPr>
            </w:pPr>
            <w:r>
              <w:rPr>
                <w:rFonts w:ascii="Arial" w:cs="Arial" w:eastAsia="Arial" w:hAnsi="Arial"/>
                <w:sz w:val="11"/>
                <w:szCs w:val="11"/>
                <w:b w:val="1"/>
                <w:bCs w:val="1"/>
                <w:color w:val="auto"/>
                <w:w w:val="92"/>
              </w:rPr>
              <w:t>(in millions, except weighted average interest rate)</w:t>
            </w: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180" w:type="dxa"/>
            <w:vAlign w:val="bottom"/>
            <w:shd w:val="clear" w:color="auto" w:fill="CCEEFF"/>
          </w:tcPr>
          <w:p>
            <w:pPr>
              <w:ind w:left="20"/>
              <w:spacing w:after="0"/>
              <w:rPr>
                <w:sz w:val="20"/>
                <w:szCs w:val="20"/>
                <w:color w:val="auto"/>
              </w:rPr>
            </w:pPr>
            <w:r>
              <w:rPr>
                <w:rFonts w:ascii="Arial" w:cs="Arial" w:eastAsia="Arial" w:hAnsi="Arial"/>
                <w:sz w:val="11"/>
                <w:szCs w:val="11"/>
                <w:color w:val="auto"/>
              </w:rPr>
              <w:t xml:space="preserve">CenterPoint Energy </w:t>
            </w:r>
            <w:r>
              <w:rPr>
                <w:rFonts w:ascii="Arial" w:cs="Arial" w:eastAsia="Arial" w:hAnsi="Arial"/>
                <w:sz w:val="8"/>
                <w:szCs w:val="8"/>
                <w:color w:val="auto"/>
              </w:rPr>
              <w:t>(1)</w:t>
            </w:r>
          </w:p>
        </w:tc>
        <w:tc>
          <w:tcPr>
            <w:tcW w:w="22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w w:val="97"/>
              </w:rPr>
              <w:t>$</w:t>
            </w:r>
          </w:p>
        </w:tc>
        <w:tc>
          <w:tcPr>
            <w:tcW w:w="940" w:type="dxa"/>
            <w:vAlign w:val="bottom"/>
            <w:gridSpan w:val="2"/>
            <w:shd w:val="clear" w:color="auto" w:fill="CCEEFF"/>
          </w:tcPr>
          <w:p>
            <w:pPr>
              <w:ind w:left="60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w w:val="97"/>
              </w:rPr>
              <w:t>$</w:t>
            </w:r>
          </w:p>
        </w:tc>
        <w:tc>
          <w:tcPr>
            <w:tcW w:w="86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68"/>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1,383</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2.28%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w w:val="97"/>
              </w:rPr>
              <w:t>$</w:t>
            </w:r>
          </w:p>
        </w:tc>
        <w:tc>
          <w:tcPr>
            <w:tcW w:w="900" w:type="dxa"/>
            <w:vAlign w:val="bottom"/>
            <w:gridSpan w:val="2"/>
            <w:shd w:val="clear" w:color="auto" w:fill="CCEEFF"/>
          </w:tcPr>
          <w:p>
            <w:pPr>
              <w:ind w:left="58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w w:val="97"/>
              </w:rPr>
              <w:t>$</w:t>
            </w:r>
          </w:p>
        </w:tc>
        <w:tc>
          <w:tcPr>
            <w:tcW w:w="84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w w:val="97"/>
              </w:rPr>
              <w:t>$</w:t>
            </w:r>
          </w:p>
        </w:tc>
        <w:tc>
          <w:tcPr>
            <w:tcW w:w="960" w:type="dxa"/>
            <w:vAlign w:val="bottom"/>
            <w:shd w:val="clear" w:color="auto" w:fill="CCEEFF"/>
          </w:tcPr>
          <w:p>
            <w:pPr>
              <w:jc w:val="right"/>
              <w:ind w:right="39"/>
              <w:spacing w:after="0"/>
              <w:rPr>
                <w:sz w:val="20"/>
                <w:szCs w:val="20"/>
                <w:color w:val="auto"/>
              </w:rPr>
            </w:pPr>
            <w:r>
              <w:rPr>
                <w:rFonts w:ascii="Arial" w:cs="Arial" w:eastAsia="Arial" w:hAnsi="Arial"/>
                <w:sz w:val="11"/>
                <w:szCs w:val="11"/>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11"/>
        </w:trPr>
        <w:tc>
          <w:tcPr>
            <w:tcW w:w="2180" w:type="dxa"/>
            <w:vAlign w:val="bottom"/>
          </w:tcPr>
          <w:p>
            <w:pPr>
              <w:ind w:left="20"/>
              <w:spacing w:after="0"/>
              <w:rPr>
                <w:sz w:val="20"/>
                <w:szCs w:val="20"/>
                <w:color w:val="auto"/>
              </w:rPr>
            </w:pPr>
            <w:r>
              <w:rPr>
                <w:rFonts w:ascii="Arial" w:cs="Arial" w:eastAsia="Arial" w:hAnsi="Arial"/>
                <w:sz w:val="11"/>
                <w:szCs w:val="11"/>
                <w:color w:val="auto"/>
              </w:rPr>
              <w:t xml:space="preserve">CenterPoint Energy </w:t>
            </w:r>
            <w:r>
              <w:rPr>
                <w:rFonts w:ascii="Arial" w:cs="Arial" w:eastAsia="Arial" w:hAnsi="Arial"/>
                <w:sz w:val="8"/>
                <w:szCs w:val="8"/>
                <w:color w:val="auto"/>
              </w:rPr>
              <w:t>(2)</w:t>
            </w:r>
          </w:p>
        </w:tc>
        <w:tc>
          <w:tcPr>
            <w:tcW w:w="220" w:type="dxa"/>
            <w:vAlign w:val="bottom"/>
          </w:tcPr>
          <w:p>
            <w:pPr>
              <w:spacing w:after="0"/>
              <w:rPr>
                <w:sz w:val="18"/>
                <w:szCs w:val="18"/>
                <w:color w:val="auto"/>
              </w:rPr>
            </w:pPr>
          </w:p>
        </w:tc>
        <w:tc>
          <w:tcPr>
            <w:tcW w:w="940" w:type="dxa"/>
            <w:vAlign w:val="bottom"/>
            <w:gridSpan w:val="2"/>
          </w:tcPr>
          <w:p>
            <w:pPr>
              <w:ind w:left="60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278</w:t>
            </w:r>
          </w:p>
        </w:tc>
        <w:tc>
          <w:tcPr>
            <w:tcW w:w="1260" w:type="dxa"/>
            <w:vAlign w:val="bottom"/>
            <w:gridSpan w:val="2"/>
          </w:tcPr>
          <w:p>
            <w:pPr>
              <w:jc w:val="right"/>
              <w:spacing w:after="0"/>
              <w:rPr>
                <w:sz w:val="20"/>
                <w:szCs w:val="20"/>
                <w:color w:val="auto"/>
              </w:rPr>
            </w:pPr>
            <w:r>
              <w:rPr>
                <w:rFonts w:ascii="Arial" w:cs="Arial" w:eastAsia="Arial" w:hAnsi="Arial"/>
                <w:sz w:val="11"/>
                <w:szCs w:val="11"/>
                <w:color w:val="auto"/>
              </w:rPr>
              <w:t>2.30%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ind w:left="58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8"/>
                <w:szCs w:val="18"/>
                <w:color w:val="auto"/>
              </w:rPr>
            </w:pPr>
          </w:p>
        </w:tc>
        <w:tc>
          <w:tcPr>
            <w:tcW w:w="960" w:type="dxa"/>
            <w:vAlign w:val="bottom"/>
          </w:tcPr>
          <w:p>
            <w:pPr>
              <w:jc w:val="right"/>
              <w:ind w:right="39"/>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63"/>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20"/>
        </w:trPr>
        <w:tc>
          <w:tcPr>
            <w:tcW w:w="2180" w:type="dxa"/>
            <w:vAlign w:val="bottom"/>
            <w:shd w:val="clear" w:color="auto" w:fill="CCEEFF"/>
          </w:tcPr>
          <w:p>
            <w:pPr>
              <w:ind w:left="20"/>
              <w:spacing w:after="0"/>
              <w:rPr>
                <w:sz w:val="20"/>
                <w:szCs w:val="20"/>
                <w:color w:val="auto"/>
              </w:rPr>
            </w:pPr>
            <w:r>
              <w:rPr>
                <w:rFonts w:ascii="Arial" w:cs="Arial" w:eastAsia="Arial" w:hAnsi="Arial"/>
                <w:sz w:val="11"/>
                <w:szCs w:val="11"/>
                <w:color w:val="auto"/>
              </w:rPr>
              <w:t xml:space="preserve">CenterPoint Energy </w:t>
            </w:r>
            <w:r>
              <w:rPr>
                <w:rFonts w:ascii="Arial" w:cs="Arial" w:eastAsia="Arial" w:hAnsi="Arial"/>
                <w:sz w:val="8"/>
                <w:szCs w:val="8"/>
                <w:color w:val="auto"/>
              </w:rPr>
              <w:t>(3)</w:t>
            </w:r>
          </w:p>
        </w:tc>
        <w:tc>
          <w:tcPr>
            <w:tcW w:w="2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60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ind w:left="58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9"/>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11"/>
        </w:trPr>
        <w:tc>
          <w:tcPr>
            <w:tcW w:w="2180" w:type="dxa"/>
            <w:vAlign w:val="bottom"/>
          </w:tcPr>
          <w:p>
            <w:pPr>
              <w:ind w:left="20"/>
              <w:spacing w:after="0"/>
              <w:rPr>
                <w:sz w:val="20"/>
                <w:szCs w:val="20"/>
                <w:color w:val="auto"/>
              </w:rPr>
            </w:pPr>
            <w:r>
              <w:rPr>
                <w:rFonts w:ascii="Arial" w:cs="Arial" w:eastAsia="Arial" w:hAnsi="Arial"/>
                <w:sz w:val="11"/>
                <w:szCs w:val="11"/>
                <w:color w:val="auto"/>
              </w:rPr>
              <w:t>Houston Electric</w:t>
            </w:r>
          </w:p>
        </w:tc>
        <w:tc>
          <w:tcPr>
            <w:tcW w:w="220" w:type="dxa"/>
            <w:vAlign w:val="bottom"/>
          </w:tcPr>
          <w:p>
            <w:pPr>
              <w:spacing w:after="0"/>
              <w:rPr>
                <w:sz w:val="18"/>
                <w:szCs w:val="18"/>
                <w:color w:val="auto"/>
              </w:rPr>
            </w:pPr>
          </w:p>
        </w:tc>
        <w:tc>
          <w:tcPr>
            <w:tcW w:w="940" w:type="dxa"/>
            <w:vAlign w:val="bottom"/>
            <w:gridSpan w:val="2"/>
          </w:tcPr>
          <w:p>
            <w:pPr>
              <w:ind w:left="60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8"/>
                <w:szCs w:val="18"/>
                <w:color w:val="auto"/>
              </w:rPr>
            </w:pPr>
          </w:p>
        </w:tc>
        <w:tc>
          <w:tcPr>
            <w:tcW w:w="900" w:type="dxa"/>
            <w:vAlign w:val="bottom"/>
            <w:gridSpan w:val="2"/>
          </w:tcPr>
          <w:p>
            <w:pPr>
              <w:ind w:left="58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8"/>
                <w:szCs w:val="18"/>
                <w:color w:val="auto"/>
              </w:rPr>
            </w:pPr>
          </w:p>
        </w:tc>
        <w:tc>
          <w:tcPr>
            <w:tcW w:w="840" w:type="dxa"/>
            <w:vAlign w:val="bottom"/>
          </w:tcPr>
          <w:p>
            <w:pPr>
              <w:jc w:val="right"/>
              <w:ind w:right="43"/>
              <w:spacing w:after="0"/>
              <w:rPr>
                <w:sz w:val="20"/>
                <w:szCs w:val="20"/>
                <w:color w:val="auto"/>
              </w:rPr>
            </w:pPr>
            <w:r>
              <w:rPr>
                <w:rFonts w:ascii="Arial" w:cs="Arial" w:eastAsia="Arial" w:hAnsi="Arial"/>
                <w:sz w:val="11"/>
                <w:szCs w:val="11"/>
                <w:color w:val="auto"/>
              </w:rPr>
              <w:t>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ind w:right="39"/>
              <w:spacing w:after="0"/>
              <w:rPr>
                <w:sz w:val="20"/>
                <w:szCs w:val="20"/>
                <w:color w:val="auto"/>
              </w:rPr>
            </w:pPr>
            <w:r>
              <w:rPr>
                <w:rFonts w:ascii="Arial" w:cs="Arial" w:eastAsia="Arial" w:hAnsi="Arial"/>
                <w:sz w:val="11"/>
                <w:szCs w:val="11"/>
                <w:color w:val="auto"/>
              </w:rPr>
              <w:t>—</w:t>
            </w:r>
          </w:p>
        </w:tc>
        <w:tc>
          <w:tcPr>
            <w:tcW w:w="1140" w:type="dxa"/>
            <w:vAlign w:val="bottom"/>
          </w:tcPr>
          <w:p>
            <w:pPr>
              <w:jc w:val="right"/>
              <w:ind w:right="63"/>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16"/>
        </w:trPr>
        <w:tc>
          <w:tcPr>
            <w:tcW w:w="2180" w:type="dxa"/>
            <w:vAlign w:val="bottom"/>
            <w:shd w:val="clear" w:color="auto" w:fill="CCEEFF"/>
          </w:tcPr>
          <w:p>
            <w:pPr>
              <w:ind w:left="20"/>
              <w:spacing w:after="0"/>
              <w:rPr>
                <w:sz w:val="20"/>
                <w:szCs w:val="20"/>
                <w:color w:val="auto"/>
              </w:rPr>
            </w:pPr>
            <w:r>
              <w:rPr>
                <w:rFonts w:ascii="Arial" w:cs="Arial" w:eastAsia="Arial" w:hAnsi="Arial"/>
                <w:sz w:val="11"/>
                <w:szCs w:val="11"/>
                <w:color w:val="auto"/>
              </w:rPr>
              <w:t>CERC</w:t>
            </w: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color w:val="auto"/>
              </w:rPr>
              <w:t>1</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310</w:t>
            </w:r>
          </w:p>
        </w:tc>
        <w:tc>
          <w:tcPr>
            <w:tcW w:w="100" w:type="dxa"/>
            <w:vAlign w:val="bottom"/>
            <w:tcBorders>
              <w:bottom w:val="single" w:sz="8" w:color="auto"/>
            </w:tcBorders>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2.28%</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ind w:left="58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1"/>
                <w:szCs w:val="11"/>
                <w:color w:val="auto"/>
              </w:rPr>
              <w:t>1</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1"/>
                <w:szCs w:val="11"/>
                <w:color w:val="auto"/>
              </w:rPr>
              <w:t>210</w:t>
            </w: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2.93%</w:t>
            </w:r>
          </w:p>
        </w:tc>
        <w:tc>
          <w:tcPr>
            <w:tcW w:w="0" w:type="dxa"/>
            <w:vAlign w:val="bottom"/>
          </w:tcPr>
          <w:p>
            <w:pPr>
              <w:spacing w:after="0"/>
              <w:rPr>
                <w:sz w:val="1"/>
                <w:szCs w:val="1"/>
                <w:color w:val="auto"/>
              </w:rPr>
            </w:pPr>
          </w:p>
        </w:tc>
      </w:tr>
      <w:tr>
        <w:trPr>
          <w:trHeight w:val="189"/>
        </w:trPr>
        <w:tc>
          <w:tcPr>
            <w:tcW w:w="2180" w:type="dxa"/>
            <w:vAlign w:val="bottom"/>
          </w:tcPr>
          <w:p>
            <w:pPr>
              <w:ind w:left="220"/>
              <w:spacing w:after="0"/>
              <w:rPr>
                <w:sz w:val="20"/>
                <w:szCs w:val="20"/>
                <w:color w:val="auto"/>
              </w:rPr>
            </w:pPr>
            <w:r>
              <w:rPr>
                <w:rFonts w:ascii="Arial" w:cs="Arial" w:eastAsia="Arial" w:hAnsi="Arial"/>
                <w:sz w:val="11"/>
                <w:szCs w:val="11"/>
                <w:color w:val="auto"/>
              </w:rPr>
              <w:t>Total</w:t>
            </w:r>
          </w:p>
        </w:tc>
        <w:tc>
          <w:tcPr>
            <w:tcW w:w="220" w:type="dxa"/>
            <w:vAlign w:val="bottom"/>
          </w:tcPr>
          <w:p>
            <w:pPr>
              <w:jc w:val="right"/>
              <w:ind w:right="83"/>
              <w:spacing w:after="0"/>
              <w:rPr>
                <w:sz w:val="20"/>
                <w:szCs w:val="20"/>
                <w:color w:val="auto"/>
              </w:rPr>
            </w:pPr>
            <w:r>
              <w:rPr>
                <w:rFonts w:ascii="Arial" w:cs="Arial" w:eastAsia="Arial" w:hAnsi="Arial"/>
                <w:sz w:val="11"/>
                <w:szCs w:val="11"/>
                <w:color w:val="auto"/>
                <w:w w:val="97"/>
              </w:rPr>
              <w:t>$</w:t>
            </w:r>
          </w:p>
        </w:tc>
        <w:tc>
          <w:tcPr>
            <w:tcW w:w="940" w:type="dxa"/>
            <w:vAlign w:val="bottom"/>
            <w:gridSpan w:val="2"/>
          </w:tcPr>
          <w:p>
            <w:pPr>
              <w:ind w:left="600"/>
              <w:spacing w:after="0"/>
              <w:rPr>
                <w:sz w:val="20"/>
                <w:szCs w:val="20"/>
                <w:color w:val="auto"/>
              </w:rPr>
            </w:pPr>
            <w:r>
              <w:rPr>
                <w:rFonts w:ascii="Arial" w:cs="Arial" w:eastAsia="Arial" w:hAnsi="Arial"/>
                <w:sz w:val="11"/>
                <w:szCs w:val="11"/>
                <w:color w:val="auto"/>
              </w:rPr>
              <w:t>—</w:t>
            </w:r>
          </w:p>
        </w:tc>
        <w:tc>
          <w:tcPr>
            <w:tcW w:w="200" w:type="dxa"/>
            <w:vAlign w:val="bottom"/>
          </w:tcPr>
          <w:p>
            <w:pPr>
              <w:jc w:val="right"/>
              <w:ind w:right="63"/>
              <w:spacing w:after="0"/>
              <w:rPr>
                <w:sz w:val="20"/>
                <w:szCs w:val="20"/>
                <w:color w:val="auto"/>
              </w:rPr>
            </w:pPr>
            <w:r>
              <w:rPr>
                <w:rFonts w:ascii="Arial" w:cs="Arial" w:eastAsia="Arial" w:hAnsi="Arial"/>
                <w:sz w:val="11"/>
                <w:szCs w:val="11"/>
                <w:color w:val="auto"/>
                <w:w w:val="97"/>
              </w:rPr>
              <w:t>$</w:t>
            </w:r>
          </w:p>
        </w:tc>
        <w:tc>
          <w:tcPr>
            <w:tcW w:w="860" w:type="dxa"/>
            <w:vAlign w:val="bottom"/>
          </w:tcPr>
          <w:p>
            <w:pPr>
              <w:jc w:val="right"/>
              <w:ind w:right="63"/>
              <w:spacing w:after="0"/>
              <w:rPr>
                <w:sz w:val="20"/>
                <w:szCs w:val="20"/>
                <w:color w:val="auto"/>
              </w:rPr>
            </w:pPr>
            <w:r>
              <w:rPr>
                <w:rFonts w:ascii="Arial" w:cs="Arial" w:eastAsia="Arial" w:hAnsi="Arial"/>
                <w:sz w:val="11"/>
                <w:szCs w:val="11"/>
                <w:color w:val="auto"/>
              </w:rPr>
              <w:t>7</w:t>
            </w:r>
          </w:p>
        </w:tc>
        <w:tc>
          <w:tcPr>
            <w:tcW w:w="120" w:type="dxa"/>
            <w:vAlign w:val="bottom"/>
          </w:tcPr>
          <w:p>
            <w:pPr>
              <w:spacing w:after="0"/>
              <w:rPr>
                <w:sz w:val="16"/>
                <w:szCs w:val="16"/>
                <w:color w:val="auto"/>
              </w:rPr>
            </w:pPr>
          </w:p>
        </w:tc>
        <w:tc>
          <w:tcPr>
            <w:tcW w:w="180" w:type="dxa"/>
            <w:vAlign w:val="bottom"/>
          </w:tcPr>
          <w:p>
            <w:pPr>
              <w:jc w:val="right"/>
              <w:ind w:right="68"/>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1"/>
                <w:szCs w:val="11"/>
                <w:color w:val="auto"/>
              </w:rPr>
              <w:t>1,971</w:t>
            </w: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jc w:val="right"/>
              <w:ind w:right="83"/>
              <w:spacing w:after="0"/>
              <w:rPr>
                <w:sz w:val="20"/>
                <w:szCs w:val="20"/>
                <w:color w:val="auto"/>
              </w:rPr>
            </w:pPr>
            <w:r>
              <w:rPr>
                <w:rFonts w:ascii="Arial" w:cs="Arial" w:eastAsia="Arial" w:hAnsi="Arial"/>
                <w:sz w:val="11"/>
                <w:szCs w:val="11"/>
                <w:color w:val="auto"/>
                <w:w w:val="97"/>
              </w:rPr>
              <w:t>$</w:t>
            </w:r>
          </w:p>
        </w:tc>
        <w:tc>
          <w:tcPr>
            <w:tcW w:w="900" w:type="dxa"/>
            <w:vAlign w:val="bottom"/>
            <w:gridSpan w:val="2"/>
          </w:tcPr>
          <w:p>
            <w:pPr>
              <w:ind w:left="580"/>
              <w:spacing w:after="0"/>
              <w:rPr>
                <w:sz w:val="20"/>
                <w:szCs w:val="20"/>
                <w:color w:val="auto"/>
              </w:rPr>
            </w:pPr>
            <w:r>
              <w:rPr>
                <w:rFonts w:ascii="Arial" w:cs="Arial" w:eastAsia="Arial" w:hAnsi="Arial"/>
                <w:sz w:val="11"/>
                <w:szCs w:val="11"/>
                <w:color w:val="auto"/>
              </w:rPr>
              <w:t>—</w:t>
            </w:r>
          </w:p>
        </w:tc>
        <w:tc>
          <w:tcPr>
            <w:tcW w:w="180" w:type="dxa"/>
            <w:vAlign w:val="bottom"/>
          </w:tcPr>
          <w:p>
            <w:pPr>
              <w:jc w:val="right"/>
              <w:ind w:right="43"/>
              <w:spacing w:after="0"/>
              <w:rPr>
                <w:sz w:val="20"/>
                <w:szCs w:val="20"/>
                <w:color w:val="auto"/>
              </w:rPr>
            </w:pPr>
            <w:r>
              <w:rPr>
                <w:rFonts w:ascii="Arial" w:cs="Arial" w:eastAsia="Arial" w:hAnsi="Arial"/>
                <w:sz w:val="11"/>
                <w:szCs w:val="11"/>
                <w:color w:val="auto"/>
                <w:w w:val="97"/>
              </w:rPr>
              <w:t>$</w:t>
            </w:r>
          </w:p>
        </w:tc>
        <w:tc>
          <w:tcPr>
            <w:tcW w:w="840" w:type="dxa"/>
            <w:vAlign w:val="bottom"/>
          </w:tcPr>
          <w:p>
            <w:pPr>
              <w:jc w:val="right"/>
              <w:ind w:right="43"/>
              <w:spacing w:after="0"/>
              <w:rPr>
                <w:sz w:val="20"/>
                <w:szCs w:val="20"/>
                <w:color w:val="auto"/>
              </w:rPr>
            </w:pPr>
            <w:r>
              <w:rPr>
                <w:rFonts w:ascii="Arial" w:cs="Arial" w:eastAsia="Arial" w:hAnsi="Arial"/>
                <w:sz w:val="11"/>
                <w:szCs w:val="11"/>
                <w:color w:val="auto"/>
              </w:rPr>
              <w:t>11</w:t>
            </w:r>
          </w:p>
        </w:tc>
        <w:tc>
          <w:tcPr>
            <w:tcW w:w="100" w:type="dxa"/>
            <w:vAlign w:val="bottom"/>
          </w:tcPr>
          <w:p>
            <w:pPr>
              <w:spacing w:after="0"/>
              <w:rPr>
                <w:sz w:val="16"/>
                <w:szCs w:val="16"/>
                <w:color w:val="auto"/>
              </w:rPr>
            </w:pPr>
          </w:p>
        </w:tc>
        <w:tc>
          <w:tcPr>
            <w:tcW w:w="180" w:type="dxa"/>
            <w:vAlign w:val="bottom"/>
          </w:tcPr>
          <w:p>
            <w:pPr>
              <w:jc w:val="right"/>
              <w:ind w:right="43"/>
              <w:spacing w:after="0"/>
              <w:rPr>
                <w:sz w:val="20"/>
                <w:szCs w:val="20"/>
                <w:color w:val="auto"/>
              </w:rPr>
            </w:pPr>
            <w:r>
              <w:rPr>
                <w:rFonts w:ascii="Arial" w:cs="Arial" w:eastAsia="Arial" w:hAnsi="Arial"/>
                <w:sz w:val="11"/>
                <w:szCs w:val="11"/>
                <w:color w:val="auto"/>
                <w:w w:val="97"/>
              </w:rPr>
              <w:t>$</w:t>
            </w:r>
          </w:p>
        </w:tc>
        <w:tc>
          <w:tcPr>
            <w:tcW w:w="960" w:type="dxa"/>
            <w:vAlign w:val="bottom"/>
          </w:tcPr>
          <w:p>
            <w:pPr>
              <w:jc w:val="right"/>
              <w:ind w:right="39"/>
              <w:spacing w:after="0"/>
              <w:rPr>
                <w:sz w:val="20"/>
                <w:szCs w:val="20"/>
                <w:color w:val="auto"/>
              </w:rPr>
            </w:pPr>
            <w:r>
              <w:rPr>
                <w:rFonts w:ascii="Arial" w:cs="Arial" w:eastAsia="Arial" w:hAnsi="Arial"/>
                <w:sz w:val="11"/>
                <w:szCs w:val="11"/>
                <w:color w:val="auto"/>
              </w:rPr>
              <w:t>210</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4" w:lineRule="exact"/>
        <w:rPr>
          <w:sz w:val="20"/>
          <w:szCs w:val="20"/>
          <w:color w:val="auto"/>
        </w:rPr>
      </w:pPr>
    </w:p>
    <w:p>
      <w:pPr>
        <w:ind w:left="520" w:hanging="255"/>
        <w:spacing w:after="0"/>
        <w:tabs>
          <w:tab w:leader="none" w:pos="520" w:val="left"/>
        </w:tabs>
        <w:numPr>
          <w:ilvl w:val="0"/>
          <w:numId w:val="39"/>
        </w:numPr>
        <w:rPr>
          <w:rFonts w:ascii="Arial" w:cs="Arial" w:eastAsia="Arial" w:hAnsi="Arial"/>
          <w:sz w:val="14"/>
          <w:szCs w:val="14"/>
          <w:color w:val="auto"/>
        </w:rPr>
      </w:pPr>
      <w:r>
        <w:rPr>
          <w:rFonts w:ascii="Arial" w:cs="Arial" w:eastAsia="Arial" w:hAnsi="Arial"/>
          <w:sz w:val="14"/>
          <w:szCs w:val="14"/>
          <w:color w:val="auto"/>
        </w:rPr>
        <w:t>CenterPoint Energy’s outstanding commercial paper generally has maturities of 60 days or less.</w:t>
      </w:r>
    </w:p>
    <w:p>
      <w:pPr>
        <w:spacing w:after="0" w:line="183" w:lineRule="exact"/>
        <w:rPr>
          <w:rFonts w:ascii="Arial" w:cs="Arial" w:eastAsia="Arial" w:hAnsi="Arial"/>
          <w:sz w:val="14"/>
          <w:szCs w:val="14"/>
          <w:color w:val="auto"/>
        </w:rPr>
      </w:pPr>
    </w:p>
    <w:p>
      <w:pPr>
        <w:ind w:left="520" w:hanging="255"/>
        <w:spacing w:after="0"/>
        <w:tabs>
          <w:tab w:leader="none" w:pos="520" w:val="left"/>
        </w:tabs>
        <w:numPr>
          <w:ilvl w:val="0"/>
          <w:numId w:val="39"/>
        </w:numPr>
        <w:rPr>
          <w:rFonts w:ascii="Arial" w:cs="Arial" w:eastAsia="Arial" w:hAnsi="Arial"/>
          <w:sz w:val="14"/>
          <w:szCs w:val="14"/>
          <w:color w:val="auto"/>
        </w:rPr>
      </w:pPr>
      <w:r>
        <w:rPr>
          <w:rFonts w:ascii="Arial" w:cs="Arial" w:eastAsia="Arial" w:hAnsi="Arial"/>
          <w:sz w:val="14"/>
          <w:szCs w:val="14"/>
          <w:color w:val="auto"/>
        </w:rPr>
        <w:t>This credit facility was issued by VUHI and is guaranteed by SIGECO, Indiana Gas and VEDO.</w:t>
      </w:r>
    </w:p>
    <w:p>
      <w:pPr>
        <w:spacing w:after="0" w:line="183" w:lineRule="exact"/>
        <w:rPr>
          <w:rFonts w:ascii="Arial" w:cs="Arial" w:eastAsia="Arial" w:hAnsi="Arial"/>
          <w:sz w:val="14"/>
          <w:szCs w:val="14"/>
          <w:color w:val="auto"/>
        </w:rPr>
      </w:pPr>
    </w:p>
    <w:p>
      <w:pPr>
        <w:ind w:left="520" w:hanging="255"/>
        <w:spacing w:after="0"/>
        <w:tabs>
          <w:tab w:leader="none" w:pos="520" w:val="left"/>
        </w:tabs>
        <w:numPr>
          <w:ilvl w:val="0"/>
          <w:numId w:val="39"/>
        </w:numPr>
        <w:rPr>
          <w:rFonts w:ascii="Arial" w:cs="Arial" w:eastAsia="Arial" w:hAnsi="Arial"/>
          <w:sz w:val="14"/>
          <w:szCs w:val="14"/>
          <w:color w:val="auto"/>
        </w:rPr>
      </w:pPr>
      <w:r>
        <w:rPr>
          <w:rFonts w:ascii="Arial" w:cs="Arial" w:eastAsia="Arial" w:hAnsi="Arial"/>
          <w:sz w:val="14"/>
          <w:szCs w:val="14"/>
          <w:color w:val="auto"/>
        </w:rPr>
        <w:t>This credit facility was issued by VCC and is guaranteed by Vectren.</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49</w:t>
      </w:r>
    </w:p>
    <w:p>
      <w:pPr>
        <w:sectPr>
          <w:pgSz w:w="11900" w:h="16838" w:orient="portrait"/>
          <w:cols w:equalWidth="0" w:num="1">
            <w:col w:w="11460"/>
          </w:cols>
          <w:pgMar w:left="220" w:top="129" w:right="219" w:bottom="1440" w:gutter="0" w:footer="0" w:header="0"/>
        </w:sectPr>
      </w:pPr>
    </w:p>
    <w:bookmarkStart w:id="59" w:name="page60"/>
    <w:bookmarkEnd w:id="59"/>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378" w:lineRule="exact"/>
        <w:rPr>
          <w:sz w:val="20"/>
          <w:szCs w:val="20"/>
          <w:color w:val="auto"/>
        </w:rPr>
      </w:pPr>
    </w:p>
    <w:p>
      <w:pPr>
        <w:jc w:val="both"/>
        <w:spacing w:after="0" w:line="272" w:lineRule="auto"/>
        <w:rPr>
          <w:sz w:val="20"/>
          <w:szCs w:val="20"/>
          <w:color w:val="auto"/>
        </w:rPr>
      </w:pPr>
      <w:r>
        <w:rPr>
          <w:rFonts w:ascii="Arial" w:cs="Arial" w:eastAsia="Arial" w:hAnsi="Arial"/>
          <w:sz w:val="14"/>
          <w:szCs w:val="14"/>
          <w:i w:val="1"/>
          <w:iCs w:val="1"/>
          <w:color w:val="auto"/>
        </w:rPr>
        <w:t xml:space="preserve">Other. </w:t>
      </w:r>
      <w:r>
        <w:rPr>
          <w:rFonts w:ascii="Arial" w:cs="Arial" w:eastAsia="Arial" w:hAnsi="Arial"/>
          <w:sz w:val="14"/>
          <w:szCs w:val="14"/>
          <w:color w:val="auto"/>
        </w:rPr>
        <w:t>As of September 30, 2019, certain financial institutions agreed to issue, from time to time, up to $50 million of letters of credit on behalf of Vectren and certain of its subsidiaries in exchange</w:t>
      </w:r>
      <w:r>
        <w:rPr>
          <w:rFonts w:ascii="Arial" w:cs="Arial" w:eastAsia="Arial" w:hAnsi="Arial"/>
          <w:sz w:val="14"/>
          <w:szCs w:val="14"/>
          <w:i w:val="1"/>
          <w:iCs w:val="1"/>
          <w:color w:val="auto"/>
        </w:rPr>
        <w:t xml:space="preserve"> </w:t>
      </w:r>
      <w:r>
        <w:rPr>
          <w:rFonts w:ascii="Arial" w:cs="Arial" w:eastAsia="Arial" w:hAnsi="Arial"/>
          <w:sz w:val="14"/>
          <w:szCs w:val="14"/>
          <w:color w:val="auto"/>
        </w:rPr>
        <w:t>for customary fees. These agreements to issue letters of credit expire on December 31, 2019. As of September 30, 2019, such financial institutions had issued $21 million of letters of credit on behalf of Vectren and certain of its subsidiaries.</w:t>
      </w:r>
    </w:p>
    <w:p>
      <w:pPr>
        <w:spacing w:after="0" w:line="142" w:lineRule="exact"/>
        <w:rPr>
          <w:sz w:val="20"/>
          <w:szCs w:val="20"/>
          <w:color w:val="auto"/>
        </w:rPr>
      </w:pPr>
    </w:p>
    <w:p>
      <w:pPr>
        <w:jc w:val="both"/>
        <w:ind w:firstLine="259"/>
        <w:spacing w:after="0" w:line="328" w:lineRule="auto"/>
        <w:rPr>
          <w:sz w:val="20"/>
          <w:szCs w:val="20"/>
          <w:color w:val="auto"/>
        </w:rPr>
      </w:pPr>
      <w:r>
        <w:rPr>
          <w:rFonts w:ascii="Arial" w:cs="Arial" w:eastAsia="Arial" w:hAnsi="Arial"/>
          <w:sz w:val="13"/>
          <w:szCs w:val="13"/>
          <w:color w:val="auto"/>
        </w:rPr>
        <w:t>Houston Electric had $68 million and $68 million of general mortgage bonds outstanding as of September 30, 2019 and December 31, 2018, respectively, as collateral for long-term debt of CenterPoint Energy that matures in 2028. These bonds are not reflected in Houston Electric’s consolidated financial statements because of the contingent nature of the obligations.</w:t>
      </w:r>
    </w:p>
    <w:p>
      <w:pPr>
        <w:spacing w:after="0" w:line="10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(13) Income Taxes</w:t>
      </w:r>
    </w:p>
    <w:p>
      <w:pPr>
        <w:spacing w:after="0" w:line="188"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Registrants reported the following effective tax rates: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5100" w:type="dxa"/>
            <w:vAlign w:val="bottom"/>
          </w:tcPr>
          <w:p>
            <w:pPr>
              <w:spacing w:after="0"/>
              <w:rPr>
                <w:sz w:val="13"/>
                <w:szCs w:val="13"/>
                <w:color w:val="auto"/>
              </w:rPr>
            </w:pPr>
          </w:p>
        </w:tc>
        <w:tc>
          <w:tcPr>
            <w:tcW w:w="2660" w:type="dxa"/>
            <w:vAlign w:val="bottom"/>
            <w:tcBorders>
              <w:bottom w:val="single" w:sz="8" w:color="auto"/>
            </w:tcBorders>
            <w:gridSpan w:val="4"/>
          </w:tcPr>
          <w:p>
            <w:pPr>
              <w:jc w:val="right"/>
              <w:ind w:right="143"/>
              <w:spacing w:after="0"/>
              <w:rPr>
                <w:sz w:val="20"/>
                <w:szCs w:val="20"/>
                <w:color w:val="auto"/>
              </w:rPr>
            </w:pPr>
            <w:r>
              <w:rPr>
                <w:rFonts w:ascii="Arial" w:cs="Arial" w:eastAsia="Arial" w:hAnsi="Arial"/>
                <w:sz w:val="11"/>
                <w:szCs w:val="11"/>
                <w:b w:val="1"/>
                <w:bCs w:val="1"/>
                <w:color w:val="auto"/>
              </w:rPr>
              <w:t>Three Months Ended September 30,</w:t>
            </w:r>
          </w:p>
        </w:tc>
        <w:tc>
          <w:tcPr>
            <w:tcW w:w="4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3120" w:type="dxa"/>
            <w:vAlign w:val="bottom"/>
            <w:tcBorders>
              <w:bottom w:val="single" w:sz="8" w:color="auto"/>
            </w:tcBorders>
            <w:gridSpan w:val="3"/>
          </w:tcPr>
          <w:p>
            <w:pPr>
              <w:jc w:val="right"/>
              <w:ind w:right="631"/>
              <w:spacing w:after="0"/>
              <w:rPr>
                <w:sz w:val="20"/>
                <w:szCs w:val="20"/>
                <w:color w:val="auto"/>
              </w:rPr>
            </w:pPr>
            <w:r>
              <w:rPr>
                <w:rFonts w:ascii="Arial" w:cs="Arial" w:eastAsia="Arial" w:hAnsi="Arial"/>
                <w:sz w:val="11"/>
                <w:szCs w:val="11"/>
                <w:b w:val="1"/>
                <w:bCs w:val="1"/>
                <w:color w:val="auto"/>
              </w:rPr>
              <w:t>Nine Months Ended September 30,</w:t>
            </w:r>
          </w:p>
        </w:tc>
      </w:tr>
      <w:tr>
        <w:trPr>
          <w:trHeight w:val="206"/>
        </w:trPr>
        <w:tc>
          <w:tcPr>
            <w:tcW w:w="510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b w:val="1"/>
                <w:bCs w:val="1"/>
                <w:color w:val="auto"/>
              </w:rPr>
              <w:t>2019</w:t>
            </w:r>
          </w:p>
        </w:tc>
        <w:tc>
          <w:tcPr>
            <w:tcW w:w="5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jc w:val="right"/>
              <w:ind w:right="123"/>
              <w:spacing w:after="0"/>
              <w:rPr>
                <w:sz w:val="20"/>
                <w:szCs w:val="20"/>
                <w:color w:val="auto"/>
              </w:rPr>
            </w:pPr>
            <w:r>
              <w:rPr>
                <w:rFonts w:ascii="Arial" w:cs="Arial" w:eastAsia="Arial" w:hAnsi="Arial"/>
                <w:sz w:val="11"/>
                <w:szCs w:val="11"/>
                <w:b w:val="1"/>
                <w:bCs w:val="1"/>
                <w:color w:val="auto"/>
              </w:rPr>
              <w:t>2018</w:t>
            </w:r>
          </w:p>
        </w:tc>
        <w:tc>
          <w:tcPr>
            <w:tcW w:w="46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500" w:type="dxa"/>
            <w:vAlign w:val="bottom"/>
            <w:tcBorders>
              <w:bottom w:val="single" w:sz="8" w:color="auto"/>
            </w:tcBorders>
          </w:tcPr>
          <w:p>
            <w:pPr>
              <w:jc w:val="right"/>
              <w:ind w:right="573"/>
              <w:spacing w:after="0"/>
              <w:rPr>
                <w:sz w:val="20"/>
                <w:szCs w:val="20"/>
                <w:color w:val="auto"/>
              </w:rPr>
            </w:pPr>
            <w:r>
              <w:rPr>
                <w:rFonts w:ascii="Arial" w:cs="Arial" w:eastAsia="Arial" w:hAnsi="Arial"/>
                <w:sz w:val="11"/>
                <w:szCs w:val="11"/>
                <w:b w:val="1"/>
                <w:bCs w:val="1"/>
                <w:color w:val="auto"/>
              </w:rPr>
              <w:t>2019</w:t>
            </w:r>
          </w:p>
        </w:tc>
        <w:tc>
          <w:tcPr>
            <w:tcW w:w="120" w:type="dxa"/>
            <w:vAlign w:val="bottom"/>
            <w:tcBorders>
              <w:bottom w:val="single" w:sz="8" w:color="CCEEFF"/>
            </w:tcBorders>
          </w:tcPr>
          <w:p>
            <w:pPr>
              <w:spacing w:after="0"/>
              <w:rPr>
                <w:sz w:val="17"/>
                <w:szCs w:val="17"/>
                <w:color w:val="auto"/>
              </w:rPr>
            </w:pPr>
          </w:p>
        </w:tc>
        <w:tc>
          <w:tcPr>
            <w:tcW w:w="1500" w:type="dxa"/>
            <w:vAlign w:val="bottom"/>
            <w:tcBorders>
              <w:bottom w:val="single" w:sz="8" w:color="auto"/>
            </w:tcBorders>
          </w:tcPr>
          <w:p>
            <w:pPr>
              <w:jc w:val="right"/>
              <w:ind w:right="571"/>
              <w:spacing w:after="0"/>
              <w:rPr>
                <w:sz w:val="20"/>
                <w:szCs w:val="20"/>
                <w:color w:val="auto"/>
              </w:rPr>
            </w:pPr>
            <w:r>
              <w:rPr>
                <w:rFonts w:ascii="Arial" w:cs="Arial" w:eastAsia="Arial" w:hAnsi="Arial"/>
                <w:sz w:val="11"/>
                <w:szCs w:val="11"/>
                <w:b w:val="1"/>
                <w:bCs w:val="1"/>
                <w:color w:val="auto"/>
              </w:rPr>
              <w:t>2018</w:t>
            </w:r>
          </w:p>
        </w:tc>
      </w:tr>
      <w:tr>
        <w:trPr>
          <w:trHeight w:val="191"/>
        </w:trPr>
        <w:tc>
          <w:tcPr>
            <w:tcW w:w="6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 xml:space="preserve">CenterPoint Energy </w:t>
            </w:r>
            <w:r>
              <w:rPr>
                <w:rFonts w:ascii="Arial" w:cs="Arial" w:eastAsia="Arial" w:hAnsi="Arial"/>
                <w:sz w:val="11"/>
                <w:szCs w:val="11"/>
                <w:color w:val="auto"/>
              </w:rPr>
              <w:t>(1)</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10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120" w:type="dxa"/>
            <w:vAlign w:val="bottom"/>
            <w:tcBorders>
              <w:bottom w:val="single" w:sz="8" w:color="CCEEFF"/>
            </w:tcBorders>
            <w:shd w:val="clear" w:color="auto" w:fill="CCEEFF"/>
          </w:tcPr>
          <w:p>
            <w:pPr>
              <w:spacing w:after="0"/>
              <w:rPr>
                <w:sz w:val="16"/>
                <w:szCs w:val="16"/>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20" w:type="dxa"/>
            <w:vAlign w:val="bottom"/>
            <w:tcBorders>
              <w:bottom w:val="single" w:sz="8" w:color="CCEEFF"/>
            </w:tcBorders>
            <w:shd w:val="clear" w:color="auto" w:fill="CCEEFF"/>
          </w:tcPr>
          <w:p>
            <w:pPr>
              <w:spacing w:after="0"/>
              <w:rPr>
                <w:sz w:val="16"/>
                <w:szCs w:val="16"/>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w:t>
            </w:r>
          </w:p>
        </w:tc>
      </w:tr>
      <w:tr>
        <w:trPr>
          <w:trHeight w:val="193"/>
        </w:trPr>
        <w:tc>
          <w:tcPr>
            <w:tcW w:w="6120" w:type="dxa"/>
            <w:vAlign w:val="bottom"/>
            <w:gridSpan w:val="2"/>
          </w:tcPr>
          <w:p>
            <w:pPr>
              <w:ind w:left="20"/>
              <w:spacing w:after="0"/>
              <w:rPr>
                <w:sz w:val="20"/>
                <w:szCs w:val="20"/>
                <w:color w:val="auto"/>
              </w:rPr>
            </w:pPr>
            <w:r>
              <w:rPr>
                <w:rFonts w:ascii="Arial" w:cs="Arial" w:eastAsia="Arial" w:hAnsi="Arial"/>
                <w:sz w:val="14"/>
                <w:szCs w:val="14"/>
                <w:color w:val="auto"/>
              </w:rPr>
              <w:t xml:space="preserve">Houston Electric </w:t>
            </w:r>
            <w:r>
              <w:rPr>
                <w:rFonts w:ascii="Arial" w:cs="Arial" w:eastAsia="Arial" w:hAnsi="Arial"/>
                <w:sz w:val="11"/>
                <w:szCs w:val="11"/>
                <w:color w:val="auto"/>
              </w:rPr>
              <w:t>(2)</w:t>
            </w:r>
          </w:p>
        </w:tc>
        <w:tc>
          <w:tcPr>
            <w:tcW w:w="500" w:type="dxa"/>
            <w:vAlign w:val="bottom"/>
          </w:tcPr>
          <w:p>
            <w:pPr>
              <w:jc w:val="right"/>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20%</w:t>
            </w:r>
          </w:p>
        </w:tc>
        <w:tc>
          <w:tcPr>
            <w:tcW w:w="12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18%</w:t>
            </w:r>
          </w:p>
        </w:tc>
        <w:tc>
          <w:tcPr>
            <w:tcW w:w="12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21%</w:t>
            </w:r>
          </w:p>
        </w:tc>
      </w:tr>
      <w:tr>
        <w:trPr>
          <w:trHeight w:val="23"/>
        </w:trPr>
        <w:tc>
          <w:tcPr>
            <w:tcW w:w="5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196"/>
        </w:trPr>
        <w:tc>
          <w:tcPr>
            <w:tcW w:w="6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 xml:space="preserve">CERC - Continuing operations </w:t>
            </w:r>
            <w:r>
              <w:rPr>
                <w:rFonts w:ascii="Arial" w:cs="Arial" w:eastAsia="Arial" w:hAnsi="Arial"/>
                <w:sz w:val="11"/>
                <w:szCs w:val="11"/>
                <w:color w:val="auto"/>
              </w:rPr>
              <w:t>(3) (4)</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0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20" w:type="dxa"/>
            <w:vAlign w:val="bottom"/>
            <w:tcBorders>
              <w:bottom w:val="single" w:sz="8" w:color="CCEEFF"/>
            </w:tcBorders>
            <w:shd w:val="clear" w:color="auto" w:fill="CCEEFF"/>
          </w:tcPr>
          <w:p>
            <w:pPr>
              <w:spacing w:after="0"/>
              <w:rPr>
                <w:sz w:val="17"/>
                <w:szCs w:val="17"/>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20" w:type="dxa"/>
            <w:vAlign w:val="bottom"/>
            <w:tcBorders>
              <w:bottom w:val="single" w:sz="8" w:color="CCEEFF"/>
            </w:tcBorders>
            <w:shd w:val="clear" w:color="auto" w:fill="CCEEFF"/>
          </w:tcPr>
          <w:p>
            <w:pPr>
              <w:spacing w:after="0"/>
              <w:rPr>
                <w:sz w:val="17"/>
                <w:szCs w:val="17"/>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29%</w:t>
            </w:r>
          </w:p>
        </w:tc>
      </w:tr>
      <w:tr>
        <w:trPr>
          <w:trHeight w:val="193"/>
        </w:trPr>
        <w:tc>
          <w:tcPr>
            <w:tcW w:w="6120" w:type="dxa"/>
            <w:vAlign w:val="bottom"/>
            <w:gridSpan w:val="2"/>
          </w:tcPr>
          <w:p>
            <w:pPr>
              <w:ind w:left="20"/>
              <w:spacing w:after="0"/>
              <w:rPr>
                <w:sz w:val="20"/>
                <w:szCs w:val="20"/>
                <w:color w:val="auto"/>
              </w:rPr>
            </w:pPr>
            <w:r>
              <w:rPr>
                <w:rFonts w:ascii="Arial" w:cs="Arial" w:eastAsia="Arial" w:hAnsi="Arial"/>
                <w:sz w:val="14"/>
                <w:szCs w:val="14"/>
                <w:color w:val="auto"/>
              </w:rPr>
              <w:t xml:space="preserve">CERC - Discontinued operations </w:t>
            </w:r>
            <w:r>
              <w:rPr>
                <w:rFonts w:ascii="Arial" w:cs="Arial" w:eastAsia="Arial" w:hAnsi="Arial"/>
                <w:sz w:val="11"/>
                <w:szCs w:val="11"/>
                <w:color w:val="auto"/>
              </w:rPr>
              <w:t>(5)</w:t>
            </w:r>
          </w:p>
        </w:tc>
        <w:tc>
          <w:tcPr>
            <w:tcW w:w="1640" w:type="dxa"/>
            <w:vAlign w:val="bottom"/>
            <w:gridSpan w:val="3"/>
          </w:tcPr>
          <w:p>
            <w:pPr>
              <w:jc w:val="right"/>
              <w:ind w:right="1243"/>
              <w:spacing w:after="0"/>
              <w:rPr>
                <w:sz w:val="20"/>
                <w:szCs w:val="20"/>
                <w:color w:val="auto"/>
              </w:rPr>
            </w:pPr>
            <w:r>
              <w:rPr>
                <w:rFonts w:ascii="Arial" w:cs="Arial" w:eastAsia="Arial" w:hAnsi="Arial"/>
                <w:sz w:val="14"/>
                <w:szCs w:val="14"/>
                <w:color w:val="auto"/>
              </w:rPr>
              <w:t>n/a</w:t>
            </w:r>
          </w:p>
        </w:tc>
        <w:tc>
          <w:tcPr>
            <w:tcW w:w="460" w:type="dxa"/>
            <w:vAlign w:val="bottom"/>
          </w:tcPr>
          <w:p>
            <w:pPr>
              <w:jc w:val="right"/>
              <w:spacing w:after="0"/>
              <w:rPr>
                <w:sz w:val="20"/>
                <w:szCs w:val="20"/>
                <w:color w:val="auto"/>
              </w:rPr>
            </w:pPr>
            <w:r>
              <w:rPr>
                <w:rFonts w:ascii="Arial" w:cs="Arial" w:eastAsia="Arial" w:hAnsi="Arial"/>
                <w:sz w:val="14"/>
                <w:szCs w:val="14"/>
                <w:color w:val="auto"/>
              </w:rPr>
              <w:t>23%</w:t>
            </w:r>
          </w:p>
        </w:tc>
        <w:tc>
          <w:tcPr>
            <w:tcW w:w="120" w:type="dxa"/>
            <w:vAlign w:val="bottom"/>
          </w:tcPr>
          <w:p>
            <w:pPr>
              <w:spacing w:after="0"/>
              <w:rPr>
                <w:sz w:val="16"/>
                <w:szCs w:val="16"/>
                <w:color w:val="auto"/>
              </w:rPr>
            </w:pPr>
          </w:p>
        </w:tc>
        <w:tc>
          <w:tcPr>
            <w:tcW w:w="1620" w:type="dxa"/>
            <w:vAlign w:val="bottom"/>
            <w:gridSpan w:val="2"/>
          </w:tcPr>
          <w:p>
            <w:pPr>
              <w:ind w:left="1180"/>
              <w:spacing w:after="0"/>
              <w:rPr>
                <w:sz w:val="20"/>
                <w:szCs w:val="20"/>
                <w:color w:val="auto"/>
              </w:rPr>
            </w:pPr>
            <w:r>
              <w:rPr>
                <w:rFonts w:ascii="Arial" w:cs="Arial" w:eastAsia="Arial" w:hAnsi="Arial"/>
                <w:sz w:val="14"/>
                <w:szCs w:val="14"/>
                <w:color w:val="auto"/>
              </w:rPr>
              <w:t>n/a</w:t>
            </w:r>
          </w:p>
        </w:tc>
        <w:tc>
          <w:tcPr>
            <w:tcW w:w="1500" w:type="dxa"/>
            <w:vAlign w:val="bottom"/>
          </w:tcPr>
          <w:p>
            <w:pPr>
              <w:jc w:val="right"/>
              <w:spacing w:after="0"/>
              <w:rPr>
                <w:sz w:val="20"/>
                <w:szCs w:val="20"/>
                <w:color w:val="auto"/>
              </w:rPr>
            </w:pPr>
            <w:r>
              <w:rPr>
                <w:rFonts w:ascii="Arial" w:cs="Arial" w:eastAsia="Arial" w:hAnsi="Arial"/>
                <w:sz w:val="14"/>
                <w:szCs w:val="14"/>
                <w:color w:val="auto"/>
              </w:rPr>
              <w:t>24%</w:t>
            </w:r>
          </w:p>
        </w:tc>
      </w:tr>
    </w:tbl>
    <w:p>
      <w:pPr>
        <w:spacing w:after="0" w:line="184" w:lineRule="exact"/>
        <w:rPr>
          <w:sz w:val="20"/>
          <w:szCs w:val="20"/>
          <w:color w:val="auto"/>
        </w:rPr>
      </w:pPr>
    </w:p>
    <w:p>
      <w:pPr>
        <w:jc w:val="both"/>
        <w:ind w:left="520" w:hanging="255"/>
        <w:spacing w:after="0" w:line="272" w:lineRule="auto"/>
        <w:tabs>
          <w:tab w:leader="none" w:pos="520" w:val="left"/>
        </w:tabs>
        <w:numPr>
          <w:ilvl w:val="0"/>
          <w:numId w:val="40"/>
        </w:numPr>
        <w:rPr>
          <w:rFonts w:ascii="Arial" w:cs="Arial" w:eastAsia="Arial" w:hAnsi="Arial"/>
          <w:sz w:val="14"/>
          <w:szCs w:val="14"/>
          <w:color w:val="auto"/>
        </w:rPr>
      </w:pPr>
      <w:r>
        <w:rPr>
          <w:rFonts w:ascii="Arial" w:cs="Arial" w:eastAsia="Arial" w:hAnsi="Arial"/>
          <w:sz w:val="14"/>
          <w:szCs w:val="14"/>
          <w:color w:val="auto"/>
        </w:rPr>
        <w:t>CenterPoint Energy’s lower effective tax rate for the three and nine months ended September 30, 2019 compared to the same periods for 2018 was primarily due to the following: an increase in the amount of amortization of the net regulatory EDIT liability; the effect of state tax law changes that resulted in the remeasurement of state deferred taxes; and the impact of changes in valuation allowances on certain state net operating losses.</w:t>
      </w:r>
    </w:p>
    <w:p>
      <w:pPr>
        <w:spacing w:after="0" w:line="142" w:lineRule="exact"/>
        <w:rPr>
          <w:rFonts w:ascii="Arial" w:cs="Arial" w:eastAsia="Arial" w:hAnsi="Arial"/>
          <w:sz w:val="14"/>
          <w:szCs w:val="14"/>
          <w:color w:val="auto"/>
        </w:rPr>
      </w:pPr>
    </w:p>
    <w:p>
      <w:pPr>
        <w:ind w:left="520" w:hanging="255"/>
        <w:spacing w:after="0" w:line="288" w:lineRule="auto"/>
        <w:tabs>
          <w:tab w:leader="none" w:pos="520" w:val="left"/>
        </w:tabs>
        <w:numPr>
          <w:ilvl w:val="0"/>
          <w:numId w:val="40"/>
        </w:numPr>
        <w:rPr>
          <w:rFonts w:ascii="Arial" w:cs="Arial" w:eastAsia="Arial" w:hAnsi="Arial"/>
          <w:sz w:val="14"/>
          <w:szCs w:val="14"/>
          <w:color w:val="auto"/>
        </w:rPr>
      </w:pPr>
      <w:r>
        <w:rPr>
          <w:rFonts w:ascii="Arial" w:cs="Arial" w:eastAsia="Arial" w:hAnsi="Arial"/>
          <w:sz w:val="14"/>
          <w:szCs w:val="14"/>
          <w:color w:val="auto"/>
        </w:rPr>
        <w:t>Houston Electric’s lower effective tax rate for the three and nine months ended September 30, 2019 compared to the same periods for 2018 was primarily due to an increase in the amount of amortization of the net regulatory EDIT liability.</w:t>
      </w:r>
    </w:p>
    <w:p>
      <w:pPr>
        <w:spacing w:after="0" w:line="130" w:lineRule="exact"/>
        <w:rPr>
          <w:rFonts w:ascii="Arial" w:cs="Arial" w:eastAsia="Arial" w:hAnsi="Arial"/>
          <w:sz w:val="14"/>
          <w:szCs w:val="14"/>
          <w:color w:val="auto"/>
        </w:rPr>
      </w:pPr>
    </w:p>
    <w:p>
      <w:pPr>
        <w:jc w:val="both"/>
        <w:ind w:left="520" w:hanging="255"/>
        <w:spacing w:after="0" w:line="272" w:lineRule="auto"/>
        <w:tabs>
          <w:tab w:leader="none" w:pos="520" w:val="left"/>
        </w:tabs>
        <w:numPr>
          <w:ilvl w:val="0"/>
          <w:numId w:val="40"/>
        </w:numPr>
        <w:rPr>
          <w:rFonts w:ascii="Arial" w:cs="Arial" w:eastAsia="Arial" w:hAnsi="Arial"/>
          <w:sz w:val="14"/>
          <w:szCs w:val="14"/>
          <w:color w:val="auto"/>
        </w:rPr>
      </w:pPr>
      <w:r>
        <w:rPr>
          <w:rFonts w:ascii="Arial" w:cs="Arial" w:eastAsia="Arial" w:hAnsi="Arial"/>
          <w:sz w:val="14"/>
          <w:szCs w:val="14"/>
          <w:color w:val="auto"/>
        </w:rPr>
        <w:t>CERC’s higher effective tax rate on loss from continuing operations for the three months ended September 30, 2019 compared to the same period for 2018 was primarily due to a decrease in the amount of amortization of the net regulatory EDIT liability, which was partially offset by the absence of a change in the valuation allowance on certain state net operating losses in the three months ended September 30, 2019, the effects of which are compounded by the book loss in the three months ended September 30, 2019.</w:t>
      </w:r>
    </w:p>
    <w:p>
      <w:pPr>
        <w:spacing w:after="0" w:line="142" w:lineRule="exact"/>
        <w:rPr>
          <w:rFonts w:ascii="Arial" w:cs="Arial" w:eastAsia="Arial" w:hAnsi="Arial"/>
          <w:sz w:val="14"/>
          <w:szCs w:val="14"/>
          <w:color w:val="auto"/>
        </w:rPr>
      </w:pPr>
    </w:p>
    <w:p>
      <w:pPr>
        <w:jc w:val="both"/>
        <w:ind w:left="520" w:hanging="255"/>
        <w:spacing w:after="0" w:line="272" w:lineRule="auto"/>
        <w:tabs>
          <w:tab w:leader="none" w:pos="520" w:val="left"/>
        </w:tabs>
        <w:numPr>
          <w:ilvl w:val="0"/>
          <w:numId w:val="40"/>
        </w:numPr>
        <w:rPr>
          <w:rFonts w:ascii="Arial" w:cs="Arial" w:eastAsia="Arial" w:hAnsi="Arial"/>
          <w:sz w:val="14"/>
          <w:szCs w:val="14"/>
          <w:color w:val="auto"/>
        </w:rPr>
      </w:pPr>
      <w:r>
        <w:rPr>
          <w:rFonts w:ascii="Arial" w:cs="Arial" w:eastAsia="Arial" w:hAnsi="Arial"/>
          <w:sz w:val="14"/>
          <w:szCs w:val="14"/>
          <w:color w:val="auto"/>
        </w:rPr>
        <w:t>CERC’s lower effective tax rate on income from continuing operations for the nine months ended September 30, 2019 compared to the same period for 2018 was primarily due to an increase in the amount of amortization of the net regulatory EDIT liability, which was partially offset by the impact of changes in the valuation allowances on certain state net operating losses in 2019.</w:t>
      </w:r>
    </w:p>
    <w:p>
      <w:pPr>
        <w:spacing w:after="0" w:line="142" w:lineRule="exact"/>
        <w:rPr>
          <w:rFonts w:ascii="Arial" w:cs="Arial" w:eastAsia="Arial" w:hAnsi="Arial"/>
          <w:sz w:val="14"/>
          <w:szCs w:val="14"/>
          <w:color w:val="auto"/>
        </w:rPr>
      </w:pPr>
    </w:p>
    <w:p>
      <w:pPr>
        <w:ind w:left="520" w:hanging="255"/>
        <w:spacing w:after="0" w:line="288" w:lineRule="auto"/>
        <w:tabs>
          <w:tab w:leader="none" w:pos="520" w:val="left"/>
        </w:tabs>
        <w:numPr>
          <w:ilvl w:val="0"/>
          <w:numId w:val="40"/>
        </w:numPr>
        <w:rPr>
          <w:rFonts w:ascii="Arial" w:cs="Arial" w:eastAsia="Arial" w:hAnsi="Arial"/>
          <w:sz w:val="14"/>
          <w:szCs w:val="14"/>
          <w:color w:val="auto"/>
        </w:rPr>
      </w:pPr>
      <w:r>
        <w:rPr>
          <w:rFonts w:ascii="Arial" w:cs="Arial" w:eastAsia="Arial" w:hAnsi="Arial"/>
          <w:sz w:val="14"/>
          <w:szCs w:val="14"/>
          <w:color w:val="auto"/>
        </w:rPr>
        <w:t>CERC’s effective tax rate on income from discontinued operations for the three and nine months ended September 30, 2018 was a result of the 21% federal income tax rate plus allocable state income taxes. There are no comparable periods in 2019 since the Internal Spin was completed in the third quarter of 2018.</w:t>
      </w:r>
    </w:p>
    <w:p>
      <w:pPr>
        <w:spacing w:after="0" w:line="131" w:lineRule="exact"/>
        <w:rPr>
          <w:sz w:val="20"/>
          <w:szCs w:val="20"/>
          <w:color w:val="auto"/>
        </w:rPr>
      </w:pPr>
    </w:p>
    <w:p>
      <w:pPr>
        <w:jc w:val="both"/>
        <w:ind w:firstLine="259"/>
        <w:spacing w:after="0" w:line="267" w:lineRule="auto"/>
        <w:rPr>
          <w:sz w:val="20"/>
          <w:szCs w:val="20"/>
          <w:color w:val="auto"/>
        </w:rPr>
      </w:pPr>
      <w:r>
        <w:rPr>
          <w:rFonts w:ascii="Arial" w:cs="Arial" w:eastAsia="Arial" w:hAnsi="Arial"/>
          <w:sz w:val="14"/>
          <w:szCs w:val="14"/>
          <w:color w:val="auto"/>
        </w:rPr>
        <w:t>The Registrants reported a net uncertain tax liability inclusive of interest and penalties of less than $1 million as of September 30, 2019, which reflects a release of approximately $1 million following the completion of Vectren’s 2016 IRS audit. No significant changes to the uncertain tax liability are expected over the next twelve months. For legacy CenterPoint Energy, tax years through 2016 have been audited and settled with the IRS; however, CenterPoint Energy filed amended returns for 2014 and 2015 to claim additional tax credits that are currently under review by the IRS. For the 2017 - 2019 tax years, CenterPoint Energy is a participant in the IRS’s Compliance Assurance Process.</w:t>
      </w:r>
    </w:p>
    <w:p>
      <w:pPr>
        <w:spacing w:after="0" w:line="142" w:lineRule="exact"/>
        <w:rPr>
          <w:sz w:val="20"/>
          <w:szCs w:val="20"/>
          <w:color w:val="auto"/>
        </w:rPr>
      </w:pPr>
    </w:p>
    <w:p>
      <w:pPr>
        <w:ind w:left="280" w:hanging="274"/>
        <w:spacing w:after="0"/>
        <w:tabs>
          <w:tab w:leader="none" w:pos="280" w:val="left"/>
        </w:tabs>
        <w:numPr>
          <w:ilvl w:val="0"/>
          <w:numId w:val="41"/>
        </w:numPr>
        <w:rPr>
          <w:rFonts w:ascii="Arial" w:cs="Arial" w:eastAsia="Arial" w:hAnsi="Arial"/>
          <w:sz w:val="14"/>
          <w:szCs w:val="14"/>
          <w:b w:val="1"/>
          <w:bCs w:val="1"/>
          <w:color w:val="auto"/>
        </w:rPr>
      </w:pPr>
      <w:r>
        <w:rPr>
          <w:rFonts w:ascii="Arial" w:cs="Arial" w:eastAsia="Arial" w:hAnsi="Arial"/>
          <w:sz w:val="14"/>
          <w:szCs w:val="14"/>
          <w:b w:val="1"/>
          <w:bCs w:val="1"/>
          <w:color w:val="auto"/>
        </w:rPr>
        <w:t>Commitments and Contingencies</w:t>
      </w:r>
    </w:p>
    <w:p>
      <w:pPr>
        <w:spacing w:after="0" w:line="187" w:lineRule="exact"/>
        <w:rPr>
          <w:rFonts w:ascii="Arial" w:cs="Arial" w:eastAsia="Arial" w:hAnsi="Arial"/>
          <w:sz w:val="14"/>
          <w:szCs w:val="14"/>
          <w:b w:val="1"/>
          <w:bCs w:val="1"/>
          <w:color w:val="auto"/>
        </w:rPr>
      </w:pPr>
    </w:p>
    <w:p>
      <w:pPr>
        <w:ind w:left="520" w:hanging="255"/>
        <w:spacing w:after="0"/>
        <w:tabs>
          <w:tab w:leader="none" w:pos="520" w:val="left"/>
        </w:tabs>
        <w:numPr>
          <w:ilvl w:val="1"/>
          <w:numId w:val="41"/>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Purchase Obligations (CenterPoint Energy and CERC)</w:t>
      </w:r>
    </w:p>
    <w:p>
      <w:pPr>
        <w:spacing w:after="0" w:line="184" w:lineRule="exact"/>
        <w:rPr>
          <w:sz w:val="20"/>
          <w:szCs w:val="20"/>
          <w:color w:val="auto"/>
        </w:rPr>
      </w:pPr>
    </w:p>
    <w:p>
      <w:pPr>
        <w:ind w:firstLine="259"/>
        <w:spacing w:after="0" w:line="328" w:lineRule="auto"/>
        <w:rPr>
          <w:sz w:val="20"/>
          <w:szCs w:val="20"/>
          <w:color w:val="auto"/>
        </w:rPr>
      </w:pPr>
      <w:r>
        <w:rPr>
          <w:rFonts w:ascii="Arial" w:cs="Arial" w:eastAsia="Arial" w:hAnsi="Arial"/>
          <w:sz w:val="13"/>
          <w:szCs w:val="13"/>
          <w:color w:val="auto"/>
        </w:rPr>
        <w:t>Commitments include minimum purchase obligations related to CenterPoint Energy’s and CERC’s Natural Gas Distribution and Energy Services reportable segments and CenterPoint Energy’s Indiana Electric Integrated reportable segment. Contracts with minimum payment provisions have various quantity requirements and durations and are not classified as non-trading derivative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50</w:t>
      </w:r>
    </w:p>
    <w:p>
      <w:pPr>
        <w:sectPr>
          <w:pgSz w:w="11900" w:h="16838" w:orient="portrait"/>
          <w:cols w:equalWidth="0" w:num="1">
            <w:col w:w="11460"/>
          </w:cols>
          <w:pgMar w:left="220" w:top="129" w:right="219" w:bottom="1440" w:gutter="0" w:footer="0" w:header="0"/>
        </w:sectPr>
      </w:pPr>
    </w:p>
    <w:bookmarkStart w:id="60" w:name="page61"/>
    <w:bookmarkEnd w:id="60"/>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205" w:lineRule="exact"/>
        <w:rPr>
          <w:sz w:val="20"/>
          <w:szCs w:val="20"/>
          <w:color w:val="auto"/>
        </w:rPr>
      </w:pPr>
    </w:p>
    <w:p>
      <w:pPr>
        <w:jc w:val="both"/>
        <w:spacing w:after="0" w:line="328" w:lineRule="auto"/>
        <w:rPr>
          <w:sz w:val="20"/>
          <w:szCs w:val="20"/>
          <w:color w:val="auto"/>
        </w:rPr>
      </w:pPr>
      <w:r>
        <w:rPr>
          <w:rFonts w:ascii="Arial" w:cs="Arial" w:eastAsia="Arial" w:hAnsi="Arial"/>
          <w:sz w:val="13"/>
          <w:szCs w:val="13"/>
          <w:color w:val="auto"/>
        </w:rPr>
        <w:t>assets and liabilities in CenterPoint Energy’s and CERC’s Condensed Consolidated Balance Sheets as of September 30, 2019 and December 31, 2018. These contracts meet an exception as “normal purchases contracts” or do not meet the definition of a derivative. Natural gas and coal supply commitments also include transportation contracts that do not meet the definition of a derivative.</w:t>
      </w:r>
    </w:p>
    <w:p>
      <w:pPr>
        <w:spacing w:after="0" w:line="109" w:lineRule="exact"/>
        <w:rPr>
          <w:sz w:val="20"/>
          <w:szCs w:val="20"/>
          <w:color w:val="auto"/>
        </w:rPr>
      </w:pPr>
    </w:p>
    <w:p>
      <w:pPr>
        <w:ind w:left="260"/>
        <w:spacing w:after="0"/>
        <w:rPr>
          <w:sz w:val="20"/>
          <w:szCs w:val="20"/>
          <w:color w:val="auto"/>
        </w:rPr>
      </w:pPr>
      <w:r>
        <w:rPr>
          <w:rFonts w:ascii="Arial" w:cs="Arial" w:eastAsia="Arial" w:hAnsi="Arial"/>
          <w:sz w:val="14"/>
          <w:szCs w:val="14"/>
          <w:color w:val="auto"/>
        </w:rPr>
        <w:t>As of September 30, 2019, minimum purchase obligations are approximately:</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768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tcPr>
          <w:p>
            <w:pPr>
              <w:jc w:val="right"/>
              <w:ind w:right="371"/>
              <w:spacing w:after="0"/>
              <w:rPr>
                <w:sz w:val="20"/>
                <w:szCs w:val="20"/>
                <w:color w:val="auto"/>
              </w:rPr>
            </w:pPr>
            <w:r>
              <w:rPr>
                <w:rFonts w:ascii="Arial" w:cs="Arial" w:eastAsia="Arial" w:hAnsi="Arial"/>
                <w:sz w:val="11"/>
                <w:szCs w:val="11"/>
                <w:b w:val="1"/>
                <w:bCs w:val="1"/>
                <w:color w:val="auto"/>
              </w:rPr>
              <w:t>CenterPoint Energy</w:t>
            </w:r>
          </w:p>
        </w:tc>
        <w:tc>
          <w:tcPr>
            <w:tcW w:w="60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670"/>
              <w:spacing w:after="0"/>
              <w:rPr>
                <w:sz w:val="20"/>
                <w:szCs w:val="20"/>
                <w:color w:val="auto"/>
              </w:rPr>
            </w:pPr>
            <w:r>
              <w:rPr>
                <w:rFonts w:ascii="Arial" w:cs="Arial" w:eastAsia="Arial" w:hAnsi="Arial"/>
                <w:sz w:val="11"/>
                <w:szCs w:val="11"/>
                <w:b w:val="1"/>
                <w:bCs w:val="1"/>
                <w:color w:val="auto"/>
              </w:rPr>
              <w:t>CERC</w:t>
            </w:r>
          </w:p>
        </w:tc>
      </w:tr>
      <w:tr>
        <w:trPr>
          <w:trHeight w:val="196"/>
        </w:trPr>
        <w:tc>
          <w:tcPr>
            <w:tcW w:w="7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180" w:type="dxa"/>
            <w:vAlign w:val="bottom"/>
            <w:gridSpan w:val="2"/>
          </w:tcPr>
          <w:p>
            <w:pPr>
              <w:jc w:val="right"/>
              <w:ind w:right="188"/>
              <w:spacing w:after="0"/>
              <w:rPr>
                <w:sz w:val="20"/>
                <w:szCs w:val="20"/>
                <w:color w:val="auto"/>
              </w:rPr>
            </w:pPr>
            <w:r>
              <w:rPr>
                <w:rFonts w:ascii="Arial" w:cs="Arial" w:eastAsia="Arial" w:hAnsi="Arial"/>
                <w:sz w:val="11"/>
                <w:szCs w:val="11"/>
                <w:b w:val="1"/>
                <w:bCs w:val="1"/>
                <w:color w:val="auto"/>
              </w:rPr>
              <w:t>(in millions)</w:t>
            </w:r>
          </w:p>
        </w:tc>
        <w:tc>
          <w:tcPr>
            <w:tcW w:w="1320" w:type="dxa"/>
            <w:vAlign w:val="bottom"/>
          </w:tcPr>
          <w:p>
            <w:pPr>
              <w:spacing w:after="0"/>
              <w:rPr>
                <w:sz w:val="17"/>
                <w:szCs w:val="17"/>
                <w:color w:val="auto"/>
              </w:rPr>
            </w:pPr>
          </w:p>
        </w:tc>
      </w:tr>
      <w:tr>
        <w:trPr>
          <w:trHeight w:val="200"/>
        </w:trPr>
        <w:tc>
          <w:tcPr>
            <w:tcW w:w="7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Remaining three months of 2019</w:t>
            </w:r>
          </w:p>
        </w:tc>
        <w:tc>
          <w:tcPr>
            <w:tcW w:w="28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5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217</w:t>
            </w:r>
          </w:p>
        </w:tc>
        <w:tc>
          <w:tcPr>
            <w:tcW w:w="600" w:type="dxa"/>
            <w:vAlign w:val="bottom"/>
            <w:tcBorders>
              <w:bottom w:val="single" w:sz="8" w:color="CCEEFF"/>
            </w:tcBorders>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160</w:t>
            </w:r>
          </w:p>
        </w:tc>
      </w:tr>
      <w:tr>
        <w:trPr>
          <w:trHeight w:val="193"/>
        </w:trPr>
        <w:tc>
          <w:tcPr>
            <w:tcW w:w="7680" w:type="dxa"/>
            <w:vAlign w:val="bottom"/>
          </w:tcPr>
          <w:p>
            <w:pPr>
              <w:ind w:left="20"/>
              <w:spacing w:after="0"/>
              <w:rPr>
                <w:sz w:val="20"/>
                <w:szCs w:val="20"/>
                <w:color w:val="auto"/>
              </w:rPr>
            </w:pPr>
            <w:r>
              <w:rPr>
                <w:rFonts w:ascii="Arial" w:cs="Arial" w:eastAsia="Arial" w:hAnsi="Arial"/>
                <w:sz w:val="14"/>
                <w:szCs w:val="14"/>
                <w:color w:val="auto"/>
              </w:rPr>
              <w:t>2020</w:t>
            </w:r>
          </w:p>
        </w:tc>
        <w:tc>
          <w:tcPr>
            <w:tcW w:w="280" w:type="dxa"/>
            <w:vAlign w:val="bottom"/>
          </w:tcPr>
          <w:p>
            <w:pPr>
              <w:spacing w:after="0"/>
              <w:rPr>
                <w:sz w:val="16"/>
                <w:szCs w:val="16"/>
                <w:color w:val="auto"/>
              </w:rPr>
            </w:pPr>
          </w:p>
        </w:tc>
        <w:tc>
          <w:tcPr>
            <w:tcW w:w="1580" w:type="dxa"/>
            <w:vAlign w:val="bottom"/>
          </w:tcPr>
          <w:p>
            <w:pPr>
              <w:jc w:val="right"/>
              <w:ind w:right="51"/>
              <w:spacing w:after="0"/>
              <w:rPr>
                <w:sz w:val="20"/>
                <w:szCs w:val="20"/>
                <w:color w:val="auto"/>
              </w:rPr>
            </w:pPr>
            <w:r>
              <w:rPr>
                <w:rFonts w:ascii="Arial" w:cs="Arial" w:eastAsia="Arial" w:hAnsi="Arial"/>
                <w:sz w:val="14"/>
                <w:szCs w:val="14"/>
                <w:color w:val="auto"/>
              </w:rPr>
              <w:t>745</w:t>
            </w:r>
          </w:p>
        </w:tc>
        <w:tc>
          <w:tcPr>
            <w:tcW w:w="600" w:type="dxa"/>
            <w:vAlign w:val="bottom"/>
          </w:tcPr>
          <w:p>
            <w:pPr>
              <w:spacing w:after="0"/>
              <w:rPr>
                <w:sz w:val="16"/>
                <w:szCs w:val="16"/>
                <w:color w:val="auto"/>
              </w:rPr>
            </w:pPr>
          </w:p>
        </w:tc>
        <w:tc>
          <w:tcPr>
            <w:tcW w:w="1320" w:type="dxa"/>
            <w:vAlign w:val="bottom"/>
          </w:tcPr>
          <w:p>
            <w:pPr>
              <w:jc w:val="right"/>
              <w:ind w:right="30"/>
              <w:spacing w:after="0"/>
              <w:rPr>
                <w:sz w:val="20"/>
                <w:szCs w:val="20"/>
                <w:color w:val="auto"/>
              </w:rPr>
            </w:pPr>
            <w:r>
              <w:rPr>
                <w:rFonts w:ascii="Arial" w:cs="Arial" w:eastAsia="Arial" w:hAnsi="Arial"/>
                <w:sz w:val="14"/>
                <w:szCs w:val="14"/>
                <w:color w:val="auto"/>
              </w:rPr>
              <w:t>528</w:t>
            </w:r>
          </w:p>
        </w:tc>
      </w:tr>
      <w:tr>
        <w:trPr>
          <w:trHeight w:val="23"/>
        </w:trPr>
        <w:tc>
          <w:tcPr>
            <w:tcW w:w="7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96"/>
        </w:trPr>
        <w:tc>
          <w:tcPr>
            <w:tcW w:w="7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2021</w:t>
            </w:r>
          </w:p>
        </w:tc>
        <w:tc>
          <w:tcPr>
            <w:tcW w:w="280" w:type="dxa"/>
            <w:vAlign w:val="bottom"/>
            <w:tcBorders>
              <w:bottom w:val="single" w:sz="8" w:color="CCEEFF"/>
            </w:tcBorders>
            <w:shd w:val="clear" w:color="auto" w:fill="CCEEFF"/>
          </w:tcPr>
          <w:p>
            <w:pPr>
              <w:spacing w:after="0"/>
              <w:rPr>
                <w:sz w:val="17"/>
                <w:szCs w:val="17"/>
                <w:color w:val="auto"/>
              </w:rPr>
            </w:pPr>
          </w:p>
        </w:tc>
        <w:tc>
          <w:tcPr>
            <w:tcW w:w="15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614</w:t>
            </w:r>
          </w:p>
        </w:tc>
        <w:tc>
          <w:tcPr>
            <w:tcW w:w="60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429</w:t>
            </w:r>
          </w:p>
        </w:tc>
      </w:tr>
      <w:tr>
        <w:trPr>
          <w:trHeight w:val="193"/>
        </w:trPr>
        <w:tc>
          <w:tcPr>
            <w:tcW w:w="7680" w:type="dxa"/>
            <w:vAlign w:val="bottom"/>
          </w:tcPr>
          <w:p>
            <w:pPr>
              <w:ind w:left="20"/>
              <w:spacing w:after="0"/>
              <w:rPr>
                <w:sz w:val="20"/>
                <w:szCs w:val="20"/>
                <w:color w:val="auto"/>
              </w:rPr>
            </w:pPr>
            <w:r>
              <w:rPr>
                <w:rFonts w:ascii="Arial" w:cs="Arial" w:eastAsia="Arial" w:hAnsi="Arial"/>
                <w:sz w:val="14"/>
                <w:szCs w:val="14"/>
                <w:color w:val="auto"/>
              </w:rPr>
              <w:t>2022</w:t>
            </w:r>
          </w:p>
        </w:tc>
        <w:tc>
          <w:tcPr>
            <w:tcW w:w="280" w:type="dxa"/>
            <w:vAlign w:val="bottom"/>
          </w:tcPr>
          <w:p>
            <w:pPr>
              <w:spacing w:after="0"/>
              <w:rPr>
                <w:sz w:val="16"/>
                <w:szCs w:val="16"/>
                <w:color w:val="auto"/>
              </w:rPr>
            </w:pPr>
          </w:p>
        </w:tc>
        <w:tc>
          <w:tcPr>
            <w:tcW w:w="1580" w:type="dxa"/>
            <w:vAlign w:val="bottom"/>
          </w:tcPr>
          <w:p>
            <w:pPr>
              <w:jc w:val="right"/>
              <w:ind w:right="51"/>
              <w:spacing w:after="0"/>
              <w:rPr>
                <w:sz w:val="20"/>
                <w:szCs w:val="20"/>
                <w:color w:val="auto"/>
              </w:rPr>
            </w:pPr>
            <w:r>
              <w:rPr>
                <w:rFonts w:ascii="Arial" w:cs="Arial" w:eastAsia="Arial" w:hAnsi="Arial"/>
                <w:sz w:val="14"/>
                <w:szCs w:val="14"/>
                <w:color w:val="auto"/>
              </w:rPr>
              <w:t>412</w:t>
            </w:r>
          </w:p>
        </w:tc>
        <w:tc>
          <w:tcPr>
            <w:tcW w:w="600" w:type="dxa"/>
            <w:vAlign w:val="bottom"/>
          </w:tcPr>
          <w:p>
            <w:pPr>
              <w:spacing w:after="0"/>
              <w:rPr>
                <w:sz w:val="16"/>
                <w:szCs w:val="16"/>
                <w:color w:val="auto"/>
              </w:rPr>
            </w:pPr>
          </w:p>
        </w:tc>
        <w:tc>
          <w:tcPr>
            <w:tcW w:w="1320" w:type="dxa"/>
            <w:vAlign w:val="bottom"/>
          </w:tcPr>
          <w:p>
            <w:pPr>
              <w:jc w:val="right"/>
              <w:ind w:right="30"/>
              <w:spacing w:after="0"/>
              <w:rPr>
                <w:sz w:val="20"/>
                <w:szCs w:val="20"/>
                <w:color w:val="auto"/>
              </w:rPr>
            </w:pPr>
            <w:r>
              <w:rPr>
                <w:rFonts w:ascii="Arial" w:cs="Arial" w:eastAsia="Arial" w:hAnsi="Arial"/>
                <w:sz w:val="14"/>
                <w:szCs w:val="14"/>
                <w:color w:val="auto"/>
              </w:rPr>
              <w:t>235</w:t>
            </w:r>
          </w:p>
        </w:tc>
      </w:tr>
      <w:tr>
        <w:trPr>
          <w:trHeight w:val="23"/>
        </w:trPr>
        <w:tc>
          <w:tcPr>
            <w:tcW w:w="7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96"/>
        </w:trPr>
        <w:tc>
          <w:tcPr>
            <w:tcW w:w="7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2023</w:t>
            </w:r>
          </w:p>
        </w:tc>
        <w:tc>
          <w:tcPr>
            <w:tcW w:w="280" w:type="dxa"/>
            <w:vAlign w:val="bottom"/>
            <w:tcBorders>
              <w:bottom w:val="single" w:sz="8" w:color="CCEEFF"/>
            </w:tcBorders>
            <w:shd w:val="clear" w:color="auto" w:fill="CCEEFF"/>
          </w:tcPr>
          <w:p>
            <w:pPr>
              <w:spacing w:after="0"/>
              <w:rPr>
                <w:sz w:val="17"/>
                <w:szCs w:val="17"/>
                <w:color w:val="auto"/>
              </w:rPr>
            </w:pPr>
          </w:p>
        </w:tc>
        <w:tc>
          <w:tcPr>
            <w:tcW w:w="15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330</w:t>
            </w:r>
          </w:p>
        </w:tc>
        <w:tc>
          <w:tcPr>
            <w:tcW w:w="60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177</w:t>
            </w:r>
          </w:p>
        </w:tc>
      </w:tr>
      <w:tr>
        <w:trPr>
          <w:trHeight w:val="193"/>
        </w:trPr>
        <w:tc>
          <w:tcPr>
            <w:tcW w:w="7680" w:type="dxa"/>
            <w:vAlign w:val="bottom"/>
          </w:tcPr>
          <w:p>
            <w:pPr>
              <w:ind w:left="20"/>
              <w:spacing w:after="0"/>
              <w:rPr>
                <w:sz w:val="20"/>
                <w:szCs w:val="20"/>
                <w:color w:val="auto"/>
              </w:rPr>
            </w:pPr>
            <w:r>
              <w:rPr>
                <w:rFonts w:ascii="Arial" w:cs="Arial" w:eastAsia="Arial" w:hAnsi="Arial"/>
                <w:sz w:val="14"/>
                <w:szCs w:val="14"/>
                <w:color w:val="auto"/>
              </w:rPr>
              <w:t>2024</w:t>
            </w:r>
          </w:p>
        </w:tc>
        <w:tc>
          <w:tcPr>
            <w:tcW w:w="280" w:type="dxa"/>
            <w:vAlign w:val="bottom"/>
          </w:tcPr>
          <w:p>
            <w:pPr>
              <w:spacing w:after="0"/>
              <w:rPr>
                <w:sz w:val="16"/>
                <w:szCs w:val="16"/>
                <w:color w:val="auto"/>
              </w:rPr>
            </w:pPr>
          </w:p>
        </w:tc>
        <w:tc>
          <w:tcPr>
            <w:tcW w:w="1580" w:type="dxa"/>
            <w:vAlign w:val="bottom"/>
          </w:tcPr>
          <w:p>
            <w:pPr>
              <w:jc w:val="right"/>
              <w:ind w:right="51"/>
              <w:spacing w:after="0"/>
              <w:rPr>
                <w:sz w:val="20"/>
                <w:szCs w:val="20"/>
                <w:color w:val="auto"/>
              </w:rPr>
            </w:pPr>
            <w:r>
              <w:rPr>
                <w:rFonts w:ascii="Arial" w:cs="Arial" w:eastAsia="Arial" w:hAnsi="Arial"/>
                <w:sz w:val="14"/>
                <w:szCs w:val="14"/>
                <w:color w:val="auto"/>
              </w:rPr>
              <w:t>265</w:t>
            </w:r>
          </w:p>
        </w:tc>
        <w:tc>
          <w:tcPr>
            <w:tcW w:w="600" w:type="dxa"/>
            <w:vAlign w:val="bottom"/>
          </w:tcPr>
          <w:p>
            <w:pPr>
              <w:spacing w:after="0"/>
              <w:rPr>
                <w:sz w:val="16"/>
                <w:szCs w:val="16"/>
                <w:color w:val="auto"/>
              </w:rPr>
            </w:pPr>
          </w:p>
        </w:tc>
        <w:tc>
          <w:tcPr>
            <w:tcW w:w="1320" w:type="dxa"/>
            <w:vAlign w:val="bottom"/>
          </w:tcPr>
          <w:p>
            <w:pPr>
              <w:jc w:val="right"/>
              <w:ind w:right="30"/>
              <w:spacing w:after="0"/>
              <w:rPr>
                <w:sz w:val="20"/>
                <w:szCs w:val="20"/>
                <w:color w:val="auto"/>
              </w:rPr>
            </w:pPr>
            <w:r>
              <w:rPr>
                <w:rFonts w:ascii="Arial" w:cs="Arial" w:eastAsia="Arial" w:hAnsi="Arial"/>
                <w:sz w:val="14"/>
                <w:szCs w:val="14"/>
                <w:color w:val="auto"/>
              </w:rPr>
              <w:t>169</w:t>
            </w:r>
          </w:p>
        </w:tc>
      </w:tr>
      <w:tr>
        <w:trPr>
          <w:trHeight w:val="23"/>
        </w:trPr>
        <w:tc>
          <w:tcPr>
            <w:tcW w:w="7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93"/>
        </w:trPr>
        <w:tc>
          <w:tcPr>
            <w:tcW w:w="7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2025 and beyond</w:t>
            </w:r>
          </w:p>
        </w:tc>
        <w:tc>
          <w:tcPr>
            <w:tcW w:w="280" w:type="dxa"/>
            <w:vAlign w:val="bottom"/>
            <w:shd w:val="clear" w:color="auto" w:fill="CCEEFF"/>
          </w:tcPr>
          <w:p>
            <w:pPr>
              <w:spacing w:after="0"/>
              <w:rPr>
                <w:sz w:val="16"/>
                <w:szCs w:val="16"/>
                <w:color w:val="auto"/>
              </w:rPr>
            </w:pPr>
          </w:p>
        </w:tc>
        <w:tc>
          <w:tcPr>
            <w:tcW w:w="158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1,846</w:t>
            </w:r>
          </w:p>
        </w:tc>
        <w:tc>
          <w:tcPr>
            <w:tcW w:w="600" w:type="dxa"/>
            <w:vAlign w:val="bottom"/>
            <w:shd w:val="clear" w:color="auto" w:fill="CCEEFF"/>
          </w:tcPr>
          <w:p>
            <w:pPr>
              <w:spacing w:after="0"/>
              <w:rPr>
                <w:sz w:val="16"/>
                <w:szCs w:val="16"/>
                <w:color w:val="auto"/>
              </w:rPr>
            </w:pP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1,483</w:t>
            </w:r>
          </w:p>
        </w:tc>
      </w:tr>
      <w:tr>
        <w:trPr>
          <w:trHeight w:val="23"/>
        </w:trPr>
        <w:tc>
          <w:tcPr>
            <w:tcW w:w="76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58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1320" w:type="dxa"/>
            <w:vAlign w:val="bottom"/>
            <w:shd w:val="clear" w:color="auto" w:fill="CCEEFF"/>
          </w:tcPr>
          <w:p>
            <w:pPr>
              <w:spacing w:after="0" w:line="20" w:lineRule="exact"/>
              <w:rPr>
                <w:sz w:val="1"/>
                <w:szCs w:val="1"/>
                <w:color w:val="auto"/>
              </w:rPr>
            </w:pPr>
          </w:p>
        </w:tc>
      </w:tr>
    </w:tbl>
    <w:p>
      <w:pPr>
        <w:spacing w:after="0" w:line="334" w:lineRule="exact"/>
        <w:rPr>
          <w:sz w:val="20"/>
          <w:szCs w:val="20"/>
          <w:color w:val="auto"/>
        </w:rPr>
      </w:pPr>
    </w:p>
    <w:p>
      <w:pPr>
        <w:jc w:val="both"/>
        <w:ind w:firstLine="259"/>
        <w:spacing w:after="0" w:line="328" w:lineRule="auto"/>
        <w:rPr>
          <w:sz w:val="20"/>
          <w:szCs w:val="20"/>
          <w:color w:val="auto"/>
        </w:rPr>
      </w:pPr>
      <w:r>
        <w:rPr>
          <w:rFonts w:ascii="Arial" w:cs="Arial" w:eastAsia="Arial" w:hAnsi="Arial"/>
          <w:sz w:val="13"/>
          <w:szCs w:val="13"/>
          <w:color w:val="auto"/>
        </w:rPr>
        <w:t>Indiana Electric Integrated also has other purchased power agreements that do not have minimum thresholds but do require payment when energy is generated by the provider. Costs arising from certain of these commitments are pass-through costs, generally collected dollar-for-dollar from retail customers through regulator-approved cost recovery mechanisms.</w:t>
      </w:r>
    </w:p>
    <w:p>
      <w:pPr>
        <w:spacing w:after="0" w:line="109"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(b) Guarantees and Product Warranties (CenterPoint Energy)</w:t>
      </w:r>
    </w:p>
    <w:p>
      <w:pPr>
        <w:spacing w:after="0" w:line="184" w:lineRule="exact"/>
        <w:rPr>
          <w:sz w:val="20"/>
          <w:szCs w:val="20"/>
          <w:color w:val="auto"/>
        </w:rPr>
      </w:pPr>
    </w:p>
    <w:p>
      <w:pPr>
        <w:jc w:val="both"/>
        <w:ind w:firstLine="259"/>
        <w:spacing w:after="0" w:line="288" w:lineRule="auto"/>
        <w:rPr>
          <w:sz w:val="20"/>
          <w:szCs w:val="20"/>
          <w:color w:val="auto"/>
        </w:rPr>
      </w:pPr>
      <w:r>
        <w:rPr>
          <w:rFonts w:ascii="Arial" w:cs="Arial" w:eastAsia="Arial" w:hAnsi="Arial"/>
          <w:sz w:val="14"/>
          <w:szCs w:val="14"/>
          <w:color w:val="auto"/>
        </w:rPr>
        <w:t>In the normal course of business, ESG enters into contracts requiring it to timely install infrastructure, operate facilities, pay vendors and subcontractors and support warranty obligations and, at times, issue payment and performance bonds and other forms of assurance in connection with these contracts.</w:t>
      </w:r>
    </w:p>
    <w:p>
      <w:pPr>
        <w:spacing w:after="0" w:line="131" w:lineRule="exact"/>
        <w:rPr>
          <w:sz w:val="20"/>
          <w:szCs w:val="20"/>
          <w:color w:val="auto"/>
        </w:rPr>
      </w:pPr>
    </w:p>
    <w:p>
      <w:pPr>
        <w:jc w:val="both"/>
        <w:ind w:firstLine="259"/>
        <w:spacing w:after="0" w:line="285" w:lineRule="auto"/>
        <w:rPr>
          <w:sz w:val="20"/>
          <w:szCs w:val="20"/>
          <w:color w:val="auto"/>
        </w:rPr>
      </w:pPr>
      <w:r>
        <w:rPr>
          <w:rFonts w:ascii="Arial" w:cs="Arial" w:eastAsia="Arial" w:hAnsi="Arial"/>
          <w:sz w:val="13"/>
          <w:szCs w:val="13"/>
          <w:color w:val="auto"/>
        </w:rPr>
        <w:t>Specific to ESG’s role as a general contractor in the performance contracting industry, as of September 30, 2019, there were 63 open surety bonds supporting future performance with an aggregate face amount of approximately $627 million. ESG’s exposure is less than the face amount of the surety bonds and is limited to the level of uncompleted work under the contracts. As of September 30, 2019, approximately 35% of the work was yet to be completed on projects with open surety bonds. Further, various subcontractors issue surety bonds to ESG. In addition to these performance obligations, ESG also warrants the functionality of certain installed infrastructure generally for one year and the associated energy savings over a specified number of years. Since ESG’s inception in 1994, CenterPoint Energy believes ESG has had a history of generally meeting its performance obligations and energy savings guarantees and its installed products operating effectively. CenterPoint Energy assessed the fair value of its obligation for such guarantees as of September 30, 2019 and no amounts were recorded on CenterPoint Energy’s Condensed Consolidated Balance Sheets. The Merger purchase price allocation, including the fair value of liabilities for guarantees on the Merger Date, remains preliminary. See Note 3.</w:t>
      </w:r>
    </w:p>
    <w:p>
      <w:pPr>
        <w:spacing w:after="0" w:line="137" w:lineRule="exact"/>
        <w:rPr>
          <w:sz w:val="20"/>
          <w:szCs w:val="20"/>
          <w:color w:val="auto"/>
        </w:rPr>
      </w:pPr>
    </w:p>
    <w:p>
      <w:pPr>
        <w:jc w:val="both"/>
        <w:ind w:firstLine="259"/>
        <w:spacing w:after="0" w:line="285" w:lineRule="auto"/>
        <w:rPr>
          <w:sz w:val="20"/>
          <w:szCs w:val="20"/>
          <w:color w:val="auto"/>
        </w:rPr>
      </w:pPr>
      <w:r>
        <w:rPr>
          <w:rFonts w:ascii="Arial" w:cs="Arial" w:eastAsia="Arial" w:hAnsi="Arial"/>
          <w:sz w:val="13"/>
          <w:szCs w:val="13"/>
          <w:color w:val="auto"/>
        </w:rPr>
        <w:t>CenterPoint Energy issues parent company level guarantees to certain vendors, customers and other commercial counterparties of ESG. These guarantees do not represent incremental consolidated obligations, but rather, represent guarantees of subsidiary obligations to allow those subsidiaries to conduct business without posting other forms of assurance. As of September 30, 2019, CenterPoint Energy, primarily through Vectren, has issued parent company level guarantees supporting ESG’s obligations. For those obligations where potential exposure can be estimated, management estimates the maximum exposure under these guarantees to be approximately $498 million as of September 30, 2019. This exposure primarily relates to energy savings guarantees on federal energy savings performance contracts. Other parent company level guarantees, certain of which do not contain a cap on potential liability, have been issued in support of federal operations and maintenance projects for which a maximum exposure cannot be estimated based on the nature of the projects. While there can be no assurance that performance under any of these parent company guarantees will not be required in the future, CenterPoint Energy considers the likelihood of a material amount being incurred as remote.</w:t>
      </w:r>
    </w:p>
    <w:p>
      <w:pPr>
        <w:spacing w:after="0" w:line="137" w:lineRule="exact"/>
        <w:rPr>
          <w:sz w:val="20"/>
          <w:szCs w:val="20"/>
          <w:color w:val="auto"/>
        </w:rPr>
      </w:pPr>
    </w:p>
    <w:p>
      <w:pPr>
        <w:ind w:left="140" w:right="8500" w:firstLine="125"/>
        <w:spacing w:after="0" w:line="514" w:lineRule="auto"/>
        <w:tabs>
          <w:tab w:leader="none" w:pos="528" w:val="left"/>
        </w:tabs>
        <w:numPr>
          <w:ilvl w:val="0"/>
          <w:numId w:val="42"/>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Legal, Environmental and Other Matters Legal Matters</w:t>
      </w:r>
    </w:p>
    <w:p>
      <w:pPr>
        <w:jc w:val="both"/>
        <w:ind w:firstLine="259"/>
        <w:spacing w:after="0" w:line="272" w:lineRule="auto"/>
        <w:rPr>
          <w:sz w:val="20"/>
          <w:szCs w:val="20"/>
          <w:color w:val="auto"/>
        </w:rPr>
      </w:pPr>
      <w:r>
        <w:rPr>
          <w:rFonts w:ascii="Arial" w:cs="Arial" w:eastAsia="Arial" w:hAnsi="Arial"/>
          <w:sz w:val="14"/>
          <w:szCs w:val="14"/>
          <w:i w:val="1"/>
          <w:iCs w:val="1"/>
          <w:color w:val="auto"/>
        </w:rPr>
        <w:t>Gas Market Manipulation Cases (CenterPoint Energy and CERC)</w:t>
      </w:r>
      <w:r>
        <w:rPr>
          <w:rFonts w:ascii="Arial" w:cs="Arial" w:eastAsia="Arial" w:hAnsi="Arial"/>
          <w:sz w:val="14"/>
          <w:szCs w:val="14"/>
          <w:color w:val="auto"/>
        </w:rPr>
        <w:t>. CenterPoint Energy, its predecessor, Reliant Energy, and certain of their former subsidiaries were named as defendants in a</w:t>
      </w:r>
      <w:r>
        <w:rPr>
          <w:rFonts w:ascii="Arial" w:cs="Arial" w:eastAsia="Arial" w:hAnsi="Arial"/>
          <w:sz w:val="14"/>
          <w:szCs w:val="14"/>
          <w:i w:val="1"/>
          <w:iCs w:val="1"/>
          <w:color w:val="auto"/>
        </w:rPr>
        <w:t xml:space="preserve"> </w:t>
      </w:r>
      <w:r>
        <w:rPr>
          <w:rFonts w:ascii="Arial" w:cs="Arial" w:eastAsia="Arial" w:hAnsi="Arial"/>
          <w:sz w:val="14"/>
          <w:szCs w:val="14"/>
          <w:color w:val="auto"/>
        </w:rPr>
        <w:t>large number of lawsuits filed against numerous gas market participants in a number of federal and western state courts in connection with the operation of the natural gas markets in 2000-2002. CenterPoint Energy and its affiliates were released or dismissed from all such cases, except for one case in federal court in Nevada</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51</w:t>
      </w:r>
    </w:p>
    <w:p>
      <w:pPr>
        <w:sectPr>
          <w:pgSz w:w="11900" w:h="16838" w:orient="portrait"/>
          <w:cols w:equalWidth="0" w:num="1">
            <w:col w:w="11460"/>
          </w:cols>
          <w:pgMar w:left="220" w:top="129" w:right="219" w:bottom="1440" w:gutter="0" w:footer="0" w:header="0"/>
        </w:sectPr>
      </w:pPr>
    </w:p>
    <w:bookmarkStart w:id="61" w:name="page62"/>
    <w:bookmarkEnd w:id="61"/>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205"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in which CES, a subsidiary of CERC, was a defendant. Plaintiffs in that case alleged a conspiracy to inflate Wisconsin natural gas prices in 2000-2002. In October 2018, CES reached an agreement to settle all claims against CES and CES’s claims for indemnity. During the third quarter of 2019, the federal district court issued final approval of the settlement and dismissed the case, and CES completed the required settlement payments; the settlement agreement has now become final. This settlement did not have a material adverse effect on CenterPoint Energy’s or CERC’s financial condition, results of operations or cash flows.</w:t>
      </w:r>
    </w:p>
    <w:p>
      <w:pPr>
        <w:spacing w:after="0" w:line="146" w:lineRule="exact"/>
        <w:rPr>
          <w:sz w:val="20"/>
          <w:szCs w:val="20"/>
          <w:color w:val="auto"/>
        </w:rPr>
      </w:pPr>
    </w:p>
    <w:p>
      <w:pPr>
        <w:jc w:val="both"/>
        <w:ind w:firstLine="259"/>
        <w:spacing w:after="0" w:line="262" w:lineRule="auto"/>
        <w:rPr>
          <w:sz w:val="20"/>
          <w:szCs w:val="20"/>
          <w:color w:val="auto"/>
        </w:rPr>
      </w:pPr>
      <w:r>
        <w:rPr>
          <w:rFonts w:ascii="Arial" w:cs="Arial" w:eastAsia="Arial" w:hAnsi="Arial"/>
          <w:sz w:val="14"/>
          <w:szCs w:val="14"/>
          <w:i w:val="1"/>
          <w:iCs w:val="1"/>
          <w:color w:val="auto"/>
        </w:rPr>
        <w:t xml:space="preserve">Minnehaha Academy (CenterPoint Energy and CERC). </w:t>
      </w:r>
      <w:r>
        <w:rPr>
          <w:rFonts w:ascii="Arial" w:cs="Arial" w:eastAsia="Arial" w:hAnsi="Arial"/>
          <w:sz w:val="14"/>
          <w:szCs w:val="14"/>
          <w:color w:val="auto"/>
        </w:rPr>
        <w:t>On August 2, 2017, a natural gas explosion occurred at the Minnehaha Academy in Minneapolis, Minnesota, resulting in the deaths of two</w:t>
      </w:r>
      <w:r>
        <w:rPr>
          <w:rFonts w:ascii="Arial" w:cs="Arial" w:eastAsia="Arial" w:hAnsi="Arial"/>
          <w:sz w:val="14"/>
          <w:szCs w:val="14"/>
          <w:i w:val="1"/>
          <w:iCs w:val="1"/>
          <w:color w:val="auto"/>
        </w:rPr>
        <w:t xml:space="preserve"> </w:t>
      </w:r>
      <w:r>
        <w:rPr>
          <w:rFonts w:ascii="Arial" w:cs="Arial" w:eastAsia="Arial" w:hAnsi="Arial"/>
          <w:sz w:val="14"/>
          <w:szCs w:val="14"/>
          <w:color w:val="auto"/>
        </w:rPr>
        <w:t>school employees, serious injuries to others and significant property damage to the school. CenterPoint Energy, certain of its subsidiaries, including CERC, and the contractor company working in the school have been named in litigation arising out of this incident. CenterPoint Energy and CERC have reached confidential settlement agreements with some claimants. Additionally, CenterPoint Energy and CERC are cooperating with the ongoing investigation conducted by the National Transportation Safety Board. Further, CenterPoint Energy and CERC contested and have since reached a settlement regarding approximately $200,000 in fines imposed by the Minnesota Office of Pipeline Safety. In early 2018, the Minnesota Occupational Safety and Health Administration concluded its investigation without any adverse findings against CenterPoint Energy or CERC. CenterPoint Energy’s and CERC’s general and excess liability insurance policies provide coverage for third party bodily injury and property damage claims.</w:t>
      </w:r>
    </w:p>
    <w:p>
      <w:pPr>
        <w:spacing w:after="0" w:line="149" w:lineRule="exact"/>
        <w:rPr>
          <w:sz w:val="20"/>
          <w:szCs w:val="20"/>
          <w:color w:val="auto"/>
        </w:rPr>
      </w:pPr>
    </w:p>
    <w:p>
      <w:pPr>
        <w:jc w:val="both"/>
        <w:ind w:firstLine="259"/>
        <w:spacing w:after="0" w:line="285" w:lineRule="auto"/>
        <w:rPr>
          <w:sz w:val="20"/>
          <w:szCs w:val="20"/>
          <w:color w:val="auto"/>
        </w:rPr>
      </w:pPr>
      <w:r>
        <w:rPr>
          <w:rFonts w:ascii="Arial" w:cs="Arial" w:eastAsia="Arial" w:hAnsi="Arial"/>
          <w:sz w:val="13"/>
          <w:szCs w:val="13"/>
          <w:i w:val="1"/>
          <w:iCs w:val="1"/>
          <w:color w:val="auto"/>
        </w:rPr>
        <w:t xml:space="preserve">Litigation Related to the Merger (CenterPoint Energy). </w:t>
      </w:r>
      <w:r>
        <w:rPr>
          <w:rFonts w:ascii="Arial" w:cs="Arial" w:eastAsia="Arial" w:hAnsi="Arial"/>
          <w:sz w:val="13"/>
          <w:szCs w:val="13"/>
          <w:color w:val="auto"/>
        </w:rPr>
        <w:t>With respect to the Merger, in July 2018, seven separate lawsuits were filed against Vectren and the individual directors of Vectren’s Board</w:t>
      </w:r>
      <w:r>
        <w:rPr>
          <w:rFonts w:ascii="Arial" w:cs="Arial" w:eastAsia="Arial" w:hAnsi="Arial"/>
          <w:sz w:val="13"/>
          <w:szCs w:val="13"/>
          <w:i w:val="1"/>
          <w:iCs w:val="1"/>
          <w:color w:val="auto"/>
        </w:rPr>
        <w:t xml:space="preserve"> </w:t>
      </w:r>
      <w:r>
        <w:rPr>
          <w:rFonts w:ascii="Arial" w:cs="Arial" w:eastAsia="Arial" w:hAnsi="Arial"/>
          <w:sz w:val="13"/>
          <w:szCs w:val="13"/>
          <w:color w:val="auto"/>
        </w:rPr>
        <w:t>of Directors in the U.S. District Court for the Southern District of Indiana. These lawsuits alleged violations of Sections 14(a) of the Exchange Act and SEC Rule 14a-9 on the grounds that the Vectren Proxy Statement filed on June 18, 2018 was materially incomplete because it omitted material information concerning the Merger. In August 2018, the seven lawsuits were consolidated, and the Court denied the plaintiffs’ request for a preliminary injunction. In October 2018, the plaintiffs filed their Consolidated Amended Class Action Complaint. In December 2018, two plaintiffs voluntarily dismissed their lawsuits. In September 2019, the court granted the defendants’ motion to dismiss and dismissed the remaining plaintiffs’ claims with prejudice, which the plaintiffs appealed in October 2019. The defendants believe that the allegations asserted are without merit and intend to vigorously defend themselves against the claims raised. CenterPoint Energy does not expect the ultimate outcome of this matter to have a material adverse effect on its financial condition, results of operations or cash flows.</w:t>
      </w:r>
    </w:p>
    <w:p>
      <w:pPr>
        <w:spacing w:after="0" w:line="137" w:lineRule="exact"/>
        <w:rPr>
          <w:sz w:val="20"/>
          <w:szCs w:val="20"/>
          <w:color w:val="auto"/>
        </w:rPr>
      </w:pPr>
    </w:p>
    <w:p>
      <w:pPr>
        <w:ind w:left="140"/>
        <w:spacing w:after="0"/>
        <w:rPr>
          <w:sz w:val="20"/>
          <w:szCs w:val="20"/>
          <w:color w:val="auto"/>
        </w:rPr>
      </w:pPr>
      <w:r>
        <w:rPr>
          <w:rFonts w:ascii="Arial" w:cs="Arial" w:eastAsia="Arial" w:hAnsi="Arial"/>
          <w:sz w:val="14"/>
          <w:szCs w:val="14"/>
          <w:b w:val="1"/>
          <w:bCs w:val="1"/>
          <w:i w:val="1"/>
          <w:iCs w:val="1"/>
          <w:color w:val="auto"/>
        </w:rPr>
        <w:t>Environmental Matters</w:t>
      </w:r>
    </w:p>
    <w:p>
      <w:pPr>
        <w:spacing w:after="0" w:line="184" w:lineRule="exact"/>
        <w:rPr>
          <w:sz w:val="20"/>
          <w:szCs w:val="20"/>
          <w:color w:val="auto"/>
        </w:rPr>
      </w:pPr>
    </w:p>
    <w:p>
      <w:pPr>
        <w:jc w:val="both"/>
        <w:ind w:firstLine="259"/>
        <w:spacing w:after="0" w:line="325" w:lineRule="auto"/>
        <w:rPr>
          <w:sz w:val="20"/>
          <w:szCs w:val="20"/>
          <w:color w:val="auto"/>
        </w:rPr>
      </w:pPr>
      <w:r>
        <w:rPr>
          <w:rFonts w:ascii="Arial" w:cs="Arial" w:eastAsia="Arial" w:hAnsi="Arial"/>
          <w:sz w:val="12"/>
          <w:szCs w:val="12"/>
          <w:i w:val="1"/>
          <w:iCs w:val="1"/>
          <w:color w:val="auto"/>
        </w:rPr>
        <w:t xml:space="preserve">MGP Sites. </w:t>
      </w:r>
      <w:r>
        <w:rPr>
          <w:rFonts w:ascii="Arial" w:cs="Arial" w:eastAsia="Arial" w:hAnsi="Arial"/>
          <w:sz w:val="12"/>
          <w:szCs w:val="12"/>
          <w:color w:val="auto"/>
        </w:rPr>
        <w:t>CenterPoint Energy, CERC and their predecessors operated MGPs in the past. In addition, certain of CenterPoint Energy’s subsidiaries acquired through the Merger operated MGPs in</w:t>
      </w:r>
      <w:r>
        <w:rPr>
          <w:rFonts w:ascii="Arial" w:cs="Arial" w:eastAsia="Arial" w:hAnsi="Arial"/>
          <w:sz w:val="12"/>
          <w:szCs w:val="12"/>
          <w:i w:val="1"/>
          <w:iCs w:val="1"/>
          <w:color w:val="auto"/>
        </w:rPr>
        <w:t xml:space="preserve"> </w:t>
      </w:r>
      <w:r>
        <w:rPr>
          <w:rFonts w:ascii="Arial" w:cs="Arial" w:eastAsia="Arial" w:hAnsi="Arial"/>
          <w:sz w:val="12"/>
          <w:szCs w:val="12"/>
          <w:color w:val="auto"/>
        </w:rPr>
        <w:t>the past. The costs CenterPoint Energy or CERC, as applicable, expect to incur to fulfill their respective obligations are estimated by management using assumptions based on actual costs incurred, the timing of expected future payments and inflation factors, among others. While CenterPoint Energy and CERC have recorded all costs which they presently are obligated to incur in connection with activities at these sites, it is possible that future events may require remedial activities which are not presently foreseen, and those costs may not be subject to PRP or insurance recovery.</w:t>
      </w:r>
    </w:p>
    <w:p>
      <w:pPr>
        <w:spacing w:after="0" w:line="115" w:lineRule="exact"/>
        <w:rPr>
          <w:sz w:val="20"/>
          <w:szCs w:val="20"/>
          <w:color w:val="auto"/>
        </w:rPr>
      </w:pPr>
    </w:p>
    <w:p>
      <w:pPr>
        <w:jc w:val="both"/>
        <w:ind w:left="520" w:hanging="255"/>
        <w:spacing w:after="0" w:line="272" w:lineRule="auto"/>
        <w:tabs>
          <w:tab w:leader="none" w:pos="520" w:val="left"/>
        </w:tabs>
        <w:numPr>
          <w:ilvl w:val="0"/>
          <w:numId w:val="43"/>
        </w:numPr>
        <w:rPr>
          <w:rFonts w:ascii="Arial" w:cs="Arial" w:eastAsia="Arial" w:hAnsi="Arial"/>
          <w:sz w:val="14"/>
          <w:szCs w:val="14"/>
          <w:color w:val="auto"/>
        </w:rPr>
      </w:pPr>
      <w:r>
        <w:rPr>
          <w:rFonts w:ascii="Arial" w:cs="Arial" w:eastAsia="Arial" w:hAnsi="Arial"/>
          <w:sz w:val="14"/>
          <w:szCs w:val="14"/>
          <w:i w:val="1"/>
          <w:iCs w:val="1"/>
          <w:color w:val="auto"/>
        </w:rPr>
        <w:t>Minnesota MGPs (CenterPoint Energy and CERC)</w:t>
      </w:r>
      <w:r>
        <w:rPr>
          <w:rFonts w:ascii="Arial" w:cs="Arial" w:eastAsia="Arial" w:hAnsi="Arial"/>
          <w:sz w:val="14"/>
          <w:szCs w:val="14"/>
          <w:color w:val="auto"/>
        </w:rPr>
        <w:t>. With respect to certain Minnesota MGP sites, CenterPoint Energy and CERC have completed state-ordered remediation and continue</w:t>
      </w:r>
      <w:r>
        <w:rPr>
          <w:rFonts w:ascii="Arial" w:cs="Arial" w:eastAsia="Arial" w:hAnsi="Arial"/>
          <w:sz w:val="14"/>
          <w:szCs w:val="14"/>
          <w:i w:val="1"/>
          <w:iCs w:val="1"/>
          <w:color w:val="auto"/>
        </w:rPr>
        <w:t xml:space="preserve"> </w:t>
      </w:r>
      <w:r>
        <w:rPr>
          <w:rFonts w:ascii="Arial" w:cs="Arial" w:eastAsia="Arial" w:hAnsi="Arial"/>
          <w:sz w:val="14"/>
          <w:szCs w:val="14"/>
          <w:color w:val="auto"/>
        </w:rPr>
        <w:t>state-ordered monitoring and water treatment. CenterPoint Energy and CERC recorded a liability as reflected in the table below for continued monitoring and any future remediation required by regulators in Minnesota.</w:t>
      </w:r>
    </w:p>
    <w:p>
      <w:pPr>
        <w:spacing w:after="0" w:line="142" w:lineRule="exact"/>
        <w:rPr>
          <w:rFonts w:ascii="Arial" w:cs="Arial" w:eastAsia="Arial" w:hAnsi="Arial"/>
          <w:sz w:val="14"/>
          <w:szCs w:val="14"/>
          <w:color w:val="auto"/>
        </w:rPr>
      </w:pPr>
    </w:p>
    <w:p>
      <w:pPr>
        <w:jc w:val="both"/>
        <w:ind w:left="520" w:hanging="255"/>
        <w:spacing w:after="0" w:line="264" w:lineRule="auto"/>
        <w:tabs>
          <w:tab w:leader="none" w:pos="520" w:val="left"/>
        </w:tabs>
        <w:numPr>
          <w:ilvl w:val="0"/>
          <w:numId w:val="43"/>
        </w:numPr>
        <w:rPr>
          <w:rFonts w:ascii="Arial" w:cs="Arial" w:eastAsia="Arial" w:hAnsi="Arial"/>
          <w:sz w:val="14"/>
          <w:szCs w:val="14"/>
          <w:color w:val="auto"/>
        </w:rPr>
      </w:pPr>
      <w:r>
        <w:rPr>
          <w:rFonts w:ascii="Arial" w:cs="Arial" w:eastAsia="Arial" w:hAnsi="Arial"/>
          <w:sz w:val="14"/>
          <w:szCs w:val="14"/>
          <w:i w:val="1"/>
          <w:iCs w:val="1"/>
          <w:color w:val="auto"/>
        </w:rPr>
        <w:t>Indiana MGPs (CenterPoint Energy)</w:t>
      </w:r>
      <w:r>
        <w:rPr>
          <w:rFonts w:ascii="Arial" w:cs="Arial" w:eastAsia="Arial" w:hAnsi="Arial"/>
          <w:sz w:val="14"/>
          <w:szCs w:val="14"/>
          <w:color w:val="auto"/>
        </w:rPr>
        <w:t>. In the Indiana Gas service territory, the existence, location and certain general characteristics of 26 gas manufacturing and storage sites have been</w:t>
      </w:r>
      <w:r>
        <w:rPr>
          <w:rFonts w:ascii="Arial" w:cs="Arial" w:eastAsia="Arial" w:hAnsi="Arial"/>
          <w:sz w:val="14"/>
          <w:szCs w:val="14"/>
          <w:i w:val="1"/>
          <w:iCs w:val="1"/>
          <w:color w:val="auto"/>
        </w:rPr>
        <w:t xml:space="preserve"> </w:t>
      </w:r>
      <w:r>
        <w:rPr>
          <w:rFonts w:ascii="Arial" w:cs="Arial" w:eastAsia="Arial" w:hAnsi="Arial"/>
          <w:sz w:val="14"/>
          <w:szCs w:val="14"/>
          <w:color w:val="auto"/>
        </w:rPr>
        <w:t>identified for which CenterPoint Energy may have some remedial responsibility. A remedial investigation/feasibility study was completed at one of the sites under an agreed upon order between Indiana Gas and the IDEM, and a Record of Decision was issued by the IDEM in January 2000. The remaining sites have been submitted to the IDEM’s VRP. CenterPoint Energy has also identified its involvement in five manufactured gas plant sites in SIGECO’s service territory, all of which are currently enrolled in the IDEM’s VRP. CenterPoint Energy is currently conducting some level of remedial activities, including groundwater monitoring at certain sites.</w:t>
      </w:r>
    </w:p>
    <w:p>
      <w:pPr>
        <w:spacing w:after="0" w:line="149" w:lineRule="exact"/>
        <w:rPr>
          <w:rFonts w:ascii="Arial" w:cs="Arial" w:eastAsia="Arial" w:hAnsi="Arial"/>
          <w:sz w:val="14"/>
          <w:szCs w:val="14"/>
          <w:color w:val="auto"/>
        </w:rPr>
      </w:pPr>
    </w:p>
    <w:p>
      <w:pPr>
        <w:ind w:left="520" w:hanging="255"/>
        <w:spacing w:after="0" w:line="288" w:lineRule="auto"/>
        <w:tabs>
          <w:tab w:leader="none" w:pos="520" w:val="left"/>
        </w:tabs>
        <w:numPr>
          <w:ilvl w:val="0"/>
          <w:numId w:val="43"/>
        </w:numPr>
        <w:rPr>
          <w:rFonts w:ascii="Arial" w:cs="Arial" w:eastAsia="Arial" w:hAnsi="Arial"/>
          <w:sz w:val="14"/>
          <w:szCs w:val="14"/>
          <w:color w:val="auto"/>
        </w:rPr>
      </w:pPr>
      <w:r>
        <w:rPr>
          <w:rFonts w:ascii="Arial" w:cs="Arial" w:eastAsia="Arial" w:hAnsi="Arial"/>
          <w:sz w:val="14"/>
          <w:szCs w:val="14"/>
          <w:i w:val="1"/>
          <w:iCs w:val="1"/>
          <w:color w:val="auto"/>
        </w:rPr>
        <w:t xml:space="preserve">Other MGPs (CenterPoint Energy and CERC). </w:t>
      </w:r>
      <w:r>
        <w:rPr>
          <w:rFonts w:ascii="Arial" w:cs="Arial" w:eastAsia="Arial" w:hAnsi="Arial"/>
          <w:sz w:val="14"/>
          <w:szCs w:val="14"/>
          <w:color w:val="auto"/>
        </w:rPr>
        <w:t>In addition to the Minnesota and Indiana sites, the EPA and other regulators have investigated MGP sites that were owned or operated by</w:t>
      </w:r>
      <w:r>
        <w:rPr>
          <w:rFonts w:ascii="Arial" w:cs="Arial" w:eastAsia="Arial" w:hAnsi="Arial"/>
          <w:sz w:val="14"/>
          <w:szCs w:val="14"/>
          <w:i w:val="1"/>
          <w:iCs w:val="1"/>
          <w:color w:val="auto"/>
        </w:rPr>
        <w:t xml:space="preserve"> </w:t>
      </w:r>
      <w:r>
        <w:rPr>
          <w:rFonts w:ascii="Arial" w:cs="Arial" w:eastAsia="Arial" w:hAnsi="Arial"/>
          <w:sz w:val="14"/>
          <w:szCs w:val="14"/>
          <w:color w:val="auto"/>
        </w:rPr>
        <w:t>CenterPoint Energy or CERC or may have been owned by one of their former affiliates.</w:t>
      </w:r>
    </w:p>
    <w:p>
      <w:pPr>
        <w:spacing w:after="0" w:line="131" w:lineRule="exact"/>
        <w:rPr>
          <w:sz w:val="20"/>
          <w:szCs w:val="20"/>
          <w:color w:val="auto"/>
        </w:rPr>
      </w:pPr>
    </w:p>
    <w:p>
      <w:pPr>
        <w:jc w:val="both"/>
        <w:ind w:firstLine="259"/>
        <w:spacing w:after="0" w:line="272" w:lineRule="auto"/>
        <w:rPr>
          <w:sz w:val="20"/>
          <w:szCs w:val="20"/>
          <w:color w:val="auto"/>
        </w:rPr>
      </w:pPr>
      <w:r>
        <w:rPr>
          <w:rFonts w:ascii="Arial" w:cs="Arial" w:eastAsia="Arial" w:hAnsi="Arial"/>
          <w:sz w:val="14"/>
          <w:szCs w:val="14"/>
          <w:color w:val="auto"/>
        </w:rPr>
        <w:t>Total costs that may be incurred in connection with addressing these sites cannot be determined at this time. The estimated accrued costs are limited to CenterPoint Energy’s and CERC’s share of the remediation efforts and are therefore net of exposures of other PRPs. The estimated range of possible remediation costs for the sites for which CenterPoint Energy and CERC believe they may have responsibility was based on remediation continuing for the minimum time frame given in the table below.</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52</w:t>
      </w:r>
    </w:p>
    <w:p>
      <w:pPr>
        <w:sectPr>
          <w:pgSz w:w="11900" w:h="16838" w:orient="portrait"/>
          <w:cols w:equalWidth="0" w:num="1">
            <w:col w:w="11460"/>
          </w:cols>
          <w:pgMar w:left="220" w:top="129" w:right="219" w:bottom="1440" w:gutter="0" w:footer="0" w:header="0"/>
        </w:sectPr>
      </w:pPr>
    </w:p>
    <w:bookmarkStart w:id="62" w:name="page63"/>
    <w:bookmarkEnd w:id="62"/>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382" w:lineRule="exact"/>
        <w:rPr>
          <w:sz w:val="20"/>
          <w:szCs w:val="20"/>
          <w:color w:val="auto"/>
        </w:rPr>
      </w:pPr>
    </w:p>
    <w:tbl>
      <w:tblPr>
        <w:tblLayout w:type="fixed"/>
        <w:tblInd w:w="920" w:type="dxa"/>
        <w:tblCellMar>
          <w:top w:w="0" w:type="dxa"/>
          <w:left w:w="0" w:type="dxa"/>
          <w:bottom w:w="0" w:type="dxa"/>
          <w:right w:w="0" w:type="dxa"/>
        </w:tblCellMar>
      </w:tblPr>
      <w:tr>
        <w:trPr>
          <w:trHeight w:val="153"/>
        </w:trPr>
        <w:tc>
          <w:tcPr>
            <w:tcW w:w="66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240" w:type="dxa"/>
            <w:vAlign w:val="bottom"/>
            <w:tcBorders>
              <w:bottom w:val="single" w:sz="8" w:color="auto"/>
            </w:tcBorders>
            <w:gridSpan w:val="2"/>
          </w:tcPr>
          <w:p>
            <w:pPr>
              <w:jc w:val="center"/>
              <w:ind w:left="774"/>
              <w:spacing w:after="0"/>
              <w:rPr>
                <w:sz w:val="20"/>
                <w:szCs w:val="20"/>
                <w:color w:val="auto"/>
              </w:rPr>
            </w:pPr>
            <w:r>
              <w:rPr>
                <w:rFonts w:ascii="Arial" w:cs="Arial" w:eastAsia="Arial" w:hAnsi="Arial"/>
                <w:sz w:val="11"/>
                <w:szCs w:val="11"/>
                <w:b w:val="1"/>
                <w:bCs w:val="1"/>
                <w:color w:val="auto"/>
                <w:w w:val="93"/>
              </w:rPr>
              <w:t>September 30, 2019</w:t>
            </w:r>
          </w:p>
        </w:tc>
        <w:tc>
          <w:tcPr>
            <w:tcW w:w="1080" w:type="dxa"/>
            <w:vAlign w:val="bottom"/>
            <w:tcBorders>
              <w:bottom w:val="single" w:sz="8" w:color="auto"/>
            </w:tcBorders>
          </w:tcPr>
          <w:p>
            <w:pPr>
              <w:spacing w:after="0"/>
              <w:rPr>
                <w:sz w:val="13"/>
                <w:szCs w:val="13"/>
                <w:color w:val="auto"/>
              </w:rPr>
            </w:pPr>
          </w:p>
        </w:tc>
      </w:tr>
      <w:tr>
        <w:trPr>
          <w:trHeight w:val="206"/>
        </w:trPr>
        <w:tc>
          <w:tcPr>
            <w:tcW w:w="66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314"/>
              <w:spacing w:after="0"/>
              <w:rPr>
                <w:sz w:val="20"/>
                <w:szCs w:val="20"/>
                <w:color w:val="auto"/>
              </w:rPr>
            </w:pPr>
            <w:r>
              <w:rPr>
                <w:rFonts w:ascii="Arial" w:cs="Arial" w:eastAsia="Arial" w:hAnsi="Arial"/>
                <w:sz w:val="11"/>
                <w:szCs w:val="11"/>
                <w:b w:val="1"/>
                <w:bCs w:val="1"/>
                <w:color w:val="auto"/>
              </w:rPr>
              <w:t>CenterPoint Energy</w:t>
            </w:r>
          </w:p>
        </w:tc>
        <w:tc>
          <w:tcPr>
            <w:tcW w:w="7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631"/>
              <w:spacing w:after="0"/>
              <w:rPr>
                <w:sz w:val="20"/>
                <w:szCs w:val="20"/>
                <w:color w:val="auto"/>
              </w:rPr>
            </w:pPr>
            <w:r>
              <w:rPr>
                <w:rFonts w:ascii="Arial" w:cs="Arial" w:eastAsia="Arial" w:hAnsi="Arial"/>
                <w:sz w:val="11"/>
                <w:szCs w:val="11"/>
                <w:b w:val="1"/>
                <w:bCs w:val="1"/>
                <w:color w:val="auto"/>
              </w:rPr>
              <w:t>CERC</w:t>
            </w:r>
          </w:p>
        </w:tc>
      </w:tr>
      <w:tr>
        <w:trPr>
          <w:trHeight w:val="196"/>
        </w:trPr>
        <w:tc>
          <w:tcPr>
            <w:tcW w:w="6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40" w:type="dxa"/>
            <w:vAlign w:val="bottom"/>
            <w:gridSpan w:val="2"/>
          </w:tcPr>
          <w:p>
            <w:pPr>
              <w:jc w:val="center"/>
              <w:ind w:left="794"/>
              <w:spacing w:after="0"/>
              <w:rPr>
                <w:sz w:val="20"/>
                <w:szCs w:val="20"/>
                <w:color w:val="auto"/>
              </w:rPr>
            </w:pPr>
            <w:r>
              <w:rPr>
                <w:rFonts w:ascii="Arial" w:cs="Arial" w:eastAsia="Arial" w:hAnsi="Arial"/>
                <w:sz w:val="11"/>
                <w:szCs w:val="11"/>
                <w:b w:val="1"/>
                <w:bCs w:val="1"/>
                <w:color w:val="auto"/>
                <w:w w:val="93"/>
              </w:rPr>
              <w:t>(in millions, except years)</w:t>
            </w:r>
          </w:p>
        </w:tc>
        <w:tc>
          <w:tcPr>
            <w:tcW w:w="1080" w:type="dxa"/>
            <w:vAlign w:val="bottom"/>
          </w:tcPr>
          <w:p>
            <w:pPr>
              <w:spacing w:after="0"/>
              <w:rPr>
                <w:sz w:val="17"/>
                <w:szCs w:val="17"/>
                <w:color w:val="auto"/>
              </w:rPr>
            </w:pPr>
          </w:p>
        </w:tc>
      </w:tr>
      <w:tr>
        <w:trPr>
          <w:trHeight w:val="200"/>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Amount accrued for remediation</w:t>
            </w:r>
          </w:p>
        </w:tc>
        <w:tc>
          <w:tcPr>
            <w:tcW w:w="24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4"/>
                <w:szCs w:val="14"/>
                <w:color w:val="auto"/>
              </w:rPr>
              <w:t>9</w:t>
            </w:r>
          </w:p>
        </w:tc>
        <w:tc>
          <w:tcPr>
            <w:tcW w:w="740" w:type="dxa"/>
            <w:vAlign w:val="bottom"/>
            <w:tcBorders>
              <w:bottom w:val="single" w:sz="8" w:color="CCEEFF"/>
            </w:tcBorders>
            <w:shd w:val="clear" w:color="auto" w:fill="CCEEFF"/>
          </w:tcPr>
          <w:p>
            <w:pPr>
              <w:jc w:val="right"/>
              <w:ind w:right="46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7</w:t>
            </w:r>
          </w:p>
        </w:tc>
      </w:tr>
      <w:tr>
        <w:trPr>
          <w:trHeight w:val="193"/>
        </w:trPr>
        <w:tc>
          <w:tcPr>
            <w:tcW w:w="6600" w:type="dxa"/>
            <w:vAlign w:val="bottom"/>
          </w:tcPr>
          <w:p>
            <w:pPr>
              <w:ind w:left="20"/>
              <w:spacing w:after="0"/>
              <w:rPr>
                <w:sz w:val="20"/>
                <w:szCs w:val="20"/>
                <w:color w:val="auto"/>
              </w:rPr>
            </w:pPr>
            <w:r>
              <w:rPr>
                <w:rFonts w:ascii="Arial" w:cs="Arial" w:eastAsia="Arial" w:hAnsi="Arial"/>
                <w:sz w:val="14"/>
                <w:szCs w:val="14"/>
                <w:color w:val="auto"/>
              </w:rPr>
              <w:t>Minimum estimated remediation costs</w:t>
            </w:r>
          </w:p>
        </w:tc>
        <w:tc>
          <w:tcPr>
            <w:tcW w:w="240" w:type="dxa"/>
            <w:vAlign w:val="bottom"/>
          </w:tcPr>
          <w:p>
            <w:pPr>
              <w:spacing w:after="0"/>
              <w:rPr>
                <w:sz w:val="16"/>
                <w:szCs w:val="16"/>
                <w:color w:val="auto"/>
              </w:rPr>
            </w:pPr>
          </w:p>
        </w:tc>
        <w:tc>
          <w:tcPr>
            <w:tcW w:w="1500" w:type="dxa"/>
            <w:vAlign w:val="bottom"/>
          </w:tcPr>
          <w:p>
            <w:pPr>
              <w:jc w:val="right"/>
              <w:ind w:right="34"/>
              <w:spacing w:after="0"/>
              <w:rPr>
                <w:sz w:val="20"/>
                <w:szCs w:val="20"/>
                <w:color w:val="auto"/>
              </w:rPr>
            </w:pPr>
            <w:r>
              <w:rPr>
                <w:rFonts w:ascii="Arial" w:cs="Arial" w:eastAsia="Arial" w:hAnsi="Arial"/>
                <w:sz w:val="14"/>
                <w:szCs w:val="14"/>
                <w:color w:val="auto"/>
              </w:rPr>
              <w:t>7</w:t>
            </w:r>
          </w:p>
        </w:tc>
        <w:tc>
          <w:tcPr>
            <w:tcW w:w="740" w:type="dxa"/>
            <w:vAlign w:val="bottom"/>
          </w:tcPr>
          <w:p>
            <w:pPr>
              <w:spacing w:after="0"/>
              <w:rPr>
                <w:sz w:val="16"/>
                <w:szCs w:val="16"/>
                <w:color w:val="auto"/>
              </w:rPr>
            </w:pPr>
          </w:p>
        </w:tc>
        <w:tc>
          <w:tcPr>
            <w:tcW w:w="1080" w:type="dxa"/>
            <w:vAlign w:val="bottom"/>
          </w:tcPr>
          <w:p>
            <w:pPr>
              <w:jc w:val="right"/>
              <w:ind w:right="31"/>
              <w:spacing w:after="0"/>
              <w:rPr>
                <w:sz w:val="20"/>
                <w:szCs w:val="20"/>
                <w:color w:val="auto"/>
              </w:rPr>
            </w:pPr>
            <w:r>
              <w:rPr>
                <w:rFonts w:ascii="Arial" w:cs="Arial" w:eastAsia="Arial" w:hAnsi="Arial"/>
                <w:sz w:val="14"/>
                <w:szCs w:val="14"/>
                <w:color w:val="auto"/>
              </w:rPr>
              <w:t>4</w:t>
            </w:r>
          </w:p>
        </w:tc>
      </w:tr>
      <w:tr>
        <w:trPr>
          <w:trHeight w:val="23"/>
        </w:trPr>
        <w:tc>
          <w:tcPr>
            <w:tcW w:w="6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96"/>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Maximum estimated remediation costs</w:t>
            </w:r>
          </w:p>
        </w:tc>
        <w:tc>
          <w:tcPr>
            <w:tcW w:w="240" w:type="dxa"/>
            <w:vAlign w:val="bottom"/>
            <w:tcBorders>
              <w:bottom w:val="single" w:sz="8" w:color="CCEEFF"/>
            </w:tcBorders>
            <w:shd w:val="clear" w:color="auto" w:fill="CCEEFF"/>
          </w:tcPr>
          <w:p>
            <w:pPr>
              <w:spacing w:after="0"/>
              <w:rPr>
                <w:sz w:val="17"/>
                <w:szCs w:val="17"/>
                <w:color w:val="auto"/>
              </w:rPr>
            </w:pPr>
          </w:p>
        </w:tc>
        <w:tc>
          <w:tcPr>
            <w:tcW w:w="15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4"/>
                <w:szCs w:val="14"/>
                <w:color w:val="auto"/>
              </w:rPr>
              <w:t>51</w:t>
            </w:r>
          </w:p>
        </w:tc>
        <w:tc>
          <w:tcPr>
            <w:tcW w:w="74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32</w:t>
            </w:r>
          </w:p>
        </w:tc>
      </w:tr>
      <w:tr>
        <w:trPr>
          <w:trHeight w:val="193"/>
        </w:trPr>
        <w:tc>
          <w:tcPr>
            <w:tcW w:w="6600" w:type="dxa"/>
            <w:vAlign w:val="bottom"/>
          </w:tcPr>
          <w:p>
            <w:pPr>
              <w:ind w:left="20"/>
              <w:spacing w:after="0"/>
              <w:rPr>
                <w:sz w:val="20"/>
                <w:szCs w:val="20"/>
                <w:color w:val="auto"/>
              </w:rPr>
            </w:pPr>
            <w:r>
              <w:rPr>
                <w:rFonts w:ascii="Arial" w:cs="Arial" w:eastAsia="Arial" w:hAnsi="Arial"/>
                <w:sz w:val="14"/>
                <w:szCs w:val="14"/>
                <w:color w:val="auto"/>
              </w:rPr>
              <w:t>Minimum years of remediation</w:t>
            </w:r>
          </w:p>
        </w:tc>
        <w:tc>
          <w:tcPr>
            <w:tcW w:w="240" w:type="dxa"/>
            <w:vAlign w:val="bottom"/>
          </w:tcPr>
          <w:p>
            <w:pPr>
              <w:spacing w:after="0"/>
              <w:rPr>
                <w:sz w:val="16"/>
                <w:szCs w:val="16"/>
                <w:color w:val="auto"/>
              </w:rPr>
            </w:pPr>
          </w:p>
        </w:tc>
        <w:tc>
          <w:tcPr>
            <w:tcW w:w="1500" w:type="dxa"/>
            <w:vAlign w:val="bottom"/>
          </w:tcPr>
          <w:p>
            <w:pPr>
              <w:jc w:val="right"/>
              <w:ind w:right="34"/>
              <w:spacing w:after="0"/>
              <w:rPr>
                <w:sz w:val="20"/>
                <w:szCs w:val="20"/>
                <w:color w:val="auto"/>
              </w:rPr>
            </w:pPr>
            <w:r>
              <w:rPr>
                <w:rFonts w:ascii="Arial" w:cs="Arial" w:eastAsia="Arial" w:hAnsi="Arial"/>
                <w:sz w:val="14"/>
                <w:szCs w:val="14"/>
                <w:color w:val="auto"/>
              </w:rPr>
              <w:t>5</w:t>
            </w:r>
          </w:p>
        </w:tc>
        <w:tc>
          <w:tcPr>
            <w:tcW w:w="740" w:type="dxa"/>
            <w:vAlign w:val="bottom"/>
          </w:tcPr>
          <w:p>
            <w:pPr>
              <w:spacing w:after="0"/>
              <w:rPr>
                <w:sz w:val="16"/>
                <w:szCs w:val="16"/>
                <w:color w:val="auto"/>
              </w:rPr>
            </w:pPr>
          </w:p>
        </w:tc>
        <w:tc>
          <w:tcPr>
            <w:tcW w:w="1080" w:type="dxa"/>
            <w:vAlign w:val="bottom"/>
          </w:tcPr>
          <w:p>
            <w:pPr>
              <w:jc w:val="right"/>
              <w:ind w:right="31"/>
              <w:spacing w:after="0"/>
              <w:rPr>
                <w:sz w:val="20"/>
                <w:szCs w:val="20"/>
                <w:color w:val="auto"/>
              </w:rPr>
            </w:pPr>
            <w:r>
              <w:rPr>
                <w:rFonts w:ascii="Arial" w:cs="Arial" w:eastAsia="Arial" w:hAnsi="Arial"/>
                <w:sz w:val="14"/>
                <w:szCs w:val="14"/>
                <w:color w:val="auto"/>
              </w:rPr>
              <w:t>30</w:t>
            </w:r>
          </w:p>
        </w:tc>
      </w:tr>
      <w:tr>
        <w:trPr>
          <w:trHeight w:val="23"/>
        </w:trPr>
        <w:tc>
          <w:tcPr>
            <w:tcW w:w="6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93"/>
        </w:trPr>
        <w:tc>
          <w:tcPr>
            <w:tcW w:w="6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Maximum years of remediation</w:t>
            </w:r>
          </w:p>
        </w:tc>
        <w:tc>
          <w:tcPr>
            <w:tcW w:w="240" w:type="dxa"/>
            <w:vAlign w:val="bottom"/>
            <w:shd w:val="clear" w:color="auto" w:fill="CCEEFF"/>
          </w:tcPr>
          <w:p>
            <w:pPr>
              <w:spacing w:after="0"/>
              <w:rPr>
                <w:sz w:val="16"/>
                <w:szCs w:val="16"/>
                <w:color w:val="auto"/>
              </w:rPr>
            </w:pPr>
          </w:p>
        </w:tc>
        <w:tc>
          <w:tcPr>
            <w:tcW w:w="1500" w:type="dxa"/>
            <w:vAlign w:val="bottom"/>
            <w:shd w:val="clear" w:color="auto" w:fill="CCEEFF"/>
          </w:tcPr>
          <w:p>
            <w:pPr>
              <w:jc w:val="right"/>
              <w:ind w:right="34"/>
              <w:spacing w:after="0"/>
              <w:rPr>
                <w:sz w:val="20"/>
                <w:szCs w:val="20"/>
                <w:color w:val="auto"/>
              </w:rPr>
            </w:pPr>
            <w:r>
              <w:rPr>
                <w:rFonts w:ascii="Arial" w:cs="Arial" w:eastAsia="Arial" w:hAnsi="Arial"/>
                <w:sz w:val="14"/>
                <w:szCs w:val="14"/>
                <w:color w:val="auto"/>
              </w:rPr>
              <w:t>50</w:t>
            </w:r>
          </w:p>
        </w:tc>
        <w:tc>
          <w:tcPr>
            <w:tcW w:w="74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50</w:t>
            </w:r>
          </w:p>
        </w:tc>
      </w:tr>
      <w:tr>
        <w:trPr>
          <w:trHeight w:val="23"/>
        </w:trPr>
        <w:tc>
          <w:tcPr>
            <w:tcW w:w="66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50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080" w:type="dxa"/>
            <w:vAlign w:val="bottom"/>
            <w:shd w:val="clear" w:color="auto" w:fill="CCEEFF"/>
          </w:tcPr>
          <w:p>
            <w:pPr>
              <w:spacing w:after="0" w:line="20" w:lineRule="exact"/>
              <w:rPr>
                <w:sz w:val="1"/>
                <w:szCs w:val="1"/>
                <w:color w:val="auto"/>
              </w:rPr>
            </w:pPr>
          </w:p>
        </w:tc>
      </w:tr>
    </w:tbl>
    <w:p>
      <w:pPr>
        <w:spacing w:after="0" w:line="162" w:lineRule="exact"/>
        <w:rPr>
          <w:sz w:val="20"/>
          <w:szCs w:val="20"/>
          <w:color w:val="auto"/>
        </w:rPr>
      </w:pPr>
    </w:p>
    <w:p>
      <w:pPr>
        <w:jc w:val="both"/>
        <w:ind w:firstLine="259"/>
        <w:spacing w:after="0" w:line="288" w:lineRule="auto"/>
        <w:rPr>
          <w:sz w:val="20"/>
          <w:szCs w:val="20"/>
          <w:color w:val="auto"/>
        </w:rPr>
      </w:pPr>
      <w:r>
        <w:rPr>
          <w:rFonts w:ascii="Arial" w:cs="Arial" w:eastAsia="Arial" w:hAnsi="Arial"/>
          <w:sz w:val="14"/>
          <w:szCs w:val="14"/>
          <w:color w:val="auto"/>
        </w:rPr>
        <w:t>The cost estimates are based on studies of a site or industry average costs for remediation of sites of similar size. The actual remediation costs will depend on the number of sites to be remediated, the participation of other PRPs, if any, and the remediation methods used.</w:t>
      </w:r>
    </w:p>
    <w:p>
      <w:pPr>
        <w:spacing w:after="0" w:line="131" w:lineRule="exact"/>
        <w:rPr>
          <w:sz w:val="20"/>
          <w:szCs w:val="20"/>
          <w:color w:val="auto"/>
        </w:rPr>
      </w:pPr>
    </w:p>
    <w:p>
      <w:pPr>
        <w:jc w:val="both"/>
        <w:ind w:firstLine="259"/>
        <w:spacing w:after="0" w:line="288" w:lineRule="auto"/>
        <w:rPr>
          <w:sz w:val="20"/>
          <w:szCs w:val="20"/>
          <w:color w:val="auto"/>
        </w:rPr>
      </w:pPr>
      <w:r>
        <w:rPr>
          <w:rFonts w:ascii="Arial" w:cs="Arial" w:eastAsia="Arial" w:hAnsi="Arial"/>
          <w:sz w:val="14"/>
          <w:szCs w:val="14"/>
          <w:color w:val="auto"/>
        </w:rPr>
        <w:t>CenterPoint Energy and CERC do not expect the ultimate outcome of these matters to have a material adverse effect on the financial condition, results of operations or cash flows of either CenterPoint Energy or CERC.</w:t>
      </w:r>
    </w:p>
    <w:p>
      <w:pPr>
        <w:spacing w:after="0" w:line="163" w:lineRule="exact"/>
        <w:rPr>
          <w:sz w:val="20"/>
          <w:szCs w:val="20"/>
          <w:color w:val="auto"/>
        </w:rPr>
      </w:pPr>
    </w:p>
    <w:p>
      <w:pPr>
        <w:jc w:val="both"/>
        <w:ind w:firstLine="259"/>
        <w:spacing w:after="0" w:line="315" w:lineRule="auto"/>
        <w:rPr>
          <w:sz w:val="20"/>
          <w:szCs w:val="20"/>
          <w:color w:val="auto"/>
        </w:rPr>
      </w:pPr>
      <w:r>
        <w:rPr>
          <w:rFonts w:ascii="Arial" w:cs="Arial" w:eastAsia="Arial" w:hAnsi="Arial"/>
          <w:sz w:val="14"/>
          <w:szCs w:val="14"/>
          <w:i w:val="1"/>
          <w:iCs w:val="1"/>
          <w:color w:val="auto"/>
        </w:rPr>
        <w:t xml:space="preserve">Asbestos. </w:t>
      </w:r>
      <w:r>
        <w:rPr>
          <w:rFonts w:ascii="Arial" w:cs="Arial" w:eastAsia="Arial" w:hAnsi="Arial"/>
          <w:sz w:val="14"/>
          <w:szCs w:val="14"/>
          <w:color w:val="auto"/>
        </w:rPr>
        <w:t>Some facilities owned by the Registrants or their predecessors contain or have contained asbestos insulation and other asbestos-containing materials. The Registrants are from time to</w:t>
      </w:r>
      <w:r>
        <w:rPr>
          <w:rFonts w:ascii="Arial" w:cs="Arial" w:eastAsia="Arial" w:hAnsi="Arial"/>
          <w:sz w:val="14"/>
          <w:szCs w:val="14"/>
          <w:i w:val="1"/>
          <w:iCs w:val="1"/>
          <w:color w:val="auto"/>
        </w:rPr>
        <w:t xml:space="preserve"> </w:t>
      </w:r>
      <w:r>
        <w:rPr>
          <w:rFonts w:ascii="Arial" w:cs="Arial" w:eastAsia="Arial" w:hAnsi="Arial"/>
          <w:sz w:val="14"/>
          <w:szCs w:val="14"/>
          <w:color w:val="auto"/>
        </w:rPr>
        <w:t>time named, along with numerous others, as defendants in lawsuits filed by a number of individuals who claim injury due to exposure to asbestos, and the Registrants anticipate that additional claims may be asserted in the future. Although their ultimate outcome cannot be predicted at this time, the Registrants do not expect these matters, either individually or in the aggregate, to have a material adverse effect on their financial condition, results of operations or cash flows.</w:t>
      </w:r>
    </w:p>
    <w:p>
      <w:pPr>
        <w:spacing w:after="0" w:line="125" w:lineRule="exact"/>
        <w:rPr>
          <w:sz w:val="20"/>
          <w:szCs w:val="20"/>
          <w:color w:val="auto"/>
        </w:rPr>
      </w:pPr>
    </w:p>
    <w:p>
      <w:pPr>
        <w:jc w:val="both"/>
        <w:ind w:firstLine="259"/>
        <w:spacing w:after="0" w:line="289" w:lineRule="auto"/>
        <w:rPr>
          <w:sz w:val="20"/>
          <w:szCs w:val="20"/>
          <w:color w:val="auto"/>
        </w:rPr>
      </w:pPr>
      <w:r>
        <w:rPr>
          <w:rFonts w:ascii="Arial" w:cs="Arial" w:eastAsia="Arial" w:hAnsi="Arial"/>
          <w:sz w:val="13"/>
          <w:szCs w:val="13"/>
          <w:i w:val="1"/>
          <w:iCs w:val="1"/>
          <w:color w:val="auto"/>
        </w:rPr>
        <w:t xml:space="preserve">CCR Rule (CenterPoint Energy). </w:t>
      </w:r>
      <w:r>
        <w:rPr>
          <w:rFonts w:ascii="Arial" w:cs="Arial" w:eastAsia="Arial" w:hAnsi="Arial"/>
          <w:sz w:val="13"/>
          <w:szCs w:val="13"/>
          <w:color w:val="auto"/>
        </w:rPr>
        <w:t>In April 2015, the EPA finalized its CCR Rule, which regulates ash as non-hazardous material under the RCRA. The final rule allows beneficial reuse of ash,</w:t>
      </w:r>
      <w:r>
        <w:rPr>
          <w:rFonts w:ascii="Arial" w:cs="Arial" w:eastAsia="Arial" w:hAnsi="Arial"/>
          <w:sz w:val="13"/>
          <w:szCs w:val="13"/>
          <w:i w:val="1"/>
          <w:iCs w:val="1"/>
          <w:color w:val="auto"/>
        </w:rPr>
        <w:t xml:space="preserve"> </w:t>
      </w:r>
      <w:r>
        <w:rPr>
          <w:rFonts w:ascii="Arial" w:cs="Arial" w:eastAsia="Arial" w:hAnsi="Arial"/>
          <w:sz w:val="13"/>
          <w:szCs w:val="13"/>
          <w:color w:val="auto"/>
        </w:rPr>
        <w:t>and the majority of the ash generated by Indiana Electric’s generating plants will continue to be reused. In July 2018, the EPA released its final CCR Rule Phase I Reconsideration which extended the deadline to October 31, 2020 for ceasing placement of ash in ponds that exceed groundwater protections standards or that fail to meet location restrictions. While the EPA Phase I Reconsideration moves forward, the existing CCR compliance obligations remain in effect. In August 2019, the EPA proposed additional amendments to its CCR Rule with respect to beneficial reuse of ash and other materials. The proposed revisions would not restrict Indiana Electric’s current beneficial reuse of its fly ash.</w:t>
      </w:r>
    </w:p>
    <w:p>
      <w:pPr>
        <w:spacing w:after="0" w:line="134" w:lineRule="exact"/>
        <w:rPr>
          <w:sz w:val="20"/>
          <w:szCs w:val="20"/>
          <w:color w:val="auto"/>
        </w:rPr>
      </w:pPr>
    </w:p>
    <w:p>
      <w:pPr>
        <w:jc w:val="both"/>
        <w:ind w:firstLine="259"/>
        <w:spacing w:after="0" w:line="281" w:lineRule="auto"/>
        <w:rPr>
          <w:sz w:val="20"/>
          <w:szCs w:val="20"/>
          <w:color w:val="auto"/>
        </w:rPr>
      </w:pPr>
      <w:r>
        <w:rPr>
          <w:rFonts w:ascii="Arial" w:cs="Arial" w:eastAsia="Arial" w:hAnsi="Arial"/>
          <w:sz w:val="13"/>
          <w:szCs w:val="13"/>
          <w:color w:val="auto"/>
        </w:rPr>
        <w:t>Indiana Electric has three ash ponds, two at the F.B. Culley facility (Culley East and Culley West) and one at the A.B. Brown facility. Under the existing CCR Rule, Indiana Electric is required to perform integrity assessments, including ground water monitoring, at its F.B. Culley and A.B. Brown generating stations. The ground water studies are necessary to determine the remaining service life of the ponds and whether a pond must be retrofitted with liners or closed in place, with bottom ash handling conversions completed. Indiana Electric’s Warrick generating unit is not included in the scope of the CCR Rule as this unit has historically been part of a larger generating station that predominantly serves an adjacent industrial facility. In March 2018, Indiana Electric began posting ground water data monitoring reports annually to its public website in accordance with the requirements of the CCR Rule. This data preliminarily indicates potential groundwater impacts very close to Indiana Electric’s ash impoundments, and further analysis is ongoing. The CCR Rule required companies to complete location restriction determinations by October 18, 2018. Indiana Electric completed its evaluation and determined that one F.B. Culley pond (Culley East) and the A.B. Brown pond fail the aquifer placement location restriction. As a result of this failure, Indiana Electric is required to cease disposal of new ash in the ponds and commence closure of the ponds by October 31, 2020. CenterPoint Energy plans to seek extensions available under the CCR Rule that would allow Indiana Electric to continue to use the ponds through December 31, 2023. The inability to take these extensions may result in increased and potentially significant operational costs in connection with the accelerated implementation of an alternative ash disposal system or adversely impact Indiana Electric’s future operations. Failure to comply with these requirements could also result in an enforcement proceeding including the imposition of fines and penalties. On April 24, 2019, Indiana Electric received an order from the IURC approving recovery in rates of costs associated with the closure of the Culley West pond, which has already commenced closure activities. CenterPoint Energy believes the language in the IURC order is favorable for future recovery of closure costs for Indiana Electric’s remaining ponds.</w:t>
      </w:r>
    </w:p>
    <w:p>
      <w:pPr>
        <w:spacing w:after="0" w:line="139" w:lineRule="exact"/>
        <w:rPr>
          <w:sz w:val="20"/>
          <w:szCs w:val="20"/>
          <w:color w:val="auto"/>
        </w:rPr>
      </w:pPr>
    </w:p>
    <w:p>
      <w:pPr>
        <w:jc w:val="both"/>
        <w:ind w:firstLine="259"/>
        <w:spacing w:after="0" w:line="294" w:lineRule="auto"/>
        <w:rPr>
          <w:sz w:val="20"/>
          <w:szCs w:val="20"/>
          <w:color w:val="auto"/>
        </w:rPr>
      </w:pPr>
      <w:r>
        <w:rPr>
          <w:rFonts w:ascii="Arial" w:cs="Arial" w:eastAsia="Arial" w:hAnsi="Arial"/>
          <w:sz w:val="13"/>
          <w:szCs w:val="13"/>
          <w:color w:val="auto"/>
        </w:rPr>
        <w:t>Indiana Electric continues to refine site specific estimates of closure costs. In March 2019, Indiana Electric entered into agreements with third parties for the excavation and beneficial reuse of the ash at the A.B. Brown ash pond. On August 14, 2019, Indiana Electric filed its petition with the IURC for recovery of costs associated with the closure of the A.B. Brown ash pond, which would include costs associated with the excavation and recycling of the ponded ash. In July 2018, Indiana Electric filed a Complaint for Damages and Declaratory Relief against its insurers seeking reimbursement of defense, investigation and pond closure costs incurred to comply with the CCR Rule, and has since reached confidential settlement agreements with its insurers. Any</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53</w:t>
      </w:r>
    </w:p>
    <w:p>
      <w:pPr>
        <w:sectPr>
          <w:pgSz w:w="11900" w:h="16838" w:orient="portrait"/>
          <w:cols w:equalWidth="0" w:num="1">
            <w:col w:w="11460"/>
          </w:cols>
          <w:pgMar w:left="220" w:top="129" w:right="219" w:bottom="1440" w:gutter="0" w:footer="0" w:header="0"/>
        </w:sectPr>
      </w:pPr>
    </w:p>
    <w:bookmarkStart w:id="63" w:name="page64"/>
    <w:bookmarkEnd w:id="63"/>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205" w:lineRule="exact"/>
        <w:rPr>
          <w:sz w:val="20"/>
          <w:szCs w:val="20"/>
          <w:color w:val="auto"/>
        </w:rPr>
      </w:pPr>
    </w:p>
    <w:p>
      <w:pPr>
        <w:spacing w:after="0"/>
        <w:rPr>
          <w:sz w:val="20"/>
          <w:szCs w:val="20"/>
          <w:color w:val="auto"/>
        </w:rPr>
      </w:pPr>
      <w:r>
        <w:rPr>
          <w:rFonts w:ascii="Arial" w:cs="Arial" w:eastAsia="Arial" w:hAnsi="Arial"/>
          <w:sz w:val="13"/>
          <w:szCs w:val="13"/>
          <w:color w:val="auto"/>
        </w:rPr>
        <w:t>proceeds received will offset costs that have been and will be incurred to close the ponds. On November 4, 2019, the EPA released a pre-publication copy of proposed revisions to the CCR Rule.</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color w:val="auto"/>
        </w:rPr>
        <w:t>CenterPoint Energy will evaluate the proposals to determine potential impacts to current compliance plans for its A.B. Brown and F.B. Culley generating stations.</w:t>
      </w:r>
    </w:p>
    <w:p>
      <w:pPr>
        <w:spacing w:after="0" w:line="174" w:lineRule="exact"/>
        <w:rPr>
          <w:sz w:val="20"/>
          <w:szCs w:val="20"/>
          <w:color w:val="auto"/>
        </w:rPr>
      </w:pPr>
    </w:p>
    <w:p>
      <w:pPr>
        <w:jc w:val="both"/>
        <w:ind w:firstLine="259"/>
        <w:spacing w:after="0" w:line="267" w:lineRule="auto"/>
        <w:rPr>
          <w:sz w:val="20"/>
          <w:szCs w:val="20"/>
          <w:color w:val="auto"/>
        </w:rPr>
      </w:pPr>
      <w:r>
        <w:rPr>
          <w:rFonts w:ascii="Arial" w:cs="Arial" w:eastAsia="Arial" w:hAnsi="Arial"/>
          <w:sz w:val="14"/>
          <w:szCs w:val="14"/>
          <w:color w:val="auto"/>
        </w:rPr>
        <w:t>As of September 30, 2019, CenterPoint Energy has recorded an approximate $75 million ARO, which represents the discounted value of future cash flow estimates to close the ponds at A.B. Brown and F.B. Culley. This estimate is subject to change due to the contractual arrangements; continued assessments of the ash, closure methods, and the timing of closure; implications of Indiana Electric’s generation transition plan; changing environmental regulations; and the anticipated outcome of the aforementioned insurance proceeding. In addition to these removal costs, Indiana Electric also anticipates equipment purchases of between $60 million and $80 million to complete the A.B. Brown closure project.</w:t>
      </w:r>
    </w:p>
    <w:p>
      <w:pPr>
        <w:spacing w:after="0" w:line="146" w:lineRule="exact"/>
        <w:rPr>
          <w:sz w:val="20"/>
          <w:szCs w:val="20"/>
          <w:color w:val="auto"/>
        </w:rPr>
      </w:pPr>
    </w:p>
    <w:p>
      <w:pPr>
        <w:jc w:val="both"/>
        <w:ind w:firstLine="259"/>
        <w:spacing w:after="0" w:line="263" w:lineRule="auto"/>
        <w:rPr>
          <w:sz w:val="20"/>
          <w:szCs w:val="20"/>
          <w:color w:val="auto"/>
        </w:rPr>
      </w:pPr>
      <w:r>
        <w:rPr>
          <w:rFonts w:ascii="Arial" w:cs="Arial" w:eastAsia="Arial" w:hAnsi="Arial"/>
          <w:sz w:val="14"/>
          <w:szCs w:val="14"/>
          <w:i w:val="1"/>
          <w:iCs w:val="1"/>
          <w:color w:val="auto"/>
        </w:rPr>
        <w:t xml:space="preserve">Other Environmental. </w:t>
      </w:r>
      <w:r>
        <w:rPr>
          <w:rFonts w:ascii="Arial" w:cs="Arial" w:eastAsia="Arial" w:hAnsi="Arial"/>
          <w:sz w:val="14"/>
          <w:szCs w:val="14"/>
          <w:color w:val="auto"/>
        </w:rPr>
        <w:t>From time to time, the Registrants identify the presence of environmental contaminants during operations or on property where their predecessors have conducted</w:t>
      </w:r>
      <w:r>
        <w:rPr>
          <w:rFonts w:ascii="Arial" w:cs="Arial" w:eastAsia="Arial" w:hAnsi="Arial"/>
          <w:sz w:val="14"/>
          <w:szCs w:val="14"/>
          <w:i w:val="1"/>
          <w:iCs w:val="1"/>
          <w:color w:val="auto"/>
        </w:rPr>
        <w:t xml:space="preserve"> </w:t>
      </w:r>
      <w:r>
        <w:rPr>
          <w:rFonts w:ascii="Arial" w:cs="Arial" w:eastAsia="Arial" w:hAnsi="Arial"/>
          <w:sz w:val="14"/>
          <w:szCs w:val="14"/>
          <w:color w:val="auto"/>
        </w:rPr>
        <w:t>operations. Other such sites involving contaminants may be identified in the future. The Registrants have and expect to continue to remediate any identified sites consistent with state and federal legal obligations. From time to time, the Registrants have received notices, and may receive notices in the future, from regulatory authorities or others regarding status as a PRP in connection with sites found to require remediation due to the presence of environmental contaminants. In addition, the Registrants have been, or may be, named from time to time as defendants in litigation related to such sites. Although the ultimate outcome of such matters cannot be predicted at this time, the Registrants do not expect these matters, either individually or in the aggregate, to have a material adverse effect on their financial condition, results of operations or cash flows.</w:t>
      </w:r>
    </w:p>
    <w:p>
      <w:pPr>
        <w:spacing w:after="0" w:line="148" w:lineRule="exact"/>
        <w:rPr>
          <w:sz w:val="20"/>
          <w:szCs w:val="20"/>
          <w:color w:val="auto"/>
        </w:rPr>
      </w:pPr>
    </w:p>
    <w:p>
      <w:pPr>
        <w:ind w:left="140"/>
        <w:spacing w:after="0"/>
        <w:rPr>
          <w:sz w:val="20"/>
          <w:szCs w:val="20"/>
          <w:color w:val="auto"/>
        </w:rPr>
      </w:pPr>
      <w:r>
        <w:rPr>
          <w:rFonts w:ascii="Arial" w:cs="Arial" w:eastAsia="Arial" w:hAnsi="Arial"/>
          <w:sz w:val="14"/>
          <w:szCs w:val="14"/>
          <w:b w:val="1"/>
          <w:bCs w:val="1"/>
          <w:i w:val="1"/>
          <w:iCs w:val="1"/>
          <w:color w:val="auto"/>
        </w:rPr>
        <w:t>Other Proceedings</w:t>
      </w:r>
    </w:p>
    <w:p>
      <w:pPr>
        <w:spacing w:after="0" w:line="184" w:lineRule="exact"/>
        <w:rPr>
          <w:sz w:val="20"/>
          <w:szCs w:val="20"/>
          <w:color w:val="auto"/>
        </w:rPr>
      </w:pPr>
    </w:p>
    <w:p>
      <w:pPr>
        <w:jc w:val="both"/>
        <w:ind w:firstLine="259"/>
        <w:spacing w:after="0" w:line="264" w:lineRule="auto"/>
        <w:rPr>
          <w:sz w:val="20"/>
          <w:szCs w:val="20"/>
          <w:color w:val="auto"/>
        </w:rPr>
      </w:pPr>
      <w:r>
        <w:rPr>
          <w:rFonts w:ascii="Arial" w:cs="Arial" w:eastAsia="Arial" w:hAnsi="Arial"/>
          <w:sz w:val="14"/>
          <w:szCs w:val="14"/>
          <w:color w:val="auto"/>
        </w:rPr>
        <w:t>The Registrants are involved in other legal, environmental, tax and regulatory proceedings before various courts, regulatory commissions and governmental agencies regarding matters arising in the ordinary course of business. From time to time, the Registrants are also defendants in legal proceedings with respect to claims brought by various plaintiffs against broad groups of participants in the energy industry. Some of these proceedings involve substantial amounts. The Registrants regularly analyze current information and, as necessary, provide accruals for probable and reasonably estimable liabilities on the eventual disposition of these matters. The Registrants do not expect the disposition of these matters to have a material adverse effect on the Registrants’ financial condition, results of operations or cash flows.</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54</w:t>
      </w:r>
    </w:p>
    <w:p>
      <w:pPr>
        <w:sectPr>
          <w:pgSz w:w="11900" w:h="16838" w:orient="portrait"/>
          <w:cols w:equalWidth="0" w:num="1">
            <w:col w:w="11460"/>
          </w:cols>
          <w:pgMar w:left="220" w:top="129" w:right="219" w:bottom="1440" w:gutter="0" w:footer="0" w:header="0"/>
        </w:sectPr>
      </w:pPr>
    </w:p>
    <w:bookmarkStart w:id="64" w:name="page65"/>
    <w:bookmarkEnd w:id="64"/>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(15) Earnings Per Share (CenterPoint Energy)</w:t>
      </w:r>
    </w:p>
    <w:p>
      <w:pPr>
        <w:spacing w:after="0" w:line="188" w:lineRule="exact"/>
        <w:rPr>
          <w:sz w:val="20"/>
          <w:szCs w:val="20"/>
          <w:color w:val="auto"/>
        </w:rPr>
      </w:pPr>
    </w:p>
    <w:p>
      <w:pPr>
        <w:jc w:val="both"/>
        <w:ind w:firstLine="259"/>
        <w:spacing w:after="0" w:line="302" w:lineRule="auto"/>
        <w:rPr>
          <w:sz w:val="20"/>
          <w:szCs w:val="20"/>
          <w:color w:val="auto"/>
        </w:rPr>
      </w:pPr>
      <w:r>
        <w:rPr>
          <w:rFonts w:ascii="Arial" w:cs="Arial" w:eastAsia="Arial" w:hAnsi="Arial"/>
          <w:sz w:val="13"/>
          <w:szCs w:val="13"/>
          <w:color w:val="auto"/>
        </w:rPr>
        <w:t>The following table reconciles numerators and denominators of CenterPoint Energy’s basic and diluted earnings per common share. Basic earnings per common share is determined by dividing Income available to common shareholders - basic by the Weighted average common shares outstanding - basic for the applicable period. Diluted earnings per common share is determined by the inclusion of potentially dilutive common stock equivalent shares that may occur if securities to issue Common Stock were exercised or converted into Common Stock.</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5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860" w:type="dxa"/>
            <w:vAlign w:val="bottom"/>
            <w:gridSpan w:val="5"/>
          </w:tcPr>
          <w:p>
            <w:pPr>
              <w:ind w:left="300"/>
              <w:spacing w:after="0"/>
              <w:rPr>
                <w:sz w:val="20"/>
                <w:szCs w:val="20"/>
                <w:color w:val="auto"/>
              </w:rPr>
            </w:pPr>
            <w:r>
              <w:rPr>
                <w:rFonts w:ascii="Arial" w:cs="Arial" w:eastAsia="Arial" w:hAnsi="Arial"/>
                <w:sz w:val="11"/>
                <w:szCs w:val="11"/>
                <w:b w:val="1"/>
                <w:bCs w:val="1"/>
                <w:color w:val="auto"/>
              </w:rPr>
              <w:t>Three Months Ended September 30,</w:t>
            </w:r>
          </w:p>
        </w:tc>
        <w:tc>
          <w:tcPr>
            <w:tcW w:w="360" w:type="dxa"/>
            <w:vAlign w:val="bottom"/>
          </w:tcPr>
          <w:p>
            <w:pPr>
              <w:spacing w:after="0"/>
              <w:rPr>
                <w:sz w:val="13"/>
                <w:szCs w:val="13"/>
                <w:color w:val="auto"/>
              </w:rPr>
            </w:pPr>
          </w:p>
        </w:tc>
        <w:tc>
          <w:tcPr>
            <w:tcW w:w="2700" w:type="dxa"/>
            <w:vAlign w:val="bottom"/>
            <w:gridSpan w:val="4"/>
          </w:tcPr>
          <w:p>
            <w:pPr>
              <w:jc w:val="right"/>
              <w:ind w:right="590"/>
              <w:spacing w:after="0"/>
              <w:rPr>
                <w:sz w:val="20"/>
                <w:szCs w:val="20"/>
                <w:color w:val="auto"/>
              </w:rPr>
            </w:pPr>
            <w:r>
              <w:rPr>
                <w:rFonts w:ascii="Arial" w:cs="Arial" w:eastAsia="Arial" w:hAnsi="Arial"/>
                <w:sz w:val="11"/>
                <w:szCs w:val="11"/>
                <w:b w:val="1"/>
                <w:bCs w:val="1"/>
                <w:color w:val="auto"/>
              </w:rPr>
              <w:t>Nine Months Ended September 30,</w:t>
            </w:r>
          </w:p>
        </w:tc>
      </w:tr>
      <w:tr>
        <w:trPr>
          <w:trHeight w:val="206"/>
        </w:trPr>
        <w:tc>
          <w:tcPr>
            <w:tcW w:w="5160" w:type="dxa"/>
            <w:vAlign w:val="bottom"/>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551"/>
              <w:spacing w:after="0"/>
              <w:rPr>
                <w:sz w:val="20"/>
                <w:szCs w:val="20"/>
                <w:color w:val="auto"/>
              </w:rPr>
            </w:pPr>
            <w:r>
              <w:rPr>
                <w:rFonts w:ascii="Arial" w:cs="Arial" w:eastAsia="Arial" w:hAnsi="Arial"/>
                <w:sz w:val="11"/>
                <w:szCs w:val="11"/>
                <w:b w:val="1"/>
                <w:bCs w:val="1"/>
                <w:color w:val="auto"/>
              </w:rPr>
              <w:t>2019</w:t>
            </w:r>
          </w:p>
        </w:tc>
        <w:tc>
          <w:tcPr>
            <w:tcW w:w="120" w:type="dxa"/>
            <w:vAlign w:val="bottom"/>
            <w:tcBorders>
              <w:top w:val="single" w:sz="8" w:color="auto"/>
              <w:bottom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jc w:val="right"/>
              <w:ind w:right="571"/>
              <w:spacing w:after="0"/>
              <w:rPr>
                <w:sz w:val="20"/>
                <w:szCs w:val="20"/>
                <w:color w:val="auto"/>
              </w:rPr>
            </w:pPr>
            <w:r>
              <w:rPr>
                <w:rFonts w:ascii="Arial" w:cs="Arial" w:eastAsia="Arial" w:hAnsi="Arial"/>
                <w:sz w:val="11"/>
                <w:szCs w:val="11"/>
                <w:b w:val="1"/>
                <w:bCs w:val="1"/>
                <w:color w:val="auto"/>
              </w:rPr>
              <w:t>2018</w:t>
            </w:r>
          </w:p>
        </w:tc>
        <w:tc>
          <w:tcPr>
            <w:tcW w:w="120" w:type="dxa"/>
            <w:vAlign w:val="bottom"/>
            <w:tcBorders>
              <w:bottom w:val="single" w:sz="8" w:color="auto"/>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551"/>
              <w:spacing w:after="0"/>
              <w:rPr>
                <w:sz w:val="20"/>
                <w:szCs w:val="20"/>
                <w:color w:val="auto"/>
              </w:rPr>
            </w:pPr>
            <w:r>
              <w:rPr>
                <w:rFonts w:ascii="Arial" w:cs="Arial" w:eastAsia="Arial" w:hAnsi="Arial"/>
                <w:sz w:val="11"/>
                <w:szCs w:val="11"/>
                <w:b w:val="1"/>
                <w:bCs w:val="1"/>
                <w:color w:val="auto"/>
              </w:rPr>
              <w:t>2019</w:t>
            </w:r>
          </w:p>
        </w:tc>
        <w:tc>
          <w:tcPr>
            <w:tcW w:w="120" w:type="dxa"/>
            <w:vAlign w:val="bottom"/>
            <w:tcBorders>
              <w:top w:val="single" w:sz="8" w:color="auto"/>
              <w:bottom w:val="single" w:sz="8" w:color="auto"/>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1"/>
                <w:szCs w:val="11"/>
                <w:b w:val="1"/>
                <w:bCs w:val="1"/>
                <w:color w:val="auto"/>
              </w:rPr>
              <w:t>2018</w:t>
            </w:r>
          </w:p>
        </w:tc>
      </w:tr>
      <w:tr>
        <w:trPr>
          <w:trHeight w:val="191"/>
        </w:trPr>
        <w:tc>
          <w:tcPr>
            <w:tcW w:w="5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0" w:type="dxa"/>
            <w:vAlign w:val="bottom"/>
            <w:gridSpan w:val="5"/>
          </w:tcPr>
          <w:p>
            <w:pPr>
              <w:ind w:left="120"/>
              <w:spacing w:after="0"/>
              <w:rPr>
                <w:sz w:val="20"/>
                <w:szCs w:val="20"/>
                <w:color w:val="auto"/>
              </w:rPr>
            </w:pPr>
            <w:r>
              <w:rPr>
                <w:rFonts w:ascii="Arial" w:cs="Arial" w:eastAsia="Arial" w:hAnsi="Arial"/>
                <w:sz w:val="11"/>
                <w:szCs w:val="11"/>
                <w:b w:val="1"/>
                <w:bCs w:val="1"/>
                <w:color w:val="auto"/>
              </w:rPr>
              <w:t>(in millions, except share and per share amounts)</w:t>
            </w:r>
          </w:p>
        </w:tc>
        <w:tc>
          <w:tcPr>
            <w:tcW w:w="36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02"/>
        </w:trPr>
        <w:tc>
          <w:tcPr>
            <w:tcW w:w="5160" w:type="dxa"/>
            <w:vAlign w:val="bottom"/>
          </w:tcPr>
          <w:p>
            <w:pPr>
              <w:ind w:left="20"/>
              <w:spacing w:after="0"/>
              <w:rPr>
                <w:sz w:val="20"/>
                <w:szCs w:val="20"/>
                <w:color w:val="auto"/>
              </w:rPr>
            </w:pPr>
            <w:r>
              <w:rPr>
                <w:rFonts w:ascii="Arial" w:cs="Arial" w:eastAsia="Arial" w:hAnsi="Arial"/>
                <w:sz w:val="14"/>
                <w:szCs w:val="14"/>
                <w:b w:val="1"/>
                <w:bCs w:val="1"/>
                <w:color w:val="auto"/>
              </w:rPr>
              <w:t>Numerator:</w:t>
            </w:r>
          </w:p>
        </w:tc>
        <w:tc>
          <w:tcPr>
            <w:tcW w:w="3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3"/>
        </w:trPr>
        <w:tc>
          <w:tcPr>
            <w:tcW w:w="5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96"/>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Income available to common shareholders - basic</w:t>
            </w:r>
          </w:p>
        </w:tc>
        <w:tc>
          <w:tcPr>
            <w:tcW w:w="380" w:type="dxa"/>
            <w:vAlign w:val="bottom"/>
            <w:tcBorders>
              <w:bottom w:val="single" w:sz="8" w:color="CCEEFF"/>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241</w:t>
            </w: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153</w:t>
            </w:r>
          </w:p>
        </w:tc>
        <w:tc>
          <w:tcPr>
            <w:tcW w:w="1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546</w:t>
            </w:r>
          </w:p>
        </w:tc>
        <w:tc>
          <w:tcPr>
            <w:tcW w:w="1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jc w:val="right"/>
              <w:ind w:right="208"/>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243</w:t>
            </w:r>
          </w:p>
        </w:tc>
      </w:tr>
      <w:tr>
        <w:trPr>
          <w:trHeight w:val="193"/>
        </w:trPr>
        <w:tc>
          <w:tcPr>
            <w:tcW w:w="5160" w:type="dxa"/>
            <w:vAlign w:val="bottom"/>
          </w:tcPr>
          <w:p>
            <w:pPr>
              <w:ind w:left="20"/>
              <w:spacing w:after="0"/>
              <w:rPr>
                <w:sz w:val="20"/>
                <w:szCs w:val="20"/>
                <w:color w:val="auto"/>
              </w:rPr>
            </w:pPr>
            <w:r>
              <w:rPr>
                <w:rFonts w:ascii="Arial" w:cs="Arial" w:eastAsia="Arial" w:hAnsi="Arial"/>
                <w:sz w:val="14"/>
                <w:szCs w:val="14"/>
                <w:color w:val="auto"/>
              </w:rPr>
              <w:t>Add back: Series B Preferred Stock dividend</w:t>
            </w:r>
          </w:p>
        </w:tc>
        <w:tc>
          <w:tcPr>
            <w:tcW w:w="380" w:type="dxa"/>
            <w:vAlign w:val="bottom"/>
          </w:tcPr>
          <w:p>
            <w:pPr>
              <w:spacing w:after="0"/>
              <w:rPr>
                <w:sz w:val="16"/>
                <w:szCs w:val="16"/>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6"/>
                <w:szCs w:val="16"/>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6"/>
                <w:szCs w:val="16"/>
                <w:color w:val="auto"/>
              </w:rPr>
            </w:pPr>
          </w:p>
        </w:tc>
        <w:tc>
          <w:tcPr>
            <w:tcW w:w="1100" w:type="dxa"/>
            <w:vAlign w:val="bottom"/>
          </w:tcPr>
          <w:p>
            <w:pPr>
              <w:jc w:val="right"/>
              <w:ind w:right="30"/>
              <w:spacing w:after="0"/>
              <w:rPr>
                <w:sz w:val="20"/>
                <w:szCs w:val="20"/>
                <w:color w:val="auto"/>
              </w:rPr>
            </w:pPr>
            <w:r>
              <w:rPr>
                <w:rFonts w:ascii="Arial" w:cs="Arial" w:eastAsia="Arial" w:hAnsi="Arial"/>
                <w:sz w:val="14"/>
                <w:szCs w:val="14"/>
                <w:color w:val="auto"/>
              </w:rPr>
              <w:t>—</w:t>
            </w:r>
          </w:p>
        </w:tc>
      </w:tr>
      <w:tr>
        <w:trPr>
          <w:trHeight w:val="23"/>
        </w:trPr>
        <w:tc>
          <w:tcPr>
            <w:tcW w:w="51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00"/>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Income available to common shareholders - diluted</w:t>
            </w:r>
          </w:p>
        </w:tc>
        <w:tc>
          <w:tcPr>
            <w:tcW w:w="38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241</w:t>
            </w: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153</w:t>
            </w:r>
          </w:p>
        </w:tc>
        <w:tc>
          <w:tcPr>
            <w:tcW w:w="1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546</w:t>
            </w:r>
          </w:p>
        </w:tc>
        <w:tc>
          <w:tcPr>
            <w:tcW w:w="1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243</w:t>
            </w:r>
          </w:p>
        </w:tc>
      </w:tr>
      <w:tr>
        <w:trPr>
          <w:trHeight w:val="20"/>
        </w:trPr>
        <w:tc>
          <w:tcPr>
            <w:tcW w:w="5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15"/>
        </w:trPr>
        <w:tc>
          <w:tcPr>
            <w:tcW w:w="5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196"/>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Denominator:</w:t>
            </w:r>
          </w:p>
        </w:tc>
        <w:tc>
          <w:tcPr>
            <w:tcW w:w="38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r>
      <w:tr>
        <w:trPr>
          <w:trHeight w:val="193"/>
        </w:trPr>
        <w:tc>
          <w:tcPr>
            <w:tcW w:w="5160" w:type="dxa"/>
            <w:vAlign w:val="bottom"/>
          </w:tcPr>
          <w:p>
            <w:pPr>
              <w:ind w:left="20"/>
              <w:spacing w:after="0"/>
              <w:rPr>
                <w:sz w:val="20"/>
                <w:szCs w:val="20"/>
                <w:color w:val="auto"/>
              </w:rPr>
            </w:pPr>
            <w:r>
              <w:rPr>
                <w:rFonts w:ascii="Arial" w:cs="Arial" w:eastAsia="Arial" w:hAnsi="Arial"/>
                <w:sz w:val="14"/>
                <w:szCs w:val="14"/>
                <w:color w:val="auto"/>
              </w:rPr>
              <w:t>Weighted average common shares outstanding - basic</w:t>
            </w:r>
          </w:p>
        </w:tc>
        <w:tc>
          <w:tcPr>
            <w:tcW w:w="380" w:type="dxa"/>
            <w:vAlign w:val="bottom"/>
          </w:tcPr>
          <w:p>
            <w:pPr>
              <w:spacing w:after="0"/>
              <w:rPr>
                <w:sz w:val="16"/>
                <w:szCs w:val="16"/>
                <w:color w:val="auto"/>
              </w:rPr>
            </w:pPr>
          </w:p>
        </w:tc>
        <w:tc>
          <w:tcPr>
            <w:tcW w:w="1120" w:type="dxa"/>
            <w:vAlign w:val="bottom"/>
          </w:tcPr>
          <w:p>
            <w:pPr>
              <w:jc w:val="right"/>
              <w:ind w:right="51"/>
              <w:spacing w:after="0"/>
              <w:rPr>
                <w:sz w:val="20"/>
                <w:szCs w:val="20"/>
                <w:color w:val="auto"/>
              </w:rPr>
            </w:pPr>
            <w:r>
              <w:rPr>
                <w:rFonts w:ascii="Arial" w:cs="Arial" w:eastAsia="Arial" w:hAnsi="Arial"/>
                <w:sz w:val="14"/>
                <w:szCs w:val="14"/>
                <w:color w:val="auto"/>
              </w:rPr>
              <w:t>502,228,000</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jc w:val="right"/>
              <w:ind w:right="51"/>
              <w:spacing w:after="0"/>
              <w:rPr>
                <w:sz w:val="20"/>
                <w:szCs w:val="20"/>
                <w:color w:val="auto"/>
              </w:rPr>
            </w:pPr>
            <w:r>
              <w:rPr>
                <w:rFonts w:ascii="Arial" w:cs="Arial" w:eastAsia="Arial" w:hAnsi="Arial"/>
                <w:sz w:val="14"/>
                <w:szCs w:val="14"/>
                <w:color w:val="auto"/>
              </w:rPr>
              <w:t>431,554,000</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31"/>
              <w:spacing w:after="0"/>
              <w:rPr>
                <w:sz w:val="20"/>
                <w:szCs w:val="20"/>
                <w:color w:val="auto"/>
              </w:rPr>
            </w:pPr>
            <w:r>
              <w:rPr>
                <w:rFonts w:ascii="Arial" w:cs="Arial" w:eastAsia="Arial" w:hAnsi="Arial"/>
                <w:sz w:val="14"/>
                <w:szCs w:val="14"/>
                <w:color w:val="auto"/>
              </w:rPr>
              <w:t>501,986,000</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jc w:val="right"/>
              <w:ind w:right="30"/>
              <w:spacing w:after="0"/>
              <w:rPr>
                <w:sz w:val="20"/>
                <w:szCs w:val="20"/>
                <w:color w:val="auto"/>
              </w:rPr>
            </w:pPr>
            <w:r>
              <w:rPr>
                <w:rFonts w:ascii="Arial" w:cs="Arial" w:eastAsia="Arial" w:hAnsi="Arial"/>
                <w:sz w:val="14"/>
                <w:szCs w:val="14"/>
                <w:color w:val="auto"/>
              </w:rPr>
              <w:t>431,437,000</w:t>
            </w:r>
          </w:p>
        </w:tc>
      </w:tr>
      <w:tr>
        <w:trPr>
          <w:trHeight w:val="23"/>
        </w:trPr>
        <w:tc>
          <w:tcPr>
            <w:tcW w:w="5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96"/>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Plus: Incremental shares from assumed conversions:</w:t>
            </w:r>
          </w:p>
        </w:tc>
        <w:tc>
          <w:tcPr>
            <w:tcW w:w="38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r>
      <w:tr>
        <w:trPr>
          <w:trHeight w:val="193"/>
        </w:trPr>
        <w:tc>
          <w:tcPr>
            <w:tcW w:w="5160" w:type="dxa"/>
            <w:vAlign w:val="bottom"/>
          </w:tcPr>
          <w:p>
            <w:pPr>
              <w:ind w:left="140"/>
              <w:spacing w:after="0"/>
              <w:rPr>
                <w:sz w:val="20"/>
                <w:szCs w:val="20"/>
                <w:color w:val="auto"/>
              </w:rPr>
            </w:pPr>
            <w:r>
              <w:rPr>
                <w:rFonts w:ascii="Arial" w:cs="Arial" w:eastAsia="Arial" w:hAnsi="Arial"/>
                <w:sz w:val="14"/>
                <w:szCs w:val="14"/>
                <w:color w:val="auto"/>
              </w:rPr>
              <w:t>Restricted stock</w:t>
            </w:r>
          </w:p>
        </w:tc>
        <w:tc>
          <w:tcPr>
            <w:tcW w:w="380" w:type="dxa"/>
            <w:vAlign w:val="bottom"/>
          </w:tcPr>
          <w:p>
            <w:pPr>
              <w:spacing w:after="0"/>
              <w:rPr>
                <w:sz w:val="16"/>
                <w:szCs w:val="16"/>
                <w:color w:val="auto"/>
              </w:rPr>
            </w:pPr>
          </w:p>
        </w:tc>
        <w:tc>
          <w:tcPr>
            <w:tcW w:w="1120" w:type="dxa"/>
            <w:vAlign w:val="bottom"/>
          </w:tcPr>
          <w:p>
            <w:pPr>
              <w:jc w:val="right"/>
              <w:ind w:right="51"/>
              <w:spacing w:after="0"/>
              <w:rPr>
                <w:sz w:val="20"/>
                <w:szCs w:val="20"/>
                <w:color w:val="auto"/>
              </w:rPr>
            </w:pPr>
            <w:r>
              <w:rPr>
                <w:rFonts w:ascii="Arial" w:cs="Arial" w:eastAsia="Arial" w:hAnsi="Arial"/>
                <w:sz w:val="14"/>
                <w:szCs w:val="14"/>
                <w:color w:val="auto"/>
              </w:rPr>
              <w:t>2,852,000</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jc w:val="right"/>
              <w:ind w:right="51"/>
              <w:spacing w:after="0"/>
              <w:rPr>
                <w:sz w:val="20"/>
                <w:szCs w:val="20"/>
                <w:color w:val="auto"/>
              </w:rPr>
            </w:pPr>
            <w:r>
              <w:rPr>
                <w:rFonts w:ascii="Arial" w:cs="Arial" w:eastAsia="Arial" w:hAnsi="Arial"/>
                <w:sz w:val="14"/>
                <w:szCs w:val="14"/>
                <w:color w:val="auto"/>
              </w:rPr>
              <w:t>3,337,000</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31"/>
              <w:spacing w:after="0"/>
              <w:rPr>
                <w:sz w:val="20"/>
                <w:szCs w:val="20"/>
                <w:color w:val="auto"/>
              </w:rPr>
            </w:pPr>
            <w:r>
              <w:rPr>
                <w:rFonts w:ascii="Arial" w:cs="Arial" w:eastAsia="Arial" w:hAnsi="Arial"/>
                <w:sz w:val="14"/>
                <w:szCs w:val="14"/>
                <w:color w:val="auto"/>
              </w:rPr>
              <w:t>2,852,000</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jc w:val="right"/>
              <w:ind w:right="30"/>
              <w:spacing w:after="0"/>
              <w:rPr>
                <w:sz w:val="20"/>
                <w:szCs w:val="20"/>
                <w:color w:val="auto"/>
              </w:rPr>
            </w:pPr>
            <w:r>
              <w:rPr>
                <w:rFonts w:ascii="Arial" w:cs="Arial" w:eastAsia="Arial" w:hAnsi="Arial"/>
                <w:sz w:val="14"/>
                <w:szCs w:val="14"/>
                <w:color w:val="auto"/>
              </w:rPr>
              <w:t>3,337,000</w:t>
            </w:r>
          </w:p>
        </w:tc>
      </w:tr>
      <w:tr>
        <w:trPr>
          <w:trHeight w:val="23"/>
        </w:trPr>
        <w:tc>
          <w:tcPr>
            <w:tcW w:w="5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16"/>
        </w:trPr>
        <w:tc>
          <w:tcPr>
            <w:tcW w:w="51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 xml:space="preserve">Series B Preferred Stock </w:t>
            </w:r>
            <w:r>
              <w:rPr>
                <w:rFonts w:ascii="Arial" w:cs="Arial" w:eastAsia="Arial" w:hAnsi="Arial"/>
                <w:sz w:val="11"/>
                <w:szCs w:val="11"/>
                <w:color w:val="auto"/>
              </w:rPr>
              <w:t>(1)</w:t>
            </w:r>
          </w:p>
        </w:tc>
        <w:tc>
          <w:tcPr>
            <w:tcW w:w="38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r>
      <w:tr>
        <w:trPr>
          <w:trHeight w:val="240"/>
        </w:trPr>
        <w:tc>
          <w:tcPr>
            <w:tcW w:w="51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Weighted average common shares outstanding - diluted</w:t>
            </w:r>
          </w:p>
        </w:tc>
        <w:tc>
          <w:tcPr>
            <w:tcW w:w="38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4"/>
                <w:szCs w:val="14"/>
                <w:color w:val="auto"/>
              </w:rPr>
              <w:t>505,080,000</w:t>
            </w:r>
          </w:p>
        </w:tc>
        <w:tc>
          <w:tcPr>
            <w:tcW w:w="120" w:type="dxa"/>
            <w:vAlign w:val="bottom"/>
            <w:tcBorders>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28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4"/>
                <w:szCs w:val="14"/>
                <w:color w:val="auto"/>
              </w:rPr>
              <w:t>434,891,000</w:t>
            </w:r>
          </w:p>
        </w:tc>
        <w:tc>
          <w:tcPr>
            <w:tcW w:w="120" w:type="dxa"/>
            <w:vAlign w:val="bottom"/>
            <w:tcBorders>
              <w:bottom w:val="single" w:sz="8" w:color="CCEEFF"/>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4"/>
                <w:szCs w:val="14"/>
                <w:color w:val="auto"/>
              </w:rPr>
              <w:t>504,838,000</w:t>
            </w:r>
          </w:p>
        </w:tc>
        <w:tc>
          <w:tcPr>
            <w:tcW w:w="120" w:type="dxa"/>
            <w:vAlign w:val="bottom"/>
            <w:tcBorders>
              <w:bottom w:val="single" w:sz="8" w:color="CCEEFF"/>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4"/>
                <w:szCs w:val="14"/>
                <w:color w:val="auto"/>
              </w:rPr>
              <w:t>434,774,000</w:t>
            </w:r>
          </w:p>
        </w:tc>
      </w:tr>
      <w:tr>
        <w:trPr>
          <w:trHeight w:val="205"/>
        </w:trPr>
        <w:tc>
          <w:tcPr>
            <w:tcW w:w="5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193"/>
        </w:trPr>
        <w:tc>
          <w:tcPr>
            <w:tcW w:w="5160" w:type="dxa"/>
            <w:vAlign w:val="bottom"/>
          </w:tcPr>
          <w:p>
            <w:pPr>
              <w:ind w:left="20"/>
              <w:spacing w:after="0"/>
              <w:rPr>
                <w:sz w:val="20"/>
                <w:szCs w:val="20"/>
                <w:color w:val="auto"/>
              </w:rPr>
            </w:pPr>
            <w:r>
              <w:rPr>
                <w:rFonts w:ascii="Arial" w:cs="Arial" w:eastAsia="Arial" w:hAnsi="Arial"/>
                <w:sz w:val="14"/>
                <w:szCs w:val="14"/>
                <w:b w:val="1"/>
                <w:bCs w:val="1"/>
                <w:color w:val="auto"/>
              </w:rPr>
              <w:t>Earnings per common share:</w:t>
            </w:r>
          </w:p>
        </w:tc>
        <w:tc>
          <w:tcPr>
            <w:tcW w:w="3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3"/>
        </w:trPr>
        <w:tc>
          <w:tcPr>
            <w:tcW w:w="5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96"/>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Basic earnings per common share</w:t>
            </w:r>
          </w:p>
        </w:tc>
        <w:tc>
          <w:tcPr>
            <w:tcW w:w="380" w:type="dxa"/>
            <w:vAlign w:val="bottom"/>
            <w:tcBorders>
              <w:bottom w:val="single" w:sz="8" w:color="CCEEFF"/>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0.48</w:t>
            </w: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0.35</w:t>
            </w:r>
          </w:p>
        </w:tc>
        <w:tc>
          <w:tcPr>
            <w:tcW w:w="1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1.09</w:t>
            </w:r>
          </w:p>
        </w:tc>
        <w:tc>
          <w:tcPr>
            <w:tcW w:w="1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jc w:val="right"/>
              <w:ind w:right="208"/>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0.56</w:t>
            </w:r>
          </w:p>
        </w:tc>
      </w:tr>
      <w:tr>
        <w:trPr>
          <w:trHeight w:val="193"/>
        </w:trPr>
        <w:tc>
          <w:tcPr>
            <w:tcW w:w="5160" w:type="dxa"/>
            <w:vAlign w:val="bottom"/>
          </w:tcPr>
          <w:p>
            <w:pPr>
              <w:ind w:left="20"/>
              <w:spacing w:after="0"/>
              <w:rPr>
                <w:sz w:val="20"/>
                <w:szCs w:val="20"/>
                <w:color w:val="auto"/>
              </w:rPr>
            </w:pPr>
            <w:r>
              <w:rPr>
                <w:rFonts w:ascii="Arial" w:cs="Arial" w:eastAsia="Arial" w:hAnsi="Arial"/>
                <w:sz w:val="14"/>
                <w:szCs w:val="14"/>
                <w:color w:val="auto"/>
              </w:rPr>
              <w:t>Diluted earnings per common share</w:t>
            </w: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51"/>
              <w:spacing w:after="0"/>
              <w:rPr>
                <w:sz w:val="20"/>
                <w:szCs w:val="20"/>
                <w:color w:val="auto"/>
              </w:rPr>
            </w:pPr>
            <w:r>
              <w:rPr>
                <w:rFonts w:ascii="Arial" w:cs="Arial" w:eastAsia="Arial" w:hAnsi="Arial"/>
                <w:sz w:val="14"/>
                <w:szCs w:val="14"/>
                <w:color w:val="auto"/>
              </w:rPr>
              <w:t>0.47</w:t>
            </w:r>
          </w:p>
        </w:tc>
        <w:tc>
          <w:tcPr>
            <w:tcW w:w="12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51"/>
              <w:spacing w:after="0"/>
              <w:rPr>
                <w:sz w:val="20"/>
                <w:szCs w:val="20"/>
                <w:color w:val="auto"/>
              </w:rPr>
            </w:pPr>
            <w:r>
              <w:rPr>
                <w:rFonts w:ascii="Arial" w:cs="Arial" w:eastAsia="Arial" w:hAnsi="Arial"/>
                <w:sz w:val="14"/>
                <w:szCs w:val="14"/>
                <w:color w:val="auto"/>
              </w:rPr>
              <w:t>0.35</w:t>
            </w:r>
          </w:p>
        </w:tc>
        <w:tc>
          <w:tcPr>
            <w:tcW w:w="120" w:type="dxa"/>
            <w:vAlign w:val="bottom"/>
          </w:tcPr>
          <w:p>
            <w:pPr>
              <w:spacing w:after="0"/>
              <w:rPr>
                <w:sz w:val="16"/>
                <w:szCs w:val="16"/>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31"/>
              <w:spacing w:after="0"/>
              <w:rPr>
                <w:sz w:val="20"/>
                <w:szCs w:val="20"/>
                <w:color w:val="auto"/>
              </w:rPr>
            </w:pPr>
            <w:r>
              <w:rPr>
                <w:rFonts w:ascii="Arial" w:cs="Arial" w:eastAsia="Arial" w:hAnsi="Arial"/>
                <w:sz w:val="14"/>
                <w:szCs w:val="14"/>
                <w:color w:val="auto"/>
              </w:rPr>
              <w:t>1.08</w:t>
            </w:r>
          </w:p>
        </w:tc>
        <w:tc>
          <w:tcPr>
            <w:tcW w:w="120" w:type="dxa"/>
            <w:vAlign w:val="bottom"/>
          </w:tcPr>
          <w:p>
            <w:pPr>
              <w:spacing w:after="0"/>
              <w:rPr>
                <w:sz w:val="16"/>
                <w:szCs w:val="16"/>
                <w:color w:val="auto"/>
              </w:rPr>
            </w:pPr>
          </w:p>
        </w:tc>
        <w:tc>
          <w:tcPr>
            <w:tcW w:w="360" w:type="dxa"/>
            <w:vAlign w:val="bottom"/>
          </w:tcPr>
          <w:p>
            <w:pPr>
              <w:jc w:val="right"/>
              <w:ind w:right="208"/>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ind w:right="30"/>
              <w:spacing w:after="0"/>
              <w:rPr>
                <w:sz w:val="20"/>
                <w:szCs w:val="20"/>
                <w:color w:val="auto"/>
              </w:rPr>
            </w:pPr>
            <w:r>
              <w:rPr>
                <w:rFonts w:ascii="Arial" w:cs="Arial" w:eastAsia="Arial" w:hAnsi="Arial"/>
                <w:sz w:val="14"/>
                <w:szCs w:val="14"/>
                <w:color w:val="auto"/>
              </w:rPr>
              <w:t>0.56</w:t>
            </w:r>
          </w:p>
        </w:tc>
      </w:tr>
    </w:tbl>
    <w:p>
      <w:pPr>
        <w:spacing w:after="0" w:line="357" w:lineRule="exact"/>
        <w:rPr>
          <w:sz w:val="20"/>
          <w:szCs w:val="20"/>
          <w:color w:val="auto"/>
        </w:rPr>
      </w:pPr>
    </w:p>
    <w:p>
      <w:pPr>
        <w:jc w:val="both"/>
        <w:ind w:left="520" w:hanging="255"/>
        <w:spacing w:after="0" w:line="264" w:lineRule="auto"/>
        <w:tabs>
          <w:tab w:leader="none" w:pos="520" w:val="left"/>
        </w:tabs>
        <w:numPr>
          <w:ilvl w:val="1"/>
          <w:numId w:val="44"/>
        </w:numPr>
        <w:rPr>
          <w:rFonts w:ascii="Arial" w:cs="Arial" w:eastAsia="Arial" w:hAnsi="Arial"/>
          <w:sz w:val="14"/>
          <w:szCs w:val="14"/>
          <w:color w:val="auto"/>
        </w:rPr>
      </w:pPr>
      <w:r>
        <w:rPr>
          <w:rFonts w:ascii="Arial" w:cs="Arial" w:eastAsia="Arial" w:hAnsi="Arial"/>
          <w:sz w:val="14"/>
          <w:szCs w:val="14"/>
          <w:color w:val="auto"/>
        </w:rPr>
        <w:t>The potentially dilutive impact from Series B Preferred Stock applies the if-converted method in calculating diluted earnings per common share. Under this method, diluted earnings per common share is adjusted for the more dilutive effect of the Series B Preferred Stock as a result of either its accumulated dividend for the period in the numerator or the assumed-converted common share equivalent in the denominator. The computation of diluted earnings per common share outstanding for the three and nine months ended September 30, 2019 excludes Series B Preferred Stock dividends of $17 million and $51 million, respectively, and 33,537,000 and 33,537,000 potentially dilutive shares, respectively, because to include them would be anti-dilutive. However, these could be potentially dilutive in the future.</w:t>
      </w:r>
    </w:p>
    <w:p>
      <w:pPr>
        <w:spacing w:after="0" w:line="145" w:lineRule="exact"/>
        <w:rPr>
          <w:rFonts w:ascii="Arial" w:cs="Arial" w:eastAsia="Arial" w:hAnsi="Arial"/>
          <w:sz w:val="14"/>
          <w:szCs w:val="14"/>
          <w:color w:val="auto"/>
        </w:rPr>
      </w:pPr>
    </w:p>
    <w:p>
      <w:pPr>
        <w:ind w:left="280" w:hanging="274"/>
        <w:spacing w:after="0"/>
        <w:tabs>
          <w:tab w:leader="none" w:pos="280" w:val="left"/>
        </w:tabs>
        <w:numPr>
          <w:ilvl w:val="0"/>
          <w:numId w:val="45"/>
        </w:numPr>
        <w:rPr>
          <w:rFonts w:ascii="Arial" w:cs="Arial" w:eastAsia="Arial" w:hAnsi="Arial"/>
          <w:sz w:val="14"/>
          <w:szCs w:val="14"/>
          <w:b w:val="1"/>
          <w:bCs w:val="1"/>
          <w:color w:val="auto"/>
        </w:rPr>
      </w:pPr>
      <w:r>
        <w:rPr>
          <w:rFonts w:ascii="Arial" w:cs="Arial" w:eastAsia="Arial" w:hAnsi="Arial"/>
          <w:sz w:val="14"/>
          <w:szCs w:val="14"/>
          <w:b w:val="1"/>
          <w:bCs w:val="1"/>
          <w:color w:val="auto"/>
        </w:rPr>
        <w:t>Reportable Segments</w:t>
      </w:r>
    </w:p>
    <w:p>
      <w:pPr>
        <w:spacing w:after="0" w:line="187" w:lineRule="exact"/>
        <w:rPr>
          <w:rFonts w:ascii="Arial" w:cs="Arial" w:eastAsia="Arial" w:hAnsi="Arial"/>
          <w:sz w:val="14"/>
          <w:szCs w:val="14"/>
          <w:b w:val="1"/>
          <w:bCs w:val="1"/>
          <w:color w:val="auto"/>
        </w:rPr>
      </w:pPr>
    </w:p>
    <w:p>
      <w:pPr>
        <w:ind w:left="260"/>
        <w:spacing w:after="0"/>
        <w:rPr>
          <w:rFonts w:ascii="Arial" w:cs="Arial" w:eastAsia="Arial" w:hAnsi="Arial"/>
          <w:sz w:val="14"/>
          <w:szCs w:val="14"/>
          <w:b w:val="1"/>
          <w:bCs w:val="1"/>
          <w:color w:val="auto"/>
        </w:rPr>
      </w:pPr>
      <w:r>
        <w:rPr>
          <w:rFonts w:ascii="Arial" w:cs="Arial" w:eastAsia="Arial" w:hAnsi="Arial"/>
          <w:sz w:val="13"/>
          <w:szCs w:val="13"/>
          <w:color w:val="auto"/>
        </w:rPr>
        <w:t>The Registrants’ determination of reportable segments considers the strategic operating units under which the Registrants manage sales, allocate resources and assess performance of various</w:t>
      </w:r>
    </w:p>
    <w:p>
      <w:pPr>
        <w:spacing w:after="0" w:line="33" w:lineRule="exact"/>
        <w:rPr>
          <w:sz w:val="20"/>
          <w:szCs w:val="20"/>
          <w:color w:val="auto"/>
        </w:rPr>
      </w:pPr>
    </w:p>
    <w:p>
      <w:pPr>
        <w:spacing w:after="0" w:line="274" w:lineRule="auto"/>
        <w:rPr>
          <w:sz w:val="20"/>
          <w:szCs w:val="20"/>
          <w:color w:val="auto"/>
        </w:rPr>
      </w:pPr>
      <w:r>
        <w:rPr>
          <w:rFonts w:ascii="Arial" w:cs="Arial" w:eastAsia="Arial" w:hAnsi="Arial"/>
          <w:sz w:val="14"/>
          <w:szCs w:val="14"/>
          <w:color w:val="auto"/>
        </w:rPr>
        <w:t>products and services to wholesale or retail customers in differing regulatory environments. The Registrants use operating income as the measure of profit or loss for the reportable segments other than Midstream Investments, where equity in earnings is used.</w:t>
      </w:r>
    </w:p>
    <w:p>
      <w:pPr>
        <w:spacing w:after="0" w:line="140" w:lineRule="exact"/>
        <w:rPr>
          <w:sz w:val="20"/>
          <w:szCs w:val="20"/>
          <w:color w:val="auto"/>
        </w:rPr>
      </w:pPr>
    </w:p>
    <w:p>
      <w:pPr>
        <w:ind w:left="260"/>
        <w:spacing w:after="0"/>
        <w:rPr>
          <w:sz w:val="20"/>
          <w:szCs w:val="20"/>
          <w:color w:val="auto"/>
        </w:rPr>
      </w:pPr>
      <w:r>
        <w:rPr>
          <w:rFonts w:ascii="Arial" w:cs="Arial" w:eastAsia="Arial" w:hAnsi="Arial"/>
          <w:sz w:val="14"/>
          <w:szCs w:val="14"/>
          <w:color w:val="auto"/>
        </w:rPr>
        <w:t>As of September 30, 2019, reportable segments by Registrant were as follows: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840" w:type="dxa"/>
            <w:vAlign w:val="bottom"/>
            <w:vMerge w:val="restart"/>
          </w:tcPr>
          <w:p>
            <w:pPr>
              <w:ind w:left="640"/>
              <w:spacing w:after="0"/>
              <w:rPr>
                <w:sz w:val="20"/>
                <w:szCs w:val="20"/>
                <w:color w:val="auto"/>
              </w:rPr>
            </w:pPr>
            <w:r>
              <w:rPr>
                <w:rFonts w:ascii="Arial" w:cs="Arial" w:eastAsia="Arial" w:hAnsi="Arial"/>
                <w:sz w:val="11"/>
                <w:szCs w:val="11"/>
                <w:b w:val="1"/>
                <w:bCs w:val="1"/>
                <w:color w:val="auto"/>
              </w:rPr>
              <w:t>Registrants</w:t>
            </w:r>
          </w:p>
        </w:tc>
        <w:tc>
          <w:tcPr>
            <w:tcW w:w="120" w:type="dxa"/>
            <w:vAlign w:val="bottom"/>
            <w:vMerge w:val="restart"/>
          </w:tcPr>
          <w:p>
            <w:pPr>
              <w:spacing w:after="0"/>
              <w:rPr>
                <w:sz w:val="10"/>
                <w:szCs w:val="10"/>
                <w:color w:val="auto"/>
              </w:rPr>
            </w:pPr>
          </w:p>
        </w:tc>
        <w:tc>
          <w:tcPr>
            <w:tcW w:w="126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9"/>
              </w:rPr>
              <w:t>Houston Electric T&amp;D</w:t>
            </w:r>
          </w:p>
        </w:tc>
        <w:tc>
          <w:tcPr>
            <w:tcW w:w="120" w:type="dxa"/>
            <w:vAlign w:val="bottom"/>
            <w:vMerge w:val="restart"/>
          </w:tcPr>
          <w:p>
            <w:pPr>
              <w:spacing w:after="0"/>
              <w:rPr>
                <w:sz w:val="10"/>
                <w:szCs w:val="10"/>
                <w:color w:val="auto"/>
              </w:rPr>
            </w:pPr>
          </w:p>
        </w:tc>
        <w:tc>
          <w:tcPr>
            <w:tcW w:w="138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8"/>
              </w:rPr>
              <w:t>Indiana Electric</w:t>
            </w:r>
          </w:p>
        </w:tc>
        <w:tc>
          <w:tcPr>
            <w:tcW w:w="138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7"/>
              </w:rPr>
              <w:t>Natural Gas</w:t>
            </w:r>
          </w:p>
        </w:tc>
        <w:tc>
          <w:tcPr>
            <w:tcW w:w="138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6"/>
              </w:rPr>
              <w:t>Energy</w:t>
            </w:r>
          </w:p>
        </w:tc>
        <w:tc>
          <w:tcPr>
            <w:tcW w:w="126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5"/>
              </w:rPr>
              <w:t>Infrastructure Services</w:t>
            </w:r>
          </w:p>
        </w:tc>
        <w:tc>
          <w:tcPr>
            <w:tcW w:w="120" w:type="dxa"/>
            <w:vAlign w:val="bottom"/>
            <w:vMerge w:val="restart"/>
          </w:tcPr>
          <w:p>
            <w:pPr>
              <w:spacing w:after="0"/>
              <w:rPr>
                <w:sz w:val="10"/>
                <w:szCs w:val="10"/>
                <w:color w:val="auto"/>
              </w:rPr>
            </w:pPr>
          </w:p>
        </w:tc>
        <w:tc>
          <w:tcPr>
            <w:tcW w:w="124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4"/>
              </w:rPr>
              <w:t>Midstream Investments</w:t>
            </w:r>
          </w:p>
        </w:tc>
        <w:tc>
          <w:tcPr>
            <w:tcW w:w="120" w:type="dxa"/>
            <w:vAlign w:val="bottom"/>
            <w:vMerge w:val="restart"/>
          </w:tcPr>
          <w:p>
            <w:pPr>
              <w:spacing w:after="0"/>
              <w:rPr>
                <w:sz w:val="10"/>
                <w:szCs w:val="10"/>
                <w:color w:val="auto"/>
              </w:rPr>
            </w:pPr>
          </w:p>
        </w:tc>
        <w:tc>
          <w:tcPr>
            <w:tcW w:w="124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6"/>
              </w:rPr>
              <w:t>Corporate and Other</w:t>
            </w:r>
          </w:p>
        </w:tc>
        <w:tc>
          <w:tcPr>
            <w:tcW w:w="0" w:type="dxa"/>
            <w:vAlign w:val="bottom"/>
          </w:tcPr>
          <w:p>
            <w:pPr>
              <w:spacing w:after="0"/>
              <w:rPr>
                <w:sz w:val="1"/>
                <w:szCs w:val="1"/>
                <w:color w:val="auto"/>
              </w:rPr>
            </w:pPr>
          </w:p>
        </w:tc>
      </w:tr>
      <w:tr>
        <w:trPr>
          <w:trHeight w:val="153"/>
        </w:trPr>
        <w:tc>
          <w:tcPr>
            <w:tcW w:w="1840" w:type="dxa"/>
            <w:vAlign w:val="bottom"/>
            <w:tcBorders>
              <w:bottom w:val="single" w:sz="8" w:color="auto"/>
            </w:tcBorders>
            <w:vMerge w:val="continue"/>
          </w:tcPr>
          <w:p>
            <w:pPr>
              <w:spacing w:after="0"/>
              <w:rPr>
                <w:sz w:val="13"/>
                <w:szCs w:val="13"/>
                <w:color w:val="auto"/>
              </w:rPr>
            </w:pPr>
          </w:p>
        </w:tc>
        <w:tc>
          <w:tcPr>
            <w:tcW w:w="120" w:type="dxa"/>
            <w:vAlign w:val="bottom"/>
            <w:tcBorders>
              <w:bottom w:val="single" w:sz="8" w:color="CCEEFF"/>
            </w:tcBorders>
            <w:vMerge w:val="continue"/>
          </w:tcPr>
          <w:p>
            <w:pPr>
              <w:spacing w:after="0"/>
              <w:rPr>
                <w:sz w:val="13"/>
                <w:szCs w:val="13"/>
                <w:color w:val="auto"/>
              </w:rPr>
            </w:pPr>
          </w:p>
        </w:tc>
        <w:tc>
          <w:tcPr>
            <w:tcW w:w="1260" w:type="dxa"/>
            <w:vAlign w:val="bottom"/>
            <w:tcBorders>
              <w:bottom w:val="single" w:sz="8" w:color="auto"/>
            </w:tcBorders>
            <w:vMerge w:val="continue"/>
          </w:tcPr>
          <w:p>
            <w:pPr>
              <w:spacing w:after="0"/>
              <w:rPr>
                <w:sz w:val="13"/>
                <w:szCs w:val="13"/>
                <w:color w:val="auto"/>
              </w:rPr>
            </w:pPr>
          </w:p>
        </w:tc>
        <w:tc>
          <w:tcPr>
            <w:tcW w:w="120" w:type="dxa"/>
            <w:vAlign w:val="bottom"/>
            <w:tcBorders>
              <w:bottom w:val="single" w:sz="8" w:color="CCEEFF"/>
            </w:tcBorders>
            <w:vMerge w:val="continue"/>
          </w:tcPr>
          <w:p>
            <w:pPr>
              <w:spacing w:after="0"/>
              <w:rPr>
                <w:sz w:val="13"/>
                <w:szCs w:val="13"/>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7"/>
              </w:rPr>
              <w:t>Integrated</w:t>
            </w:r>
          </w:p>
        </w:tc>
        <w:tc>
          <w:tcPr>
            <w:tcW w:w="120" w:type="dxa"/>
            <w:vAlign w:val="bottom"/>
            <w:tcBorders>
              <w:bottom w:val="single" w:sz="8" w:color="CCEEFF"/>
            </w:tcBorders>
          </w:tcPr>
          <w:p>
            <w:pPr>
              <w:spacing w:after="0"/>
              <w:rPr>
                <w:sz w:val="13"/>
                <w:szCs w:val="13"/>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7"/>
              </w:rPr>
              <w:t>Distribution</w:t>
            </w:r>
          </w:p>
        </w:tc>
        <w:tc>
          <w:tcPr>
            <w:tcW w:w="120" w:type="dxa"/>
            <w:vAlign w:val="bottom"/>
            <w:tcBorders>
              <w:bottom w:val="single" w:sz="8" w:color="CCEEFF"/>
            </w:tcBorders>
          </w:tcPr>
          <w:p>
            <w:pPr>
              <w:spacing w:after="0"/>
              <w:rPr>
                <w:sz w:val="13"/>
                <w:szCs w:val="13"/>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2"/>
              </w:rPr>
              <w:t>Services</w:t>
            </w:r>
          </w:p>
        </w:tc>
        <w:tc>
          <w:tcPr>
            <w:tcW w:w="120" w:type="dxa"/>
            <w:vAlign w:val="bottom"/>
            <w:tcBorders>
              <w:bottom w:val="single" w:sz="8" w:color="CCEEFF"/>
            </w:tcBorders>
          </w:tcPr>
          <w:p>
            <w:pPr>
              <w:spacing w:after="0"/>
              <w:rPr>
                <w:sz w:val="13"/>
                <w:szCs w:val="13"/>
                <w:color w:val="auto"/>
              </w:rPr>
            </w:pPr>
          </w:p>
        </w:tc>
        <w:tc>
          <w:tcPr>
            <w:tcW w:w="1260" w:type="dxa"/>
            <w:vAlign w:val="bottom"/>
            <w:tcBorders>
              <w:bottom w:val="single" w:sz="8" w:color="auto"/>
            </w:tcBorders>
            <w:vMerge w:val="continue"/>
          </w:tcPr>
          <w:p>
            <w:pPr>
              <w:spacing w:after="0"/>
              <w:rPr>
                <w:sz w:val="13"/>
                <w:szCs w:val="13"/>
                <w:color w:val="auto"/>
              </w:rPr>
            </w:pPr>
          </w:p>
        </w:tc>
        <w:tc>
          <w:tcPr>
            <w:tcW w:w="120" w:type="dxa"/>
            <w:vAlign w:val="bottom"/>
            <w:tcBorders>
              <w:bottom w:val="single" w:sz="8" w:color="CCEEFF"/>
            </w:tcBorders>
            <w:vMerge w:val="continue"/>
          </w:tcPr>
          <w:p>
            <w:pPr>
              <w:spacing w:after="0"/>
              <w:rPr>
                <w:sz w:val="13"/>
                <w:szCs w:val="13"/>
                <w:color w:val="auto"/>
              </w:rPr>
            </w:pPr>
          </w:p>
        </w:tc>
        <w:tc>
          <w:tcPr>
            <w:tcW w:w="1240" w:type="dxa"/>
            <w:vAlign w:val="bottom"/>
            <w:tcBorders>
              <w:bottom w:val="single" w:sz="8" w:color="auto"/>
            </w:tcBorders>
            <w:vMerge w:val="continue"/>
          </w:tcPr>
          <w:p>
            <w:pPr>
              <w:spacing w:after="0"/>
              <w:rPr>
                <w:sz w:val="13"/>
                <w:szCs w:val="13"/>
                <w:color w:val="auto"/>
              </w:rPr>
            </w:pPr>
          </w:p>
        </w:tc>
        <w:tc>
          <w:tcPr>
            <w:tcW w:w="120" w:type="dxa"/>
            <w:vAlign w:val="bottom"/>
            <w:tcBorders>
              <w:bottom w:val="single" w:sz="8" w:color="CCEEFF"/>
            </w:tcBorders>
            <w:vMerge w:val="continue"/>
          </w:tcPr>
          <w:p>
            <w:pPr>
              <w:spacing w:after="0"/>
              <w:rPr>
                <w:sz w:val="13"/>
                <w:szCs w:val="13"/>
                <w:color w:val="auto"/>
              </w:rPr>
            </w:pPr>
          </w:p>
        </w:tc>
        <w:tc>
          <w:tcPr>
            <w:tcW w:w="124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0"/>
        </w:trPr>
        <w:tc>
          <w:tcPr>
            <w:tcW w:w="196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CenterPoint Energy</w:t>
            </w:r>
          </w:p>
        </w:tc>
        <w:tc>
          <w:tcPr>
            <w:tcW w:w="1380" w:type="dxa"/>
            <w:vAlign w:val="bottom"/>
            <w:gridSpan w:val="2"/>
            <w:shd w:val="clear" w:color="auto" w:fill="CCEEFF"/>
          </w:tcPr>
          <w:p>
            <w:pPr>
              <w:jc w:val="center"/>
              <w:ind w:right="100"/>
              <w:spacing w:after="0"/>
              <w:rPr>
                <w:sz w:val="20"/>
                <w:szCs w:val="20"/>
                <w:color w:val="auto"/>
              </w:rPr>
            </w:pPr>
            <w:r>
              <w:rPr>
                <w:rFonts w:ascii="Arial" w:cs="Arial" w:eastAsia="Arial" w:hAnsi="Arial"/>
                <w:sz w:val="11"/>
                <w:szCs w:val="11"/>
                <w:color w:val="auto"/>
              </w:rPr>
              <w:t>X</w:t>
            </w:r>
          </w:p>
        </w:tc>
        <w:tc>
          <w:tcPr>
            <w:tcW w:w="1380" w:type="dxa"/>
            <w:vAlign w:val="bottom"/>
            <w:gridSpan w:val="2"/>
            <w:shd w:val="clear" w:color="auto" w:fill="CCEEFF"/>
          </w:tcPr>
          <w:p>
            <w:pPr>
              <w:jc w:val="center"/>
              <w:ind w:right="100"/>
              <w:spacing w:after="0"/>
              <w:rPr>
                <w:sz w:val="20"/>
                <w:szCs w:val="20"/>
                <w:color w:val="auto"/>
              </w:rPr>
            </w:pPr>
            <w:r>
              <w:rPr>
                <w:rFonts w:ascii="Arial" w:cs="Arial" w:eastAsia="Arial" w:hAnsi="Arial"/>
                <w:sz w:val="11"/>
                <w:szCs w:val="11"/>
                <w:color w:val="auto"/>
              </w:rPr>
              <w:t>X</w:t>
            </w:r>
          </w:p>
        </w:tc>
        <w:tc>
          <w:tcPr>
            <w:tcW w:w="1380" w:type="dxa"/>
            <w:vAlign w:val="bottom"/>
            <w:gridSpan w:val="2"/>
            <w:shd w:val="clear" w:color="auto" w:fill="CCEEFF"/>
          </w:tcPr>
          <w:p>
            <w:pPr>
              <w:jc w:val="center"/>
              <w:ind w:right="100"/>
              <w:spacing w:after="0"/>
              <w:rPr>
                <w:sz w:val="20"/>
                <w:szCs w:val="20"/>
                <w:color w:val="auto"/>
              </w:rPr>
            </w:pPr>
            <w:r>
              <w:rPr>
                <w:rFonts w:ascii="Arial" w:cs="Arial" w:eastAsia="Arial" w:hAnsi="Arial"/>
                <w:sz w:val="11"/>
                <w:szCs w:val="11"/>
                <w:color w:val="auto"/>
              </w:rPr>
              <w:t>X</w:t>
            </w:r>
          </w:p>
        </w:tc>
        <w:tc>
          <w:tcPr>
            <w:tcW w:w="1380" w:type="dxa"/>
            <w:vAlign w:val="bottom"/>
            <w:gridSpan w:val="2"/>
            <w:shd w:val="clear" w:color="auto" w:fill="CCEEFF"/>
          </w:tcPr>
          <w:p>
            <w:pPr>
              <w:jc w:val="center"/>
              <w:ind w:right="100"/>
              <w:spacing w:after="0"/>
              <w:rPr>
                <w:sz w:val="20"/>
                <w:szCs w:val="20"/>
                <w:color w:val="auto"/>
              </w:rPr>
            </w:pPr>
            <w:r>
              <w:rPr>
                <w:rFonts w:ascii="Arial" w:cs="Arial" w:eastAsia="Arial" w:hAnsi="Arial"/>
                <w:sz w:val="11"/>
                <w:szCs w:val="11"/>
                <w:color w:val="auto"/>
              </w:rPr>
              <w:t>X</w:t>
            </w:r>
          </w:p>
        </w:tc>
        <w:tc>
          <w:tcPr>
            <w:tcW w:w="1380" w:type="dxa"/>
            <w:vAlign w:val="bottom"/>
            <w:gridSpan w:val="2"/>
            <w:shd w:val="clear" w:color="auto" w:fill="CCEEFF"/>
          </w:tcPr>
          <w:p>
            <w:pPr>
              <w:jc w:val="center"/>
              <w:ind w:right="100"/>
              <w:spacing w:after="0"/>
              <w:rPr>
                <w:sz w:val="20"/>
                <w:szCs w:val="20"/>
                <w:color w:val="auto"/>
              </w:rPr>
            </w:pPr>
            <w:r>
              <w:rPr>
                <w:rFonts w:ascii="Arial" w:cs="Arial" w:eastAsia="Arial" w:hAnsi="Arial"/>
                <w:sz w:val="11"/>
                <w:szCs w:val="11"/>
                <w:color w:val="auto"/>
              </w:rPr>
              <w:t>X</w:t>
            </w:r>
          </w:p>
        </w:tc>
        <w:tc>
          <w:tcPr>
            <w:tcW w:w="1360" w:type="dxa"/>
            <w:vAlign w:val="bottom"/>
            <w:gridSpan w:val="2"/>
            <w:shd w:val="clear" w:color="auto" w:fill="CCEEFF"/>
          </w:tcPr>
          <w:p>
            <w:pPr>
              <w:jc w:val="center"/>
              <w:ind w:right="120"/>
              <w:spacing w:after="0"/>
              <w:rPr>
                <w:sz w:val="20"/>
                <w:szCs w:val="20"/>
                <w:color w:val="auto"/>
              </w:rPr>
            </w:pPr>
            <w:r>
              <w:rPr>
                <w:rFonts w:ascii="Arial" w:cs="Arial" w:eastAsia="Arial" w:hAnsi="Arial"/>
                <w:sz w:val="11"/>
                <w:szCs w:val="11"/>
                <w:color w:val="auto"/>
              </w:rPr>
              <w:t>X</w:t>
            </w:r>
          </w:p>
        </w:tc>
        <w:tc>
          <w:tcPr>
            <w:tcW w:w="1240" w:type="dxa"/>
            <w:vAlign w:val="bottom"/>
            <w:shd w:val="clear" w:color="auto" w:fill="CCEEFF"/>
          </w:tcPr>
          <w:p>
            <w:pPr>
              <w:jc w:val="center"/>
              <w:spacing w:after="0"/>
              <w:rPr>
                <w:sz w:val="20"/>
                <w:szCs w:val="20"/>
                <w:color w:val="auto"/>
              </w:rPr>
            </w:pPr>
            <w:r>
              <w:rPr>
                <w:rFonts w:ascii="Arial" w:cs="Arial" w:eastAsia="Arial" w:hAnsi="Arial"/>
                <w:sz w:val="11"/>
                <w:szCs w:val="11"/>
                <w:color w:val="auto"/>
              </w:rPr>
              <w:t>X</w:t>
            </w:r>
          </w:p>
        </w:tc>
        <w:tc>
          <w:tcPr>
            <w:tcW w:w="0" w:type="dxa"/>
            <w:vAlign w:val="bottom"/>
          </w:tcPr>
          <w:p>
            <w:pPr>
              <w:spacing w:after="0"/>
              <w:rPr>
                <w:sz w:val="1"/>
                <w:szCs w:val="1"/>
                <w:color w:val="auto"/>
              </w:rPr>
            </w:pPr>
          </w:p>
        </w:tc>
      </w:tr>
      <w:tr>
        <w:trPr>
          <w:trHeight w:val="211"/>
        </w:trPr>
        <w:tc>
          <w:tcPr>
            <w:tcW w:w="1960" w:type="dxa"/>
            <w:vAlign w:val="bottom"/>
            <w:gridSpan w:val="2"/>
          </w:tcPr>
          <w:p>
            <w:pPr>
              <w:ind w:left="20"/>
              <w:spacing w:after="0"/>
              <w:rPr>
                <w:sz w:val="20"/>
                <w:szCs w:val="20"/>
                <w:color w:val="auto"/>
              </w:rPr>
            </w:pPr>
            <w:r>
              <w:rPr>
                <w:rFonts w:ascii="Arial" w:cs="Arial" w:eastAsia="Arial" w:hAnsi="Arial"/>
                <w:sz w:val="11"/>
                <w:szCs w:val="11"/>
                <w:color w:val="auto"/>
              </w:rPr>
              <w:t>Houston Electric</w:t>
            </w:r>
          </w:p>
        </w:tc>
        <w:tc>
          <w:tcPr>
            <w:tcW w:w="1380" w:type="dxa"/>
            <w:vAlign w:val="bottom"/>
            <w:gridSpan w:val="2"/>
          </w:tcPr>
          <w:p>
            <w:pPr>
              <w:jc w:val="center"/>
              <w:ind w:right="100"/>
              <w:spacing w:after="0"/>
              <w:rPr>
                <w:sz w:val="20"/>
                <w:szCs w:val="20"/>
                <w:color w:val="auto"/>
              </w:rPr>
            </w:pPr>
            <w:r>
              <w:rPr>
                <w:rFonts w:ascii="Arial" w:cs="Arial" w:eastAsia="Arial" w:hAnsi="Arial"/>
                <w:sz w:val="11"/>
                <w:szCs w:val="11"/>
                <w:color w:val="auto"/>
              </w:rPr>
              <w:t>X</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96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CERC</w:t>
            </w: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center"/>
              <w:ind w:right="100"/>
              <w:spacing w:after="0"/>
              <w:rPr>
                <w:sz w:val="20"/>
                <w:szCs w:val="20"/>
                <w:color w:val="auto"/>
              </w:rPr>
            </w:pPr>
            <w:r>
              <w:rPr>
                <w:rFonts w:ascii="Arial" w:cs="Arial" w:eastAsia="Arial" w:hAnsi="Arial"/>
                <w:sz w:val="11"/>
                <w:szCs w:val="11"/>
                <w:color w:val="auto"/>
              </w:rPr>
              <w:t>X</w:t>
            </w:r>
          </w:p>
        </w:tc>
        <w:tc>
          <w:tcPr>
            <w:tcW w:w="1380" w:type="dxa"/>
            <w:vAlign w:val="bottom"/>
            <w:gridSpan w:val="2"/>
            <w:shd w:val="clear" w:color="auto" w:fill="CCEEFF"/>
          </w:tcPr>
          <w:p>
            <w:pPr>
              <w:jc w:val="center"/>
              <w:ind w:right="100"/>
              <w:spacing w:after="0"/>
              <w:rPr>
                <w:sz w:val="20"/>
                <w:szCs w:val="20"/>
                <w:color w:val="auto"/>
              </w:rPr>
            </w:pPr>
            <w:r>
              <w:rPr>
                <w:rFonts w:ascii="Arial" w:cs="Arial" w:eastAsia="Arial" w:hAnsi="Arial"/>
                <w:sz w:val="11"/>
                <w:szCs w:val="11"/>
                <w:color w:val="auto"/>
              </w:rPr>
              <w:t>X</w:t>
            </w: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1"/>
                <w:szCs w:val="11"/>
                <w:color w:val="auto"/>
              </w:rPr>
              <w:t>X</w:t>
            </w:r>
          </w:p>
        </w:tc>
        <w:tc>
          <w:tcPr>
            <w:tcW w:w="0" w:type="dxa"/>
            <w:vAlign w:val="bottom"/>
          </w:tcPr>
          <w:p>
            <w:pPr>
              <w:spacing w:after="0"/>
              <w:rPr>
                <w:sz w:val="1"/>
                <w:szCs w:val="1"/>
                <w:color w:val="auto"/>
              </w:rPr>
            </w:pPr>
          </w:p>
        </w:tc>
      </w:tr>
    </w:tbl>
    <w:p>
      <w:pPr>
        <w:spacing w:after="0" w:line="162" w:lineRule="exact"/>
        <w:rPr>
          <w:sz w:val="20"/>
          <w:szCs w:val="20"/>
          <w:color w:val="auto"/>
        </w:rPr>
      </w:pPr>
    </w:p>
    <w:p>
      <w:pPr>
        <w:ind w:left="520" w:hanging="255"/>
        <w:spacing w:after="0"/>
        <w:tabs>
          <w:tab w:leader="none" w:pos="520" w:val="left"/>
        </w:tabs>
        <w:numPr>
          <w:ilvl w:val="0"/>
          <w:numId w:val="46"/>
        </w:numPr>
        <w:rPr>
          <w:rFonts w:ascii="Arial" w:cs="Arial" w:eastAsia="Arial" w:hAnsi="Arial"/>
          <w:sz w:val="14"/>
          <w:szCs w:val="14"/>
          <w:color w:val="auto"/>
        </w:rPr>
      </w:pPr>
      <w:r>
        <w:rPr>
          <w:rFonts w:ascii="Arial" w:cs="Arial" w:eastAsia="Arial" w:hAnsi="Arial"/>
          <w:sz w:val="14"/>
          <w:szCs w:val="14"/>
          <w:color w:val="auto"/>
        </w:rPr>
        <w:t>The Houston Electric T&amp;D reportable segment consists of electric transmission and distribution services in the Texas Gulf Coast area.</w:t>
      </w:r>
    </w:p>
    <w:p>
      <w:pPr>
        <w:spacing w:after="0" w:line="183" w:lineRule="exact"/>
        <w:rPr>
          <w:rFonts w:ascii="Arial" w:cs="Arial" w:eastAsia="Arial" w:hAnsi="Arial"/>
          <w:sz w:val="14"/>
          <w:szCs w:val="14"/>
          <w:color w:val="auto"/>
        </w:rPr>
      </w:pPr>
    </w:p>
    <w:p>
      <w:pPr>
        <w:ind w:left="520" w:hanging="255"/>
        <w:spacing w:after="0" w:line="288" w:lineRule="auto"/>
        <w:tabs>
          <w:tab w:leader="none" w:pos="520" w:val="left"/>
        </w:tabs>
        <w:numPr>
          <w:ilvl w:val="0"/>
          <w:numId w:val="46"/>
        </w:numPr>
        <w:rPr>
          <w:rFonts w:ascii="Arial" w:cs="Arial" w:eastAsia="Arial" w:hAnsi="Arial"/>
          <w:sz w:val="14"/>
          <w:szCs w:val="14"/>
          <w:color w:val="auto"/>
        </w:rPr>
      </w:pPr>
      <w:r>
        <w:rPr>
          <w:rFonts w:ascii="Arial" w:cs="Arial" w:eastAsia="Arial" w:hAnsi="Arial"/>
          <w:sz w:val="14"/>
          <w:szCs w:val="14"/>
          <w:color w:val="auto"/>
        </w:rPr>
        <w:t>The Indiana Electric Integrated reportable segment consists of electric transmission and distribution services primarily to southwestern Indiana and includes power generation and wholesale power operations.</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55</w:t>
      </w:r>
    </w:p>
    <w:p>
      <w:pPr>
        <w:sectPr>
          <w:pgSz w:w="11900" w:h="16838" w:orient="portrait"/>
          <w:cols w:equalWidth="0" w:num="1">
            <w:col w:w="11460"/>
          </w:cols>
          <w:pgMar w:left="220" w:top="129" w:right="219" w:bottom="1440" w:gutter="0" w:footer="0" w:header="0"/>
        </w:sectPr>
      </w:pPr>
    </w:p>
    <w:bookmarkStart w:id="65" w:name="page66"/>
    <w:bookmarkEnd w:id="65"/>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378" w:lineRule="exact"/>
        <w:rPr>
          <w:sz w:val="20"/>
          <w:szCs w:val="20"/>
          <w:color w:val="auto"/>
        </w:rPr>
      </w:pPr>
    </w:p>
    <w:p>
      <w:pPr>
        <w:ind w:left="520" w:hanging="255"/>
        <w:spacing w:after="0" w:line="288" w:lineRule="auto"/>
        <w:tabs>
          <w:tab w:leader="none" w:pos="520" w:val="left"/>
        </w:tabs>
        <w:numPr>
          <w:ilvl w:val="0"/>
          <w:numId w:val="47"/>
        </w:numPr>
        <w:rPr>
          <w:rFonts w:ascii="Arial" w:cs="Arial" w:eastAsia="Arial" w:hAnsi="Arial"/>
          <w:sz w:val="14"/>
          <w:szCs w:val="14"/>
          <w:color w:val="auto"/>
        </w:rPr>
      </w:pPr>
      <w:r>
        <w:rPr>
          <w:rFonts w:ascii="Arial" w:cs="Arial" w:eastAsia="Arial" w:hAnsi="Arial"/>
          <w:sz w:val="14"/>
          <w:szCs w:val="14"/>
          <w:color w:val="auto"/>
        </w:rPr>
        <w:t>CenterPoint Energy’s Natural Gas Distribution reportable segment consists of intrastate natural gas sales to, and natural gas transportation and distribution for residential, commercial, industrial and institutional customers in Arkansas, Indiana, Louisiana, Minnesota, Mississippi, Ohio, Oklahoma and Texas.</w:t>
      </w:r>
    </w:p>
    <w:p>
      <w:pPr>
        <w:spacing w:after="0" w:line="130" w:lineRule="exact"/>
        <w:rPr>
          <w:rFonts w:ascii="Arial" w:cs="Arial" w:eastAsia="Arial" w:hAnsi="Arial"/>
          <w:sz w:val="14"/>
          <w:szCs w:val="14"/>
          <w:color w:val="auto"/>
        </w:rPr>
      </w:pPr>
    </w:p>
    <w:p>
      <w:pPr>
        <w:ind w:left="520" w:hanging="255"/>
        <w:spacing w:after="0" w:line="288" w:lineRule="auto"/>
        <w:tabs>
          <w:tab w:leader="none" w:pos="520" w:val="left"/>
        </w:tabs>
        <w:numPr>
          <w:ilvl w:val="0"/>
          <w:numId w:val="47"/>
        </w:numPr>
        <w:rPr>
          <w:rFonts w:ascii="Arial" w:cs="Arial" w:eastAsia="Arial" w:hAnsi="Arial"/>
          <w:sz w:val="14"/>
          <w:szCs w:val="14"/>
          <w:color w:val="auto"/>
        </w:rPr>
      </w:pPr>
      <w:r>
        <w:rPr>
          <w:rFonts w:ascii="Arial" w:cs="Arial" w:eastAsia="Arial" w:hAnsi="Arial"/>
          <w:sz w:val="14"/>
          <w:szCs w:val="14"/>
          <w:color w:val="auto"/>
        </w:rPr>
        <w:t>CERC’s Natural Gas Distribution reportable segment consists of intrastate natural gas sales to, and natural gas transportation and distribution for residential, commercial, industrial and institutional customers in Arkansas, Louisiana, Minnesota, Mississippi, Oklahoma and Texas.</w:t>
      </w:r>
    </w:p>
    <w:p>
      <w:pPr>
        <w:spacing w:after="0" w:line="152" w:lineRule="exact"/>
        <w:rPr>
          <w:rFonts w:ascii="Arial" w:cs="Arial" w:eastAsia="Arial" w:hAnsi="Arial"/>
          <w:sz w:val="14"/>
          <w:szCs w:val="14"/>
          <w:color w:val="auto"/>
        </w:rPr>
      </w:pPr>
    </w:p>
    <w:p>
      <w:pPr>
        <w:ind w:left="580" w:hanging="315"/>
        <w:spacing w:after="0"/>
        <w:tabs>
          <w:tab w:leader="none" w:pos="580" w:val="left"/>
        </w:tabs>
        <w:numPr>
          <w:ilvl w:val="0"/>
          <w:numId w:val="47"/>
        </w:numPr>
        <w:rPr>
          <w:rFonts w:ascii="Arial" w:cs="Arial" w:eastAsia="Arial" w:hAnsi="Arial"/>
          <w:sz w:val="14"/>
          <w:szCs w:val="14"/>
          <w:color w:val="auto"/>
        </w:rPr>
      </w:pPr>
      <w:r>
        <w:rPr>
          <w:rFonts w:ascii="Arial" w:cs="Arial" w:eastAsia="Arial" w:hAnsi="Arial"/>
          <w:sz w:val="14"/>
          <w:szCs w:val="14"/>
          <w:color w:val="auto"/>
        </w:rPr>
        <w:t>The Energy Services reportable segment consists of non-rate regulated natural gas sales and services operations.</w:t>
      </w:r>
    </w:p>
    <w:p>
      <w:pPr>
        <w:spacing w:after="0" w:line="216" w:lineRule="exact"/>
        <w:rPr>
          <w:rFonts w:ascii="Arial" w:cs="Arial" w:eastAsia="Arial" w:hAnsi="Arial"/>
          <w:sz w:val="14"/>
          <w:szCs w:val="14"/>
          <w:color w:val="auto"/>
        </w:rPr>
      </w:pPr>
    </w:p>
    <w:p>
      <w:pPr>
        <w:ind w:left="580" w:hanging="315"/>
        <w:spacing w:after="0"/>
        <w:tabs>
          <w:tab w:leader="none" w:pos="580" w:val="left"/>
        </w:tabs>
        <w:numPr>
          <w:ilvl w:val="0"/>
          <w:numId w:val="47"/>
        </w:numPr>
        <w:rPr>
          <w:rFonts w:ascii="Arial" w:cs="Arial" w:eastAsia="Arial" w:hAnsi="Arial"/>
          <w:sz w:val="14"/>
          <w:szCs w:val="14"/>
          <w:color w:val="auto"/>
        </w:rPr>
      </w:pPr>
      <w:r>
        <w:rPr>
          <w:rFonts w:ascii="Arial" w:cs="Arial" w:eastAsia="Arial" w:hAnsi="Arial"/>
          <w:sz w:val="14"/>
          <w:szCs w:val="14"/>
          <w:color w:val="auto"/>
        </w:rPr>
        <w:t>The Infrastructure Services reportable segment consists of underground pipeline construction and repair services.</w:t>
      </w:r>
    </w:p>
    <w:p>
      <w:pPr>
        <w:spacing w:after="0" w:line="194" w:lineRule="exact"/>
        <w:rPr>
          <w:rFonts w:ascii="Arial" w:cs="Arial" w:eastAsia="Arial" w:hAnsi="Arial"/>
          <w:sz w:val="14"/>
          <w:szCs w:val="14"/>
          <w:color w:val="auto"/>
        </w:rPr>
      </w:pPr>
    </w:p>
    <w:p>
      <w:pPr>
        <w:ind w:left="520" w:hanging="255"/>
        <w:spacing w:after="0"/>
        <w:tabs>
          <w:tab w:leader="none" w:pos="520" w:val="left"/>
        </w:tabs>
        <w:numPr>
          <w:ilvl w:val="0"/>
          <w:numId w:val="47"/>
        </w:numPr>
        <w:rPr>
          <w:rFonts w:ascii="Arial" w:cs="Arial" w:eastAsia="Arial" w:hAnsi="Arial"/>
          <w:sz w:val="14"/>
          <w:szCs w:val="14"/>
          <w:color w:val="auto"/>
        </w:rPr>
      </w:pPr>
      <w:r>
        <w:rPr>
          <w:rFonts w:ascii="Arial" w:cs="Arial" w:eastAsia="Arial" w:hAnsi="Arial"/>
          <w:sz w:val="14"/>
          <w:szCs w:val="14"/>
          <w:color w:val="auto"/>
        </w:rPr>
        <w:t>The Midstream Investments reportable segment consists of the equity investment in Enable (excluding the Enable Series A Preferred Units).</w:t>
      </w:r>
    </w:p>
    <w:p>
      <w:pPr>
        <w:spacing w:after="0" w:line="183" w:lineRule="exact"/>
        <w:rPr>
          <w:rFonts w:ascii="Arial" w:cs="Arial" w:eastAsia="Arial" w:hAnsi="Arial"/>
          <w:sz w:val="14"/>
          <w:szCs w:val="14"/>
          <w:color w:val="auto"/>
        </w:rPr>
      </w:pPr>
    </w:p>
    <w:p>
      <w:pPr>
        <w:ind w:left="520" w:hanging="255"/>
        <w:spacing w:after="0" w:line="288" w:lineRule="auto"/>
        <w:tabs>
          <w:tab w:leader="none" w:pos="520" w:val="left"/>
        </w:tabs>
        <w:numPr>
          <w:ilvl w:val="0"/>
          <w:numId w:val="47"/>
        </w:numPr>
        <w:rPr>
          <w:rFonts w:ascii="Arial" w:cs="Arial" w:eastAsia="Arial" w:hAnsi="Arial"/>
          <w:sz w:val="14"/>
          <w:szCs w:val="14"/>
          <w:color w:val="auto"/>
        </w:rPr>
      </w:pPr>
      <w:r>
        <w:rPr>
          <w:rFonts w:ascii="Arial" w:cs="Arial" w:eastAsia="Arial" w:hAnsi="Arial"/>
          <w:sz w:val="14"/>
          <w:szCs w:val="14"/>
          <w:color w:val="auto"/>
        </w:rPr>
        <w:t>CenterPoint Energy’s Corporate and Other reportable segment consists of energy performance contracting and sustainable infrastructure services through ESG and other corporate operations which support all of the business operations of CenterPoint Energy.</w:t>
      </w:r>
    </w:p>
    <w:p>
      <w:pPr>
        <w:spacing w:after="0" w:line="130" w:lineRule="exact"/>
        <w:rPr>
          <w:rFonts w:ascii="Arial" w:cs="Arial" w:eastAsia="Arial" w:hAnsi="Arial"/>
          <w:sz w:val="14"/>
          <w:szCs w:val="14"/>
          <w:color w:val="auto"/>
        </w:rPr>
      </w:pPr>
    </w:p>
    <w:p>
      <w:pPr>
        <w:ind w:left="520" w:hanging="255"/>
        <w:spacing w:after="0"/>
        <w:tabs>
          <w:tab w:leader="none" w:pos="520" w:val="left"/>
        </w:tabs>
        <w:numPr>
          <w:ilvl w:val="0"/>
          <w:numId w:val="47"/>
        </w:numPr>
        <w:rPr>
          <w:rFonts w:ascii="Arial" w:cs="Arial" w:eastAsia="Arial" w:hAnsi="Arial"/>
          <w:sz w:val="14"/>
          <w:szCs w:val="14"/>
          <w:color w:val="auto"/>
        </w:rPr>
      </w:pPr>
      <w:r>
        <w:rPr>
          <w:rFonts w:ascii="Arial" w:cs="Arial" w:eastAsia="Arial" w:hAnsi="Arial"/>
          <w:sz w:val="14"/>
          <w:szCs w:val="14"/>
          <w:color w:val="auto"/>
        </w:rPr>
        <w:t>CERC’s Corporate and Other reportable segment consists primarily of corporate operations which support all of the business operations of CERC.</w:t>
      </w:r>
    </w:p>
    <w:p>
      <w:pPr>
        <w:spacing w:after="0" w:line="184" w:lineRule="exact"/>
        <w:rPr>
          <w:sz w:val="20"/>
          <w:szCs w:val="20"/>
          <w:color w:val="auto"/>
        </w:rPr>
      </w:pPr>
    </w:p>
    <w:p>
      <w:pPr>
        <w:ind w:left="260"/>
        <w:spacing w:after="0"/>
        <w:rPr>
          <w:sz w:val="20"/>
          <w:szCs w:val="20"/>
          <w:color w:val="auto"/>
        </w:rPr>
      </w:pPr>
      <w:r>
        <w:rPr>
          <w:rFonts w:ascii="Arial" w:cs="Arial" w:eastAsia="Arial" w:hAnsi="Arial"/>
          <w:sz w:val="14"/>
          <w:szCs w:val="14"/>
          <w:color w:val="auto"/>
        </w:rPr>
        <w:t>Financial data for reportable segments is as follows:</w:t>
      </w:r>
    </w:p>
    <w:p>
      <w:pPr>
        <w:spacing w:after="0" w:line="18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CenterPoint Energy</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3560" w:type="dxa"/>
            <w:vAlign w:val="bottom"/>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400" w:type="dxa"/>
            <w:vAlign w:val="bottom"/>
            <w:tcBorders>
              <w:bottom w:val="single" w:sz="8" w:color="auto"/>
            </w:tcBorders>
            <w:gridSpan w:val="5"/>
          </w:tcPr>
          <w:p>
            <w:pPr>
              <w:jc w:val="right"/>
              <w:ind w:right="404"/>
              <w:spacing w:after="0"/>
              <w:rPr>
                <w:sz w:val="20"/>
                <w:szCs w:val="20"/>
                <w:color w:val="auto"/>
              </w:rPr>
            </w:pPr>
            <w:r>
              <w:rPr>
                <w:rFonts w:ascii="Arial" w:cs="Arial" w:eastAsia="Arial" w:hAnsi="Arial"/>
                <w:sz w:val="10"/>
                <w:szCs w:val="10"/>
                <w:b w:val="1"/>
                <w:bCs w:val="1"/>
                <w:color w:val="auto"/>
              </w:rPr>
              <w:t>Three Months Ended September 30,</w:t>
            </w:r>
          </w:p>
        </w:tc>
        <w:tc>
          <w:tcPr>
            <w:tcW w:w="34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r>
      <w:tr>
        <w:trPr>
          <w:trHeight w:val="206"/>
        </w:trPr>
        <w:tc>
          <w:tcPr>
            <w:tcW w:w="3560" w:type="dxa"/>
            <w:vAlign w:val="bottom"/>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245"/>
              <w:spacing w:after="0"/>
              <w:rPr>
                <w:sz w:val="20"/>
                <w:szCs w:val="20"/>
                <w:color w:val="auto"/>
              </w:rPr>
            </w:pPr>
            <w:r>
              <w:rPr>
                <w:rFonts w:ascii="Arial" w:cs="Arial" w:eastAsia="Arial" w:hAnsi="Arial"/>
                <w:sz w:val="10"/>
                <w:szCs w:val="10"/>
                <w:b w:val="1"/>
                <w:bCs w:val="1"/>
                <w:color w:val="auto"/>
              </w:rPr>
              <w:t>2019</w:t>
            </w:r>
          </w:p>
        </w:tc>
        <w:tc>
          <w:tcPr>
            <w:tcW w:w="2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505"/>
              <w:spacing w:after="0"/>
              <w:rPr>
                <w:sz w:val="20"/>
                <w:szCs w:val="20"/>
                <w:color w:val="auto"/>
              </w:rPr>
            </w:pPr>
            <w:r>
              <w:rPr>
                <w:rFonts w:ascii="Arial" w:cs="Arial" w:eastAsia="Arial" w:hAnsi="Arial"/>
                <w:sz w:val="10"/>
                <w:szCs w:val="10"/>
                <w:b w:val="1"/>
                <w:bCs w:val="1"/>
                <w:color w:val="auto"/>
              </w:rPr>
              <w:t>2018</w:t>
            </w:r>
          </w:p>
        </w:tc>
        <w:tc>
          <w:tcPr>
            <w:tcW w:w="1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r>
      <w:tr>
        <w:trPr>
          <w:trHeight w:val="113"/>
        </w:trPr>
        <w:tc>
          <w:tcPr>
            <w:tcW w:w="3560" w:type="dxa"/>
            <w:vAlign w:val="bottom"/>
          </w:tcPr>
          <w:p>
            <w:pPr>
              <w:spacing w:after="0"/>
              <w:rPr>
                <w:sz w:val="9"/>
                <w:szCs w:val="9"/>
                <w:color w:val="auto"/>
              </w:rPr>
            </w:pPr>
          </w:p>
        </w:tc>
        <w:tc>
          <w:tcPr>
            <w:tcW w:w="1160" w:type="dxa"/>
            <w:vAlign w:val="bottom"/>
            <w:gridSpan w:val="2"/>
          </w:tcPr>
          <w:p>
            <w:pPr>
              <w:jc w:val="center"/>
              <w:spacing w:after="0" w:line="114" w:lineRule="exact"/>
              <w:rPr>
                <w:sz w:val="20"/>
                <w:szCs w:val="20"/>
                <w:color w:val="auto"/>
              </w:rPr>
            </w:pPr>
            <w:r>
              <w:rPr>
                <w:rFonts w:ascii="Arial" w:cs="Arial" w:eastAsia="Arial" w:hAnsi="Arial"/>
                <w:sz w:val="10"/>
                <w:szCs w:val="10"/>
                <w:b w:val="1"/>
                <w:bCs w:val="1"/>
                <w:color w:val="auto"/>
                <w:w w:val="88"/>
              </w:rPr>
              <w:t>Revenues from</w:t>
            </w:r>
          </w:p>
        </w:tc>
        <w:tc>
          <w:tcPr>
            <w:tcW w:w="360" w:type="dxa"/>
            <w:vAlign w:val="bottom"/>
          </w:tcPr>
          <w:p>
            <w:pPr>
              <w:spacing w:after="0"/>
              <w:rPr>
                <w:sz w:val="9"/>
                <w:szCs w:val="9"/>
                <w:color w:val="auto"/>
              </w:rPr>
            </w:pPr>
          </w:p>
        </w:tc>
        <w:tc>
          <w:tcPr>
            <w:tcW w:w="880" w:type="dxa"/>
            <w:vAlign w:val="bottom"/>
          </w:tcPr>
          <w:p>
            <w:pPr>
              <w:jc w:val="center"/>
              <w:ind w:left="205"/>
              <w:spacing w:after="0" w:line="114" w:lineRule="exact"/>
              <w:rPr>
                <w:sz w:val="20"/>
                <w:szCs w:val="20"/>
                <w:color w:val="auto"/>
              </w:rPr>
            </w:pPr>
            <w:r>
              <w:rPr>
                <w:rFonts w:ascii="Arial" w:cs="Arial" w:eastAsia="Arial" w:hAnsi="Arial"/>
                <w:sz w:val="10"/>
                <w:szCs w:val="10"/>
                <w:b w:val="1"/>
                <w:bCs w:val="1"/>
                <w:color w:val="auto"/>
                <w:w w:val="86"/>
              </w:rPr>
              <w:t>Net</w:t>
            </w: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40" w:type="dxa"/>
            <w:vAlign w:val="bottom"/>
          </w:tcPr>
          <w:p>
            <w:pPr>
              <w:jc w:val="center"/>
              <w:ind w:right="144"/>
              <w:spacing w:after="0" w:line="114" w:lineRule="exact"/>
              <w:rPr>
                <w:sz w:val="20"/>
                <w:szCs w:val="20"/>
                <w:color w:val="auto"/>
              </w:rPr>
            </w:pPr>
            <w:r>
              <w:rPr>
                <w:rFonts w:ascii="Arial" w:cs="Arial" w:eastAsia="Arial" w:hAnsi="Arial"/>
                <w:sz w:val="10"/>
                <w:szCs w:val="10"/>
                <w:b w:val="1"/>
                <w:bCs w:val="1"/>
                <w:color w:val="auto"/>
                <w:w w:val="91"/>
              </w:rPr>
              <w:t>Revenues from</w:t>
            </w:r>
          </w:p>
        </w:tc>
        <w:tc>
          <w:tcPr>
            <w:tcW w:w="3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gridSpan w:val="2"/>
          </w:tcPr>
          <w:p>
            <w:pPr>
              <w:jc w:val="center"/>
              <w:ind w:right="300"/>
              <w:spacing w:after="0" w:line="114" w:lineRule="exact"/>
              <w:rPr>
                <w:sz w:val="20"/>
                <w:szCs w:val="20"/>
                <w:color w:val="auto"/>
              </w:rPr>
            </w:pPr>
            <w:r>
              <w:rPr>
                <w:rFonts w:ascii="Arial" w:cs="Arial" w:eastAsia="Arial" w:hAnsi="Arial"/>
                <w:sz w:val="10"/>
                <w:szCs w:val="10"/>
                <w:b w:val="1"/>
                <w:bCs w:val="1"/>
                <w:color w:val="auto"/>
                <w:w w:val="99"/>
              </w:rPr>
              <w:t>Net</w:t>
            </w: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r>
      <w:tr>
        <w:trPr>
          <w:trHeight w:val="108"/>
        </w:trPr>
        <w:tc>
          <w:tcPr>
            <w:tcW w:w="3560" w:type="dxa"/>
            <w:vAlign w:val="bottom"/>
          </w:tcPr>
          <w:p>
            <w:pPr>
              <w:spacing w:after="0"/>
              <w:rPr>
                <w:sz w:val="9"/>
                <w:szCs w:val="9"/>
                <w:color w:val="auto"/>
              </w:rPr>
            </w:pPr>
          </w:p>
        </w:tc>
        <w:tc>
          <w:tcPr>
            <w:tcW w:w="780" w:type="dxa"/>
            <w:vAlign w:val="bottom"/>
          </w:tcPr>
          <w:p>
            <w:pPr>
              <w:jc w:val="center"/>
              <w:ind w:left="347"/>
              <w:spacing w:after="0" w:line="108" w:lineRule="exact"/>
              <w:rPr>
                <w:sz w:val="20"/>
                <w:szCs w:val="20"/>
                <w:color w:val="auto"/>
              </w:rPr>
            </w:pPr>
            <w:r>
              <w:rPr>
                <w:rFonts w:ascii="Arial" w:cs="Arial" w:eastAsia="Arial" w:hAnsi="Arial"/>
                <w:sz w:val="10"/>
                <w:szCs w:val="10"/>
                <w:b w:val="1"/>
                <w:bCs w:val="1"/>
                <w:color w:val="auto"/>
                <w:w w:val="96"/>
              </w:rPr>
              <w:t>External</w:t>
            </w:r>
          </w:p>
        </w:tc>
        <w:tc>
          <w:tcPr>
            <w:tcW w:w="380" w:type="dxa"/>
            <w:vAlign w:val="bottom"/>
          </w:tcPr>
          <w:p>
            <w:pPr>
              <w:spacing w:after="0"/>
              <w:rPr>
                <w:sz w:val="9"/>
                <w:szCs w:val="9"/>
                <w:color w:val="auto"/>
              </w:rPr>
            </w:pPr>
          </w:p>
        </w:tc>
        <w:tc>
          <w:tcPr>
            <w:tcW w:w="360" w:type="dxa"/>
            <w:vAlign w:val="bottom"/>
          </w:tcPr>
          <w:p>
            <w:pPr>
              <w:spacing w:after="0"/>
              <w:rPr>
                <w:sz w:val="9"/>
                <w:szCs w:val="9"/>
                <w:color w:val="auto"/>
              </w:rPr>
            </w:pPr>
          </w:p>
        </w:tc>
        <w:tc>
          <w:tcPr>
            <w:tcW w:w="880" w:type="dxa"/>
            <w:vAlign w:val="bottom"/>
          </w:tcPr>
          <w:p>
            <w:pPr>
              <w:jc w:val="center"/>
              <w:ind w:left="205"/>
              <w:spacing w:after="0" w:line="108" w:lineRule="exact"/>
              <w:rPr>
                <w:sz w:val="20"/>
                <w:szCs w:val="20"/>
                <w:color w:val="auto"/>
              </w:rPr>
            </w:pPr>
            <w:r>
              <w:rPr>
                <w:rFonts w:ascii="Arial" w:cs="Arial" w:eastAsia="Arial" w:hAnsi="Arial"/>
                <w:sz w:val="10"/>
                <w:szCs w:val="10"/>
                <w:b w:val="1"/>
                <w:bCs w:val="1"/>
                <w:color w:val="auto"/>
                <w:w w:val="92"/>
              </w:rPr>
              <w:t>Intersegment</w:t>
            </w: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tcPr>
          <w:p>
            <w:pPr>
              <w:jc w:val="right"/>
              <w:spacing w:after="0" w:line="108" w:lineRule="exact"/>
              <w:rPr>
                <w:sz w:val="20"/>
                <w:szCs w:val="20"/>
                <w:color w:val="auto"/>
              </w:rPr>
            </w:pPr>
            <w:r>
              <w:rPr>
                <w:rFonts w:ascii="Arial" w:cs="Arial" w:eastAsia="Arial" w:hAnsi="Arial"/>
                <w:sz w:val="10"/>
                <w:szCs w:val="10"/>
                <w:b w:val="1"/>
                <w:bCs w:val="1"/>
                <w:color w:val="auto"/>
              </w:rPr>
              <w:t>Operating</w:t>
            </w: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40" w:type="dxa"/>
            <w:vAlign w:val="bottom"/>
          </w:tcPr>
          <w:p>
            <w:pPr>
              <w:jc w:val="center"/>
              <w:ind w:right="144"/>
              <w:spacing w:after="0" w:line="108" w:lineRule="exact"/>
              <w:rPr>
                <w:sz w:val="20"/>
                <w:szCs w:val="20"/>
                <w:color w:val="auto"/>
              </w:rPr>
            </w:pPr>
            <w:r>
              <w:rPr>
                <w:rFonts w:ascii="Arial" w:cs="Arial" w:eastAsia="Arial" w:hAnsi="Arial"/>
                <w:sz w:val="10"/>
                <w:szCs w:val="10"/>
                <w:b w:val="1"/>
                <w:bCs w:val="1"/>
                <w:color w:val="auto"/>
                <w:w w:val="96"/>
              </w:rPr>
              <w:t>External</w:t>
            </w:r>
          </w:p>
        </w:tc>
        <w:tc>
          <w:tcPr>
            <w:tcW w:w="3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gridSpan w:val="2"/>
          </w:tcPr>
          <w:p>
            <w:pPr>
              <w:jc w:val="center"/>
              <w:ind w:right="300"/>
              <w:spacing w:after="0" w:line="108" w:lineRule="exact"/>
              <w:rPr>
                <w:sz w:val="20"/>
                <w:szCs w:val="20"/>
                <w:color w:val="auto"/>
              </w:rPr>
            </w:pPr>
            <w:r>
              <w:rPr>
                <w:rFonts w:ascii="Arial" w:cs="Arial" w:eastAsia="Arial" w:hAnsi="Arial"/>
                <w:sz w:val="10"/>
                <w:szCs w:val="10"/>
                <w:b w:val="1"/>
                <w:bCs w:val="1"/>
                <w:color w:val="auto"/>
                <w:w w:val="89"/>
              </w:rPr>
              <w:t>Intersegment</w:t>
            </w:r>
          </w:p>
        </w:tc>
        <w:tc>
          <w:tcPr>
            <w:tcW w:w="200" w:type="dxa"/>
            <w:vAlign w:val="bottom"/>
          </w:tcPr>
          <w:p>
            <w:pPr>
              <w:spacing w:after="0"/>
              <w:rPr>
                <w:sz w:val="9"/>
                <w:szCs w:val="9"/>
                <w:color w:val="auto"/>
              </w:rPr>
            </w:pPr>
          </w:p>
        </w:tc>
        <w:tc>
          <w:tcPr>
            <w:tcW w:w="920" w:type="dxa"/>
            <w:vAlign w:val="bottom"/>
          </w:tcPr>
          <w:p>
            <w:pPr>
              <w:jc w:val="right"/>
              <w:ind w:right="284"/>
              <w:spacing w:after="0" w:line="108" w:lineRule="exact"/>
              <w:rPr>
                <w:sz w:val="20"/>
                <w:szCs w:val="20"/>
                <w:color w:val="auto"/>
              </w:rPr>
            </w:pPr>
            <w:r>
              <w:rPr>
                <w:rFonts w:ascii="Arial" w:cs="Arial" w:eastAsia="Arial" w:hAnsi="Arial"/>
                <w:sz w:val="10"/>
                <w:szCs w:val="10"/>
                <w:b w:val="1"/>
                <w:bCs w:val="1"/>
                <w:color w:val="auto"/>
              </w:rPr>
              <w:t>Operating</w:t>
            </w:r>
          </w:p>
        </w:tc>
      </w:tr>
      <w:tr>
        <w:trPr>
          <w:trHeight w:val="136"/>
        </w:trPr>
        <w:tc>
          <w:tcPr>
            <w:tcW w:w="3560" w:type="dxa"/>
            <w:vAlign w:val="bottom"/>
          </w:tcPr>
          <w:p>
            <w:pPr>
              <w:spacing w:after="0"/>
              <w:rPr>
                <w:sz w:val="11"/>
                <w:szCs w:val="11"/>
                <w:color w:val="auto"/>
              </w:rPr>
            </w:pPr>
          </w:p>
        </w:tc>
        <w:tc>
          <w:tcPr>
            <w:tcW w:w="1160" w:type="dxa"/>
            <w:vAlign w:val="bottom"/>
            <w:tcBorders>
              <w:bottom w:val="single" w:sz="8" w:color="auto"/>
            </w:tcBorders>
            <w:gridSpan w:val="2"/>
          </w:tcPr>
          <w:p>
            <w:pPr>
              <w:jc w:val="center"/>
              <w:spacing w:after="0"/>
              <w:rPr>
                <w:sz w:val="20"/>
                <w:szCs w:val="20"/>
                <w:color w:val="auto"/>
              </w:rPr>
            </w:pPr>
            <w:r>
              <w:rPr>
                <w:rFonts w:ascii="Arial" w:cs="Arial" w:eastAsia="Arial" w:hAnsi="Arial"/>
                <w:sz w:val="10"/>
                <w:szCs w:val="10"/>
                <w:b w:val="1"/>
                <w:bCs w:val="1"/>
                <w:color w:val="auto"/>
                <w:w w:val="87"/>
              </w:rPr>
              <w:t>Customers</w:t>
            </w:r>
          </w:p>
        </w:tc>
        <w:tc>
          <w:tcPr>
            <w:tcW w:w="36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center"/>
              <w:ind w:left="205"/>
              <w:spacing w:after="0"/>
              <w:rPr>
                <w:sz w:val="20"/>
                <w:szCs w:val="20"/>
                <w:color w:val="auto"/>
              </w:rPr>
            </w:pPr>
            <w:r>
              <w:rPr>
                <w:rFonts w:ascii="Arial" w:cs="Arial" w:eastAsia="Arial" w:hAnsi="Arial"/>
                <w:sz w:val="10"/>
                <w:szCs w:val="10"/>
                <w:b w:val="1"/>
                <w:bCs w:val="1"/>
                <w:color w:val="auto"/>
                <w:w w:val="88"/>
              </w:rPr>
              <w:t>Revenues</w:t>
            </w:r>
          </w:p>
        </w:tc>
        <w:tc>
          <w:tcPr>
            <w:tcW w:w="2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ind w:right="47"/>
              <w:spacing w:after="0"/>
              <w:rPr>
                <w:sz w:val="20"/>
                <w:szCs w:val="20"/>
                <w:color w:val="auto"/>
              </w:rPr>
            </w:pPr>
            <w:r>
              <w:rPr>
                <w:rFonts w:ascii="Arial" w:cs="Arial" w:eastAsia="Arial" w:hAnsi="Arial"/>
                <w:sz w:val="10"/>
                <w:szCs w:val="10"/>
                <w:b w:val="1"/>
                <w:bCs w:val="1"/>
                <w:color w:val="auto"/>
              </w:rPr>
              <w:t>Income</w:t>
            </w:r>
          </w:p>
        </w:tc>
        <w:tc>
          <w:tcPr>
            <w:tcW w:w="3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center"/>
              <w:ind w:right="144"/>
              <w:spacing w:after="0"/>
              <w:rPr>
                <w:sz w:val="20"/>
                <w:szCs w:val="20"/>
                <w:color w:val="auto"/>
              </w:rPr>
            </w:pPr>
            <w:r>
              <w:rPr>
                <w:rFonts w:ascii="Arial" w:cs="Arial" w:eastAsia="Arial" w:hAnsi="Arial"/>
                <w:sz w:val="10"/>
                <w:szCs w:val="10"/>
                <w:b w:val="1"/>
                <w:bCs w:val="1"/>
                <w:color w:val="auto"/>
                <w:w w:val="87"/>
              </w:rPr>
              <w:t>Customers</w:t>
            </w:r>
          </w:p>
        </w:tc>
        <w:tc>
          <w:tcPr>
            <w:tcW w:w="34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0"/>
                <w:szCs w:val="10"/>
                <w:b w:val="1"/>
                <w:bCs w:val="1"/>
                <w:color w:val="auto"/>
                <w:w w:val="84"/>
              </w:rPr>
              <w:t>Revenues</w:t>
            </w:r>
          </w:p>
        </w:tc>
        <w:tc>
          <w:tcPr>
            <w:tcW w:w="20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ind w:right="344"/>
              <w:spacing w:after="0"/>
              <w:rPr>
                <w:sz w:val="20"/>
                <w:szCs w:val="20"/>
                <w:color w:val="auto"/>
              </w:rPr>
            </w:pPr>
            <w:r>
              <w:rPr>
                <w:rFonts w:ascii="Arial" w:cs="Arial" w:eastAsia="Arial" w:hAnsi="Arial"/>
                <w:sz w:val="10"/>
                <w:szCs w:val="10"/>
                <w:b w:val="1"/>
                <w:bCs w:val="1"/>
                <w:color w:val="auto"/>
              </w:rPr>
              <w:t>Income</w:t>
            </w:r>
          </w:p>
        </w:tc>
      </w:tr>
      <w:tr>
        <w:trPr>
          <w:trHeight w:val="196"/>
        </w:trPr>
        <w:tc>
          <w:tcPr>
            <w:tcW w:w="35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20" w:type="dxa"/>
            <w:vAlign w:val="bottom"/>
            <w:gridSpan w:val="3"/>
          </w:tcPr>
          <w:p>
            <w:pPr>
              <w:jc w:val="right"/>
              <w:spacing w:after="0"/>
              <w:rPr>
                <w:sz w:val="20"/>
                <w:szCs w:val="20"/>
                <w:color w:val="auto"/>
              </w:rPr>
            </w:pPr>
            <w:r>
              <w:rPr>
                <w:rFonts w:ascii="Arial" w:cs="Arial" w:eastAsia="Arial" w:hAnsi="Arial"/>
                <w:sz w:val="10"/>
                <w:szCs w:val="10"/>
                <w:b w:val="1"/>
                <w:bCs w:val="1"/>
                <w:color w:val="auto"/>
                <w:w w:val="99"/>
              </w:rPr>
              <w:t>(in millions)</w:t>
            </w:r>
          </w:p>
        </w:tc>
        <w:tc>
          <w:tcPr>
            <w:tcW w:w="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22"/>
        </w:trPr>
        <w:tc>
          <w:tcPr>
            <w:tcW w:w="3560" w:type="dxa"/>
            <w:vAlign w:val="bottom"/>
            <w:shd w:val="clear" w:color="auto" w:fill="CCEEFF"/>
          </w:tcPr>
          <w:p>
            <w:pPr>
              <w:ind w:left="20"/>
              <w:spacing w:after="0"/>
              <w:rPr>
                <w:sz w:val="20"/>
                <w:szCs w:val="20"/>
                <w:color w:val="auto"/>
              </w:rPr>
            </w:pPr>
            <w:r>
              <w:rPr>
                <w:rFonts w:ascii="Arial" w:cs="Arial" w:eastAsia="Arial" w:hAnsi="Arial"/>
                <w:sz w:val="11"/>
                <w:szCs w:val="11"/>
                <w:color w:val="auto"/>
              </w:rPr>
              <w:t>Houston Electric T&amp;D</w:t>
            </w:r>
          </w:p>
        </w:tc>
        <w:tc>
          <w:tcPr>
            <w:tcW w:w="780" w:type="dxa"/>
            <w:vAlign w:val="bottom"/>
            <w:shd w:val="clear" w:color="auto" w:fill="CCEEFF"/>
          </w:tcPr>
          <w:p>
            <w:pPr>
              <w:jc w:val="right"/>
              <w:ind w:right="647"/>
              <w:spacing w:after="0"/>
              <w:rPr>
                <w:sz w:val="20"/>
                <w:szCs w:val="20"/>
                <w:color w:val="auto"/>
              </w:rPr>
            </w:pPr>
            <w:r>
              <w:rPr>
                <w:rFonts w:ascii="Arial" w:cs="Arial" w:eastAsia="Arial" w:hAnsi="Arial"/>
                <w:sz w:val="11"/>
                <w:szCs w:val="11"/>
                <w:color w:val="auto"/>
                <w:w w:val="97"/>
              </w:rPr>
              <w:t>$</w:t>
            </w:r>
          </w:p>
        </w:tc>
        <w:tc>
          <w:tcPr>
            <w:tcW w:w="38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859</w:t>
            </w:r>
          </w:p>
        </w:tc>
        <w:tc>
          <w:tcPr>
            <w:tcW w:w="360" w:type="dxa"/>
            <w:vAlign w:val="bottom"/>
            <w:shd w:val="clear" w:color="auto" w:fill="CCEEFF"/>
          </w:tcPr>
          <w:p>
            <w:pPr>
              <w:jc w:val="right"/>
              <w:ind w:right="197"/>
              <w:spacing w:after="0"/>
              <w:rPr>
                <w:sz w:val="20"/>
                <w:szCs w:val="20"/>
                <w:color w:val="auto"/>
              </w:rPr>
            </w:pPr>
            <w:r>
              <w:rPr>
                <w:rFonts w:ascii="Arial" w:cs="Arial" w:eastAsia="Arial" w:hAnsi="Arial"/>
                <w:sz w:val="9"/>
                <w:szCs w:val="9"/>
                <w:color w:val="auto"/>
                <w:w w:val="90"/>
              </w:rPr>
              <w:t>(1)</w:t>
            </w:r>
          </w:p>
        </w:tc>
        <w:tc>
          <w:tcPr>
            <w:tcW w:w="880" w:type="dxa"/>
            <w:vAlign w:val="bottom"/>
            <w:shd w:val="clear" w:color="auto" w:fill="CCEEFF"/>
          </w:tcPr>
          <w:p>
            <w:pPr>
              <w:jc w:val="right"/>
              <w:ind w:right="745"/>
              <w:spacing w:after="0"/>
              <w:rPr>
                <w:sz w:val="20"/>
                <w:szCs w:val="20"/>
                <w:color w:val="auto"/>
              </w:rPr>
            </w:pPr>
            <w:r>
              <w:rPr>
                <w:rFonts w:ascii="Arial" w:cs="Arial" w:eastAsia="Arial" w:hAnsi="Arial"/>
                <w:sz w:val="11"/>
                <w:szCs w:val="11"/>
                <w:color w:val="auto"/>
                <w:w w:val="97"/>
              </w:rPr>
              <w:t>$</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840" w:type="dxa"/>
            <w:vAlign w:val="bottom"/>
            <w:shd w:val="clear" w:color="auto" w:fill="CCEEFF"/>
          </w:tcPr>
          <w:p>
            <w:pPr>
              <w:jc w:val="right"/>
              <w:ind w:right="707"/>
              <w:spacing w:after="0"/>
              <w:rPr>
                <w:sz w:val="20"/>
                <w:szCs w:val="20"/>
                <w:color w:val="auto"/>
              </w:rPr>
            </w:pPr>
            <w:r>
              <w:rPr>
                <w:rFonts w:ascii="Arial" w:cs="Arial" w:eastAsia="Arial" w:hAnsi="Arial"/>
                <w:sz w:val="11"/>
                <w:szCs w:val="11"/>
                <w:color w:val="auto"/>
                <w:w w:val="97"/>
              </w:rPr>
              <w:t>$</w:t>
            </w:r>
          </w:p>
        </w:tc>
        <w:tc>
          <w:tcPr>
            <w:tcW w:w="32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w w:val="97"/>
              </w:rPr>
              <w:t>269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w w:val="97"/>
              </w:rPr>
              <w:t>$</w:t>
            </w:r>
          </w:p>
        </w:tc>
        <w:tc>
          <w:tcPr>
            <w:tcW w:w="940" w:type="dxa"/>
            <w:vAlign w:val="bottom"/>
            <w:shd w:val="clear" w:color="auto" w:fill="CCEEFF"/>
          </w:tcPr>
          <w:p>
            <w:pPr>
              <w:jc w:val="right"/>
              <w:ind w:right="64"/>
              <w:spacing w:after="0"/>
              <w:rPr>
                <w:sz w:val="20"/>
                <w:szCs w:val="20"/>
                <w:color w:val="auto"/>
              </w:rPr>
            </w:pPr>
            <w:r>
              <w:rPr>
                <w:rFonts w:ascii="Arial" w:cs="Arial" w:eastAsia="Arial" w:hAnsi="Arial"/>
                <w:sz w:val="11"/>
                <w:szCs w:val="11"/>
                <w:color w:val="auto"/>
              </w:rPr>
              <w:t>897</w:t>
            </w:r>
          </w:p>
        </w:tc>
        <w:tc>
          <w:tcPr>
            <w:tcW w:w="340" w:type="dxa"/>
            <w:vAlign w:val="bottom"/>
            <w:shd w:val="clear" w:color="auto" w:fill="CCEEFF"/>
          </w:tcPr>
          <w:p>
            <w:pPr>
              <w:jc w:val="right"/>
              <w:ind w:right="177"/>
              <w:spacing w:after="0"/>
              <w:rPr>
                <w:sz w:val="20"/>
                <w:szCs w:val="20"/>
                <w:color w:val="auto"/>
              </w:rPr>
            </w:pPr>
            <w:r>
              <w:rPr>
                <w:rFonts w:ascii="Arial" w:cs="Arial" w:eastAsia="Arial" w:hAnsi="Arial"/>
                <w:sz w:val="9"/>
                <w:szCs w:val="9"/>
                <w:color w:val="auto"/>
                <w:w w:val="90"/>
              </w:rPr>
              <w:t>(1)</w:t>
            </w:r>
          </w:p>
        </w:tc>
        <w:tc>
          <w:tcPr>
            <w:tcW w:w="18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w w:val="97"/>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jc w:val="right"/>
              <w:ind w:right="88"/>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CCEEFF"/>
          </w:tcPr>
          <w:p>
            <w:pPr>
              <w:jc w:val="right"/>
              <w:ind w:right="44"/>
              <w:spacing w:after="0"/>
              <w:rPr>
                <w:sz w:val="20"/>
                <w:szCs w:val="20"/>
                <w:color w:val="auto"/>
              </w:rPr>
            </w:pPr>
            <w:r>
              <w:rPr>
                <w:rFonts w:ascii="Arial" w:cs="Arial" w:eastAsia="Arial" w:hAnsi="Arial"/>
                <w:sz w:val="11"/>
                <w:szCs w:val="11"/>
                <w:color w:val="auto"/>
              </w:rPr>
              <w:t>227</w:t>
            </w:r>
          </w:p>
        </w:tc>
      </w:tr>
      <w:tr>
        <w:trPr>
          <w:trHeight w:val="211"/>
        </w:trPr>
        <w:tc>
          <w:tcPr>
            <w:tcW w:w="3560" w:type="dxa"/>
            <w:vAlign w:val="bottom"/>
          </w:tcPr>
          <w:p>
            <w:pPr>
              <w:ind w:left="20"/>
              <w:spacing w:after="0"/>
              <w:rPr>
                <w:sz w:val="20"/>
                <w:szCs w:val="20"/>
                <w:color w:val="auto"/>
              </w:rPr>
            </w:pPr>
            <w:r>
              <w:rPr>
                <w:rFonts w:ascii="Arial" w:cs="Arial" w:eastAsia="Arial" w:hAnsi="Arial"/>
                <w:sz w:val="11"/>
                <w:szCs w:val="11"/>
                <w:color w:val="auto"/>
              </w:rPr>
              <w:t>Indiana Electric Integrated</w:t>
            </w:r>
          </w:p>
        </w:tc>
        <w:tc>
          <w:tcPr>
            <w:tcW w:w="780" w:type="dxa"/>
            <w:vAlign w:val="bottom"/>
          </w:tcPr>
          <w:p>
            <w:pPr>
              <w:spacing w:after="0"/>
              <w:rPr>
                <w:sz w:val="18"/>
                <w:szCs w:val="18"/>
                <w:color w:val="auto"/>
              </w:rPr>
            </w:pPr>
          </w:p>
        </w:tc>
        <w:tc>
          <w:tcPr>
            <w:tcW w:w="380" w:type="dxa"/>
            <w:vAlign w:val="bottom"/>
          </w:tcPr>
          <w:p>
            <w:pPr>
              <w:jc w:val="right"/>
              <w:ind w:right="63"/>
              <w:spacing w:after="0"/>
              <w:rPr>
                <w:sz w:val="20"/>
                <w:szCs w:val="20"/>
                <w:color w:val="auto"/>
              </w:rPr>
            </w:pPr>
            <w:r>
              <w:rPr>
                <w:rFonts w:ascii="Arial" w:cs="Arial" w:eastAsia="Arial" w:hAnsi="Arial"/>
                <w:sz w:val="11"/>
                <w:szCs w:val="11"/>
                <w:color w:val="auto"/>
              </w:rPr>
              <w:t>165</w:t>
            </w: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40" w:type="dxa"/>
            <w:vAlign w:val="bottom"/>
          </w:tcPr>
          <w:p>
            <w:pPr>
              <w:spacing w:after="0"/>
              <w:rPr>
                <w:sz w:val="18"/>
                <w:szCs w:val="18"/>
                <w:color w:val="auto"/>
              </w:rPr>
            </w:pPr>
          </w:p>
        </w:tc>
        <w:tc>
          <w:tcPr>
            <w:tcW w:w="320" w:type="dxa"/>
            <w:vAlign w:val="bottom"/>
          </w:tcPr>
          <w:p>
            <w:pPr>
              <w:jc w:val="right"/>
              <w:ind w:right="63"/>
              <w:spacing w:after="0"/>
              <w:rPr>
                <w:sz w:val="20"/>
                <w:szCs w:val="20"/>
                <w:color w:val="auto"/>
              </w:rPr>
            </w:pPr>
            <w:r>
              <w:rPr>
                <w:rFonts w:ascii="Arial" w:cs="Arial" w:eastAsia="Arial" w:hAnsi="Arial"/>
                <w:sz w:val="11"/>
                <w:szCs w:val="11"/>
                <w:color w:val="auto"/>
              </w:rPr>
              <w:t>48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ind w:right="64"/>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8"/>
                <w:szCs w:val="18"/>
                <w:color w:val="auto"/>
              </w:rPr>
            </w:pPr>
          </w:p>
        </w:tc>
        <w:tc>
          <w:tcPr>
            <w:tcW w:w="920" w:type="dxa"/>
            <w:vAlign w:val="bottom"/>
          </w:tcPr>
          <w:p>
            <w:pPr>
              <w:jc w:val="right"/>
              <w:ind w:right="44"/>
              <w:spacing w:after="0"/>
              <w:rPr>
                <w:sz w:val="20"/>
                <w:szCs w:val="20"/>
                <w:color w:val="auto"/>
              </w:rPr>
            </w:pPr>
            <w:r>
              <w:rPr>
                <w:rFonts w:ascii="Arial" w:cs="Arial" w:eastAsia="Arial" w:hAnsi="Arial"/>
                <w:sz w:val="11"/>
                <w:szCs w:val="11"/>
                <w:color w:val="auto"/>
              </w:rPr>
              <w:t>—</w:t>
            </w:r>
          </w:p>
        </w:tc>
      </w:tr>
      <w:tr>
        <w:trPr>
          <w:trHeight w:val="220"/>
        </w:trPr>
        <w:tc>
          <w:tcPr>
            <w:tcW w:w="3560" w:type="dxa"/>
            <w:vAlign w:val="bottom"/>
            <w:shd w:val="clear" w:color="auto" w:fill="CCEEFF"/>
          </w:tcPr>
          <w:p>
            <w:pPr>
              <w:ind w:left="20"/>
              <w:spacing w:after="0"/>
              <w:rPr>
                <w:sz w:val="20"/>
                <w:szCs w:val="20"/>
                <w:color w:val="auto"/>
              </w:rPr>
            </w:pPr>
            <w:r>
              <w:rPr>
                <w:rFonts w:ascii="Arial" w:cs="Arial" w:eastAsia="Arial" w:hAnsi="Arial"/>
                <w:sz w:val="11"/>
                <w:szCs w:val="11"/>
                <w:color w:val="auto"/>
              </w:rPr>
              <w:t>Natural Gas Distribution</w:t>
            </w:r>
          </w:p>
        </w:tc>
        <w:tc>
          <w:tcPr>
            <w:tcW w:w="7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515</w:t>
            </w: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9</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27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64"/>
              <w:spacing w:after="0"/>
              <w:rPr>
                <w:sz w:val="20"/>
                <w:szCs w:val="20"/>
                <w:color w:val="auto"/>
              </w:rPr>
            </w:pPr>
            <w:r>
              <w:rPr>
                <w:rFonts w:ascii="Arial" w:cs="Arial" w:eastAsia="Arial" w:hAnsi="Arial"/>
                <w:sz w:val="11"/>
                <w:szCs w:val="11"/>
                <w:color w:val="auto"/>
              </w:rPr>
              <w:t>402</w:t>
            </w:r>
          </w:p>
        </w:tc>
        <w:tc>
          <w:tcPr>
            <w:tcW w:w="3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45"/>
              <w:spacing w:after="0"/>
              <w:rPr>
                <w:sz w:val="20"/>
                <w:szCs w:val="20"/>
                <w:color w:val="auto"/>
              </w:rPr>
            </w:pPr>
            <w:r>
              <w:rPr>
                <w:rFonts w:ascii="Arial" w:cs="Arial" w:eastAsia="Arial" w:hAnsi="Arial"/>
                <w:sz w:val="11"/>
                <w:szCs w:val="11"/>
                <w:color w:val="auto"/>
              </w:rPr>
              <w:t>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44"/>
              <w:spacing w:after="0"/>
              <w:rPr>
                <w:sz w:val="20"/>
                <w:szCs w:val="20"/>
                <w:color w:val="auto"/>
              </w:rPr>
            </w:pPr>
            <w:r>
              <w:rPr>
                <w:rFonts w:ascii="Arial" w:cs="Arial" w:eastAsia="Arial" w:hAnsi="Arial"/>
                <w:sz w:val="11"/>
                <w:szCs w:val="11"/>
                <w:color w:val="auto"/>
              </w:rPr>
              <w:t>3</w:t>
            </w:r>
          </w:p>
        </w:tc>
      </w:tr>
      <w:tr>
        <w:trPr>
          <w:trHeight w:val="211"/>
        </w:trPr>
        <w:tc>
          <w:tcPr>
            <w:tcW w:w="3560" w:type="dxa"/>
            <w:vAlign w:val="bottom"/>
          </w:tcPr>
          <w:p>
            <w:pPr>
              <w:ind w:left="20"/>
              <w:spacing w:after="0"/>
              <w:rPr>
                <w:sz w:val="20"/>
                <w:szCs w:val="20"/>
                <w:color w:val="auto"/>
              </w:rPr>
            </w:pPr>
            <w:r>
              <w:rPr>
                <w:rFonts w:ascii="Arial" w:cs="Arial" w:eastAsia="Arial" w:hAnsi="Arial"/>
                <w:sz w:val="11"/>
                <w:szCs w:val="11"/>
                <w:color w:val="auto"/>
              </w:rPr>
              <w:t>Energy Services</w:t>
            </w:r>
          </w:p>
        </w:tc>
        <w:tc>
          <w:tcPr>
            <w:tcW w:w="780" w:type="dxa"/>
            <w:vAlign w:val="bottom"/>
          </w:tcPr>
          <w:p>
            <w:pPr>
              <w:spacing w:after="0"/>
              <w:rPr>
                <w:sz w:val="18"/>
                <w:szCs w:val="18"/>
                <w:color w:val="auto"/>
              </w:rPr>
            </w:pPr>
          </w:p>
        </w:tc>
        <w:tc>
          <w:tcPr>
            <w:tcW w:w="380" w:type="dxa"/>
            <w:vAlign w:val="bottom"/>
          </w:tcPr>
          <w:p>
            <w:pPr>
              <w:jc w:val="right"/>
              <w:ind w:right="63"/>
              <w:spacing w:after="0"/>
              <w:rPr>
                <w:sz w:val="20"/>
                <w:szCs w:val="20"/>
                <w:color w:val="auto"/>
              </w:rPr>
            </w:pPr>
            <w:r>
              <w:rPr>
                <w:rFonts w:ascii="Arial" w:cs="Arial" w:eastAsia="Arial" w:hAnsi="Arial"/>
                <w:sz w:val="11"/>
                <w:szCs w:val="11"/>
                <w:color w:val="auto"/>
              </w:rPr>
              <w:t>734</w:t>
            </w: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jc w:val="right"/>
              <w:ind w:right="63"/>
              <w:spacing w:after="0"/>
              <w:rPr>
                <w:sz w:val="20"/>
                <w:szCs w:val="20"/>
                <w:color w:val="auto"/>
              </w:rPr>
            </w:pPr>
            <w:r>
              <w:rPr>
                <w:rFonts w:ascii="Arial" w:cs="Arial" w:eastAsia="Arial" w:hAnsi="Arial"/>
                <w:sz w:val="11"/>
                <w:szCs w:val="11"/>
                <w:color w:val="auto"/>
              </w:rPr>
              <w:t>11</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jc w:val="right"/>
              <w:ind w:right="63"/>
              <w:spacing w:after="0"/>
              <w:rPr>
                <w:sz w:val="20"/>
                <w:szCs w:val="20"/>
                <w:color w:val="auto"/>
              </w:rPr>
            </w:pPr>
            <w:r>
              <w:rPr>
                <w:rFonts w:ascii="Arial" w:cs="Arial" w:eastAsia="Arial" w:hAnsi="Arial"/>
                <w:sz w:val="11"/>
                <w:szCs w:val="11"/>
                <w:color w:val="auto"/>
              </w:rPr>
              <w:t>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ind w:right="64"/>
              <w:spacing w:after="0"/>
              <w:rPr>
                <w:sz w:val="20"/>
                <w:szCs w:val="20"/>
                <w:color w:val="auto"/>
              </w:rPr>
            </w:pPr>
            <w:r>
              <w:rPr>
                <w:rFonts w:ascii="Arial" w:cs="Arial" w:eastAsia="Arial" w:hAnsi="Arial"/>
                <w:sz w:val="11"/>
                <w:szCs w:val="11"/>
                <w:color w:val="auto"/>
              </w:rPr>
              <w:t>910</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ind w:right="45"/>
              <w:spacing w:after="0"/>
              <w:rPr>
                <w:sz w:val="20"/>
                <w:szCs w:val="20"/>
                <w:color w:val="auto"/>
              </w:rPr>
            </w:pPr>
            <w:r>
              <w:rPr>
                <w:rFonts w:ascii="Arial" w:cs="Arial" w:eastAsia="Arial" w:hAnsi="Arial"/>
                <w:sz w:val="11"/>
                <w:szCs w:val="11"/>
                <w:color w:val="auto"/>
              </w:rPr>
              <w:t>10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4"/>
              <w:spacing w:after="0"/>
              <w:rPr>
                <w:sz w:val="20"/>
                <w:szCs w:val="20"/>
                <w:color w:val="auto"/>
              </w:rPr>
            </w:pPr>
            <w:r>
              <w:rPr>
                <w:rFonts w:ascii="Arial" w:cs="Arial" w:eastAsia="Arial" w:hAnsi="Arial"/>
                <w:sz w:val="11"/>
                <w:szCs w:val="11"/>
                <w:color w:val="auto"/>
              </w:rPr>
              <w:t>(9)</w:t>
            </w:r>
          </w:p>
        </w:tc>
      </w:tr>
      <w:tr>
        <w:trPr>
          <w:trHeight w:val="220"/>
        </w:trPr>
        <w:tc>
          <w:tcPr>
            <w:tcW w:w="3560" w:type="dxa"/>
            <w:vAlign w:val="bottom"/>
            <w:shd w:val="clear" w:color="auto" w:fill="CCEEFF"/>
          </w:tcPr>
          <w:p>
            <w:pPr>
              <w:ind w:left="20"/>
              <w:spacing w:after="0"/>
              <w:rPr>
                <w:sz w:val="20"/>
                <w:szCs w:val="20"/>
                <w:color w:val="auto"/>
              </w:rPr>
            </w:pPr>
            <w:r>
              <w:rPr>
                <w:rFonts w:ascii="Arial" w:cs="Arial" w:eastAsia="Arial" w:hAnsi="Arial"/>
                <w:sz w:val="11"/>
                <w:szCs w:val="11"/>
                <w:color w:val="auto"/>
              </w:rPr>
              <w:t>Infrastructure Services</w:t>
            </w:r>
          </w:p>
        </w:tc>
        <w:tc>
          <w:tcPr>
            <w:tcW w:w="7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376</w:t>
            </w: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1</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42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64"/>
              <w:spacing w:after="0"/>
              <w:rPr>
                <w:sz w:val="20"/>
                <w:szCs w:val="20"/>
                <w:color w:val="auto"/>
              </w:rPr>
            </w:pPr>
            <w:r>
              <w:rPr>
                <w:rFonts w:ascii="Arial" w:cs="Arial" w:eastAsia="Arial" w:hAnsi="Arial"/>
                <w:sz w:val="11"/>
                <w:szCs w:val="11"/>
                <w:color w:val="auto"/>
              </w:rPr>
              <w:t>—</w:t>
            </w:r>
          </w:p>
        </w:tc>
        <w:tc>
          <w:tcPr>
            <w:tcW w:w="3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44"/>
              <w:spacing w:after="0"/>
              <w:rPr>
                <w:sz w:val="20"/>
                <w:szCs w:val="20"/>
                <w:color w:val="auto"/>
              </w:rPr>
            </w:pPr>
            <w:r>
              <w:rPr>
                <w:rFonts w:ascii="Arial" w:cs="Arial" w:eastAsia="Arial" w:hAnsi="Arial"/>
                <w:sz w:val="11"/>
                <w:szCs w:val="11"/>
                <w:color w:val="auto"/>
              </w:rPr>
              <w:t>—</w:t>
            </w:r>
          </w:p>
        </w:tc>
      </w:tr>
      <w:tr>
        <w:trPr>
          <w:trHeight w:val="211"/>
        </w:trPr>
        <w:tc>
          <w:tcPr>
            <w:tcW w:w="3560" w:type="dxa"/>
            <w:vAlign w:val="bottom"/>
          </w:tcPr>
          <w:p>
            <w:pPr>
              <w:ind w:left="20"/>
              <w:spacing w:after="0"/>
              <w:rPr>
                <w:sz w:val="20"/>
                <w:szCs w:val="20"/>
                <w:color w:val="auto"/>
              </w:rPr>
            </w:pPr>
            <w:r>
              <w:rPr>
                <w:rFonts w:ascii="Arial" w:cs="Arial" w:eastAsia="Arial" w:hAnsi="Arial"/>
                <w:sz w:val="11"/>
                <w:szCs w:val="11"/>
                <w:color w:val="auto"/>
              </w:rPr>
              <w:t xml:space="preserve">Midstream Investments </w:t>
            </w:r>
            <w:r>
              <w:rPr>
                <w:rFonts w:ascii="Arial" w:cs="Arial" w:eastAsia="Arial" w:hAnsi="Arial"/>
                <w:sz w:val="8"/>
                <w:szCs w:val="8"/>
                <w:color w:val="auto"/>
              </w:rPr>
              <w:t>(2)</w:t>
            </w:r>
          </w:p>
        </w:tc>
        <w:tc>
          <w:tcPr>
            <w:tcW w:w="780" w:type="dxa"/>
            <w:vAlign w:val="bottom"/>
          </w:tcPr>
          <w:p>
            <w:pPr>
              <w:spacing w:after="0"/>
              <w:rPr>
                <w:sz w:val="18"/>
                <w:szCs w:val="18"/>
                <w:color w:val="auto"/>
              </w:rPr>
            </w:pPr>
          </w:p>
        </w:tc>
        <w:tc>
          <w:tcPr>
            <w:tcW w:w="380" w:type="dxa"/>
            <w:vAlign w:val="bottom"/>
          </w:tcPr>
          <w:p>
            <w:pPr>
              <w:jc w:val="right"/>
              <w:ind w:right="63"/>
              <w:spacing w:after="0"/>
              <w:rPr>
                <w:sz w:val="20"/>
                <w:szCs w:val="20"/>
                <w:color w:val="auto"/>
              </w:rPr>
            </w:pPr>
            <w:r>
              <w:rPr>
                <w:rFonts w:ascii="Arial" w:cs="Arial" w:eastAsia="Arial" w:hAnsi="Arial"/>
                <w:sz w:val="11"/>
                <w:szCs w:val="11"/>
                <w:color w:val="auto"/>
              </w:rPr>
              <w:t>—</w:t>
            </w: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40" w:type="dxa"/>
            <w:vAlign w:val="bottom"/>
          </w:tcPr>
          <w:p>
            <w:pPr>
              <w:spacing w:after="0"/>
              <w:rPr>
                <w:sz w:val="18"/>
                <w:szCs w:val="18"/>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8"/>
                <w:szCs w:val="18"/>
                <w:color w:val="auto"/>
              </w:rPr>
            </w:pPr>
          </w:p>
        </w:tc>
        <w:tc>
          <w:tcPr>
            <w:tcW w:w="940" w:type="dxa"/>
            <w:vAlign w:val="bottom"/>
          </w:tcPr>
          <w:p>
            <w:pPr>
              <w:jc w:val="right"/>
              <w:ind w:right="64"/>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8"/>
                <w:szCs w:val="18"/>
                <w:color w:val="auto"/>
              </w:rPr>
            </w:pPr>
          </w:p>
        </w:tc>
        <w:tc>
          <w:tcPr>
            <w:tcW w:w="920" w:type="dxa"/>
            <w:vAlign w:val="bottom"/>
          </w:tcPr>
          <w:p>
            <w:pPr>
              <w:jc w:val="right"/>
              <w:ind w:right="44"/>
              <w:spacing w:after="0"/>
              <w:rPr>
                <w:sz w:val="20"/>
                <w:szCs w:val="20"/>
                <w:color w:val="auto"/>
              </w:rPr>
            </w:pPr>
            <w:r>
              <w:rPr>
                <w:rFonts w:ascii="Arial" w:cs="Arial" w:eastAsia="Arial" w:hAnsi="Arial"/>
                <w:sz w:val="11"/>
                <w:szCs w:val="11"/>
                <w:color w:val="auto"/>
              </w:rPr>
              <w:t>—</w:t>
            </w:r>
          </w:p>
        </w:tc>
      </w:tr>
      <w:tr>
        <w:trPr>
          <w:trHeight w:val="220"/>
        </w:trPr>
        <w:tc>
          <w:tcPr>
            <w:tcW w:w="3560" w:type="dxa"/>
            <w:vAlign w:val="bottom"/>
            <w:shd w:val="clear" w:color="auto" w:fill="CCEEFF"/>
          </w:tcPr>
          <w:p>
            <w:pPr>
              <w:ind w:left="20"/>
              <w:spacing w:after="0"/>
              <w:rPr>
                <w:sz w:val="20"/>
                <w:szCs w:val="20"/>
                <w:color w:val="auto"/>
              </w:rPr>
            </w:pPr>
            <w:r>
              <w:rPr>
                <w:rFonts w:ascii="Arial" w:cs="Arial" w:eastAsia="Arial" w:hAnsi="Arial"/>
                <w:sz w:val="11"/>
                <w:szCs w:val="11"/>
                <w:color w:val="auto"/>
              </w:rPr>
              <w:t>Corporate and Other</w:t>
            </w:r>
          </w:p>
        </w:tc>
        <w:tc>
          <w:tcPr>
            <w:tcW w:w="7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93</w:t>
            </w: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84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64"/>
              <w:spacing w:after="0"/>
              <w:rPr>
                <w:sz w:val="20"/>
                <w:szCs w:val="20"/>
                <w:color w:val="auto"/>
              </w:rPr>
            </w:pPr>
            <w:r>
              <w:rPr>
                <w:rFonts w:ascii="Arial" w:cs="Arial" w:eastAsia="Arial" w:hAnsi="Arial"/>
                <w:sz w:val="11"/>
                <w:szCs w:val="11"/>
                <w:color w:val="auto"/>
              </w:rPr>
              <w:t>3</w:t>
            </w:r>
          </w:p>
        </w:tc>
        <w:tc>
          <w:tcPr>
            <w:tcW w:w="3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44"/>
              <w:spacing w:after="0"/>
              <w:rPr>
                <w:sz w:val="20"/>
                <w:szCs w:val="20"/>
                <w:color w:val="auto"/>
              </w:rPr>
            </w:pPr>
            <w:r>
              <w:rPr>
                <w:rFonts w:ascii="Arial" w:cs="Arial" w:eastAsia="Arial" w:hAnsi="Arial"/>
                <w:sz w:val="11"/>
                <w:szCs w:val="11"/>
                <w:color w:val="auto"/>
              </w:rPr>
              <w:t>5</w:t>
            </w:r>
          </w:p>
        </w:tc>
      </w:tr>
      <w:tr>
        <w:trPr>
          <w:trHeight w:val="211"/>
        </w:trPr>
        <w:tc>
          <w:tcPr>
            <w:tcW w:w="356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Eliminations</w:t>
            </w:r>
          </w:p>
        </w:tc>
        <w:tc>
          <w:tcPr>
            <w:tcW w:w="7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color w:val="auto"/>
              </w:rPr>
              <w:t>—</w:t>
            </w:r>
          </w:p>
        </w:tc>
        <w:tc>
          <w:tcPr>
            <w:tcW w:w="36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jc w:val="right"/>
              <w:ind w:right="23"/>
              <w:spacing w:after="0"/>
              <w:rPr>
                <w:sz w:val="20"/>
                <w:szCs w:val="20"/>
                <w:color w:val="auto"/>
              </w:rPr>
            </w:pPr>
            <w:r>
              <w:rPr>
                <w:rFonts w:ascii="Arial" w:cs="Arial" w:eastAsia="Arial" w:hAnsi="Arial"/>
                <w:sz w:val="11"/>
                <w:szCs w:val="11"/>
                <w:color w:val="auto"/>
                <w:w w:val="91"/>
              </w:rPr>
              <w:t>(21)</w:t>
            </w:r>
          </w:p>
        </w:tc>
        <w:tc>
          <w:tcPr>
            <w:tcW w:w="12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64"/>
              <w:spacing w:after="0"/>
              <w:rPr>
                <w:sz w:val="20"/>
                <w:szCs w:val="20"/>
                <w:color w:val="auto"/>
              </w:rPr>
            </w:pPr>
            <w:r>
              <w:rPr>
                <w:rFonts w:ascii="Arial" w:cs="Arial" w:eastAsia="Arial" w:hAnsi="Arial"/>
                <w:sz w:val="11"/>
                <w:szCs w:val="11"/>
                <w:color w:val="auto"/>
              </w:rPr>
              <w:t>—</w:t>
            </w:r>
          </w:p>
        </w:tc>
        <w:tc>
          <w:tcPr>
            <w:tcW w:w="3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5"/>
              <w:spacing w:after="0"/>
              <w:rPr>
                <w:sz w:val="20"/>
                <w:szCs w:val="20"/>
                <w:color w:val="auto"/>
              </w:rPr>
            </w:pPr>
            <w:r>
              <w:rPr>
                <w:rFonts w:ascii="Arial" w:cs="Arial" w:eastAsia="Arial" w:hAnsi="Arial"/>
                <w:sz w:val="11"/>
                <w:szCs w:val="11"/>
                <w:color w:val="auto"/>
              </w:rPr>
              <w:t>(18)</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4"/>
              <w:spacing w:after="0"/>
              <w:rPr>
                <w:sz w:val="20"/>
                <w:szCs w:val="20"/>
                <w:color w:val="auto"/>
              </w:rPr>
            </w:pPr>
            <w:r>
              <w:rPr>
                <w:rFonts w:ascii="Arial" w:cs="Arial" w:eastAsia="Arial" w:hAnsi="Arial"/>
                <w:sz w:val="11"/>
                <w:szCs w:val="11"/>
                <w:color w:val="auto"/>
              </w:rPr>
              <w:t>—</w:t>
            </w:r>
          </w:p>
        </w:tc>
      </w:tr>
      <w:tr>
        <w:trPr>
          <w:trHeight w:val="189"/>
        </w:trPr>
        <w:tc>
          <w:tcPr>
            <w:tcW w:w="3560" w:type="dxa"/>
            <w:vAlign w:val="bottom"/>
            <w:shd w:val="clear" w:color="auto" w:fill="CCEEFF"/>
          </w:tcPr>
          <w:p>
            <w:pPr>
              <w:ind w:left="20"/>
              <w:spacing w:after="0"/>
              <w:rPr>
                <w:sz w:val="20"/>
                <w:szCs w:val="20"/>
                <w:color w:val="auto"/>
              </w:rPr>
            </w:pPr>
            <w:r>
              <w:rPr>
                <w:rFonts w:ascii="Arial" w:cs="Arial" w:eastAsia="Arial" w:hAnsi="Arial"/>
                <w:sz w:val="11"/>
                <w:szCs w:val="11"/>
                <w:color w:val="auto"/>
              </w:rPr>
              <w:t>Consolidated</w:t>
            </w:r>
          </w:p>
        </w:tc>
        <w:tc>
          <w:tcPr>
            <w:tcW w:w="780" w:type="dxa"/>
            <w:vAlign w:val="bottom"/>
            <w:shd w:val="clear" w:color="auto" w:fill="CCEEFF"/>
          </w:tcPr>
          <w:p>
            <w:pPr>
              <w:jc w:val="right"/>
              <w:ind w:right="647"/>
              <w:spacing w:after="0"/>
              <w:rPr>
                <w:sz w:val="20"/>
                <w:szCs w:val="20"/>
                <w:color w:val="auto"/>
              </w:rPr>
            </w:pPr>
            <w:r>
              <w:rPr>
                <w:rFonts w:ascii="Arial" w:cs="Arial" w:eastAsia="Arial" w:hAnsi="Arial"/>
                <w:sz w:val="11"/>
                <w:szCs w:val="11"/>
                <w:color w:val="auto"/>
                <w:w w:val="97"/>
              </w:rPr>
              <w:t>$</w:t>
            </w:r>
          </w:p>
        </w:tc>
        <w:tc>
          <w:tcPr>
            <w:tcW w:w="38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w w:val="87"/>
              </w:rPr>
              <w:t>2,742</w:t>
            </w:r>
          </w:p>
        </w:tc>
        <w:tc>
          <w:tcPr>
            <w:tcW w:w="36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745"/>
              <w:spacing w:after="0"/>
              <w:rPr>
                <w:sz w:val="20"/>
                <w:szCs w:val="20"/>
                <w:color w:val="auto"/>
              </w:rPr>
            </w:pPr>
            <w:r>
              <w:rPr>
                <w:rFonts w:ascii="Arial" w:cs="Arial" w:eastAsia="Arial" w:hAnsi="Arial"/>
                <w:sz w:val="11"/>
                <w:szCs w:val="11"/>
                <w:color w:val="auto"/>
                <w:w w:val="97"/>
              </w:rPr>
              <w:t>$</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840" w:type="dxa"/>
            <w:vAlign w:val="bottom"/>
            <w:shd w:val="clear" w:color="auto" w:fill="CCEEFF"/>
          </w:tcPr>
          <w:p>
            <w:pPr>
              <w:jc w:val="right"/>
              <w:ind w:right="707"/>
              <w:spacing w:after="0"/>
              <w:rPr>
                <w:sz w:val="20"/>
                <w:szCs w:val="20"/>
                <w:color w:val="auto"/>
              </w:rPr>
            </w:pPr>
            <w:r>
              <w:rPr>
                <w:rFonts w:ascii="Arial" w:cs="Arial" w:eastAsia="Arial" w:hAnsi="Arial"/>
                <w:sz w:val="11"/>
                <w:szCs w:val="11"/>
                <w:color w:val="auto"/>
                <w:w w:val="97"/>
              </w:rPr>
              <w:t>$</w:t>
            </w:r>
          </w:p>
        </w:tc>
        <w:tc>
          <w:tcPr>
            <w:tcW w:w="32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w w:val="97"/>
              </w:rPr>
              <w:t>392</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w w:val="97"/>
              </w:rPr>
              <w:t>$</w:t>
            </w:r>
          </w:p>
        </w:tc>
        <w:tc>
          <w:tcPr>
            <w:tcW w:w="940" w:type="dxa"/>
            <w:vAlign w:val="bottom"/>
            <w:shd w:val="clear" w:color="auto" w:fill="CCEEFF"/>
          </w:tcPr>
          <w:p>
            <w:pPr>
              <w:jc w:val="right"/>
              <w:ind w:right="64"/>
              <w:spacing w:after="0"/>
              <w:rPr>
                <w:sz w:val="20"/>
                <w:szCs w:val="20"/>
                <w:color w:val="auto"/>
              </w:rPr>
            </w:pPr>
            <w:r>
              <w:rPr>
                <w:rFonts w:ascii="Arial" w:cs="Arial" w:eastAsia="Arial" w:hAnsi="Arial"/>
                <w:sz w:val="11"/>
                <w:szCs w:val="11"/>
                <w:color w:val="auto"/>
              </w:rPr>
              <w:t>2,212</w:t>
            </w:r>
          </w:p>
        </w:tc>
        <w:tc>
          <w:tcPr>
            <w:tcW w:w="34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w w:val="97"/>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jc w:val="right"/>
              <w:ind w:right="88"/>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CCEEFF"/>
          </w:tcPr>
          <w:p>
            <w:pPr>
              <w:jc w:val="right"/>
              <w:ind w:right="44"/>
              <w:spacing w:after="0"/>
              <w:rPr>
                <w:sz w:val="20"/>
                <w:szCs w:val="20"/>
                <w:color w:val="auto"/>
              </w:rPr>
            </w:pPr>
            <w:r>
              <w:rPr>
                <w:rFonts w:ascii="Arial" w:cs="Arial" w:eastAsia="Arial" w:hAnsi="Arial"/>
                <w:sz w:val="11"/>
                <w:szCs w:val="11"/>
                <w:color w:val="auto"/>
              </w:rPr>
              <w:t>226</w:t>
            </w:r>
          </w:p>
        </w:tc>
      </w:tr>
      <w:tr>
        <w:trPr>
          <w:trHeight w:val="20"/>
        </w:trPr>
        <w:tc>
          <w:tcPr>
            <w:tcW w:w="35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r>
        <w:trPr>
          <w:trHeight w:val="338"/>
        </w:trPr>
        <w:tc>
          <w:tcPr>
            <w:tcW w:w="35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jc w:val="right"/>
              <w:ind w:right="105"/>
              <w:spacing w:after="0"/>
              <w:rPr>
                <w:sz w:val="20"/>
                <w:szCs w:val="20"/>
                <w:color w:val="auto"/>
              </w:rPr>
            </w:pPr>
            <w:r>
              <w:rPr>
                <w:rFonts w:ascii="Arial" w:cs="Arial" w:eastAsia="Arial" w:hAnsi="Arial"/>
                <w:sz w:val="14"/>
                <w:szCs w:val="14"/>
                <w:color w:val="auto"/>
              </w:rPr>
              <w:t>56</w:t>
            </w: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r>
    </w:tbl>
    <w:p>
      <w:pPr>
        <w:sectPr>
          <w:pgSz w:w="11900" w:h="16838" w:orient="portrait"/>
          <w:cols w:equalWidth="0" w:num="1">
            <w:col w:w="11460"/>
          </w:cols>
          <w:pgMar w:left="220" w:top="129" w:right="219" w:bottom="1440" w:gutter="0" w:footer="0" w:header="0"/>
        </w:sectPr>
      </w:pPr>
    </w:p>
    <w:bookmarkStart w:id="66" w:name="page67"/>
    <w:bookmarkEnd w:id="66"/>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356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2180" w:type="dxa"/>
            <w:vAlign w:val="bottom"/>
            <w:tcBorders>
              <w:bottom w:val="single" w:sz="8" w:color="auto"/>
            </w:tcBorders>
            <w:gridSpan w:val="4"/>
          </w:tcPr>
          <w:p>
            <w:pPr>
              <w:jc w:val="right"/>
              <w:ind w:right="424"/>
              <w:spacing w:after="0"/>
              <w:rPr>
                <w:sz w:val="20"/>
                <w:szCs w:val="20"/>
                <w:color w:val="auto"/>
              </w:rPr>
            </w:pPr>
            <w:r>
              <w:rPr>
                <w:rFonts w:ascii="Arial" w:cs="Arial" w:eastAsia="Arial" w:hAnsi="Arial"/>
                <w:sz w:val="10"/>
                <w:szCs w:val="10"/>
                <w:b w:val="1"/>
                <w:bCs w:val="1"/>
                <w:color w:val="auto"/>
              </w:rPr>
              <w:t>Nine Months Ended September 30,</w:t>
            </w:r>
          </w:p>
        </w:tc>
        <w:tc>
          <w:tcPr>
            <w:tcW w:w="34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r>
      <w:tr>
        <w:trPr>
          <w:trHeight w:val="206"/>
        </w:trPr>
        <w:tc>
          <w:tcPr>
            <w:tcW w:w="35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525"/>
              <w:spacing w:after="0"/>
              <w:rPr>
                <w:sz w:val="20"/>
                <w:szCs w:val="20"/>
                <w:color w:val="auto"/>
              </w:rPr>
            </w:pPr>
            <w:r>
              <w:rPr>
                <w:rFonts w:ascii="Arial" w:cs="Arial" w:eastAsia="Arial" w:hAnsi="Arial"/>
                <w:sz w:val="10"/>
                <w:szCs w:val="10"/>
                <w:b w:val="1"/>
                <w:bCs w:val="1"/>
                <w:color w:val="auto"/>
              </w:rPr>
              <w:t>2019</w:t>
            </w: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505"/>
              <w:spacing w:after="0"/>
              <w:rPr>
                <w:sz w:val="20"/>
                <w:szCs w:val="20"/>
                <w:color w:val="auto"/>
              </w:rPr>
            </w:pPr>
            <w:r>
              <w:rPr>
                <w:rFonts w:ascii="Arial" w:cs="Arial" w:eastAsia="Arial" w:hAnsi="Arial"/>
                <w:sz w:val="10"/>
                <w:szCs w:val="10"/>
                <w:b w:val="1"/>
                <w:bCs w:val="1"/>
                <w:color w:val="auto"/>
              </w:rPr>
              <w:t>2018</w:t>
            </w:r>
          </w:p>
        </w:tc>
        <w:tc>
          <w:tcPr>
            <w:tcW w:w="1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r>
      <w:tr>
        <w:trPr>
          <w:trHeight w:val="113"/>
        </w:trPr>
        <w:tc>
          <w:tcPr>
            <w:tcW w:w="3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980" w:type="dxa"/>
            <w:vAlign w:val="bottom"/>
          </w:tcPr>
          <w:p>
            <w:pPr>
              <w:jc w:val="center"/>
              <w:ind w:right="124"/>
              <w:spacing w:after="0" w:line="114" w:lineRule="exact"/>
              <w:rPr>
                <w:sz w:val="20"/>
                <w:szCs w:val="20"/>
                <w:color w:val="auto"/>
              </w:rPr>
            </w:pPr>
            <w:r>
              <w:rPr>
                <w:rFonts w:ascii="Arial" w:cs="Arial" w:eastAsia="Arial" w:hAnsi="Arial"/>
                <w:sz w:val="10"/>
                <w:szCs w:val="10"/>
                <w:b w:val="1"/>
                <w:bCs w:val="1"/>
                <w:color w:val="auto"/>
                <w:w w:val="88"/>
              </w:rPr>
              <w:t>Revenues from</w:t>
            </w:r>
          </w:p>
        </w:tc>
        <w:tc>
          <w:tcPr>
            <w:tcW w:w="3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00" w:type="dxa"/>
            <w:vAlign w:val="bottom"/>
            <w:gridSpan w:val="2"/>
          </w:tcPr>
          <w:p>
            <w:pPr>
              <w:jc w:val="center"/>
              <w:ind w:right="320"/>
              <w:spacing w:after="0" w:line="114" w:lineRule="exact"/>
              <w:rPr>
                <w:sz w:val="20"/>
                <w:szCs w:val="20"/>
                <w:color w:val="auto"/>
              </w:rPr>
            </w:pPr>
            <w:r>
              <w:rPr>
                <w:rFonts w:ascii="Arial" w:cs="Arial" w:eastAsia="Arial" w:hAnsi="Arial"/>
                <w:sz w:val="10"/>
                <w:szCs w:val="10"/>
                <w:b w:val="1"/>
                <w:bCs w:val="1"/>
                <w:color w:val="auto"/>
                <w:w w:val="86"/>
              </w:rPr>
              <w:t>Net</w:t>
            </w:r>
          </w:p>
        </w:tc>
        <w:tc>
          <w:tcPr>
            <w:tcW w:w="220" w:type="dxa"/>
            <w:vAlign w:val="bottom"/>
          </w:tcPr>
          <w:p>
            <w:pPr>
              <w:spacing w:after="0"/>
              <w:rPr>
                <w:sz w:val="9"/>
                <w:szCs w:val="9"/>
                <w:color w:val="auto"/>
              </w:rPr>
            </w:pPr>
          </w:p>
        </w:tc>
        <w:tc>
          <w:tcPr>
            <w:tcW w:w="1040" w:type="dxa"/>
            <w:vAlign w:val="bottom"/>
            <w:gridSpan w:val="2"/>
          </w:tcPr>
          <w:p>
            <w:pPr>
              <w:jc w:val="center"/>
              <w:ind w:right="320"/>
              <w:spacing w:after="0" w:line="114" w:lineRule="exact"/>
              <w:rPr>
                <w:sz w:val="20"/>
                <w:szCs w:val="20"/>
                <w:color w:val="auto"/>
              </w:rPr>
            </w:pPr>
            <w:r>
              <w:rPr>
                <w:rFonts w:ascii="Arial" w:cs="Arial" w:eastAsia="Arial" w:hAnsi="Arial"/>
                <w:sz w:val="10"/>
                <w:szCs w:val="10"/>
                <w:b w:val="1"/>
                <w:bCs w:val="1"/>
                <w:color w:val="auto"/>
                <w:w w:val="93"/>
              </w:rPr>
              <w:t>Operating</w:t>
            </w:r>
          </w:p>
        </w:tc>
        <w:tc>
          <w:tcPr>
            <w:tcW w:w="200" w:type="dxa"/>
            <w:vAlign w:val="bottom"/>
          </w:tcPr>
          <w:p>
            <w:pPr>
              <w:spacing w:after="0"/>
              <w:rPr>
                <w:sz w:val="9"/>
                <w:szCs w:val="9"/>
                <w:color w:val="auto"/>
              </w:rPr>
            </w:pPr>
          </w:p>
        </w:tc>
        <w:tc>
          <w:tcPr>
            <w:tcW w:w="940" w:type="dxa"/>
            <w:vAlign w:val="bottom"/>
          </w:tcPr>
          <w:p>
            <w:pPr>
              <w:jc w:val="center"/>
              <w:ind w:right="144"/>
              <w:spacing w:after="0" w:line="114" w:lineRule="exact"/>
              <w:rPr>
                <w:sz w:val="20"/>
                <w:szCs w:val="20"/>
                <w:color w:val="auto"/>
              </w:rPr>
            </w:pPr>
            <w:r>
              <w:rPr>
                <w:rFonts w:ascii="Arial" w:cs="Arial" w:eastAsia="Arial" w:hAnsi="Arial"/>
                <w:sz w:val="10"/>
                <w:szCs w:val="10"/>
                <w:b w:val="1"/>
                <w:bCs w:val="1"/>
                <w:color w:val="auto"/>
                <w:w w:val="91"/>
              </w:rPr>
              <w:t>Revenues from</w:t>
            </w:r>
          </w:p>
        </w:tc>
        <w:tc>
          <w:tcPr>
            <w:tcW w:w="3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gridSpan w:val="2"/>
          </w:tcPr>
          <w:p>
            <w:pPr>
              <w:jc w:val="center"/>
              <w:ind w:right="300"/>
              <w:spacing w:after="0" w:line="114" w:lineRule="exact"/>
              <w:rPr>
                <w:sz w:val="20"/>
                <w:szCs w:val="20"/>
                <w:color w:val="auto"/>
              </w:rPr>
            </w:pPr>
            <w:r>
              <w:rPr>
                <w:rFonts w:ascii="Arial" w:cs="Arial" w:eastAsia="Arial" w:hAnsi="Arial"/>
                <w:sz w:val="10"/>
                <w:szCs w:val="10"/>
                <w:b w:val="1"/>
                <w:bCs w:val="1"/>
                <w:color w:val="auto"/>
                <w:w w:val="99"/>
              </w:rPr>
              <w:t>Net</w:t>
            </w:r>
          </w:p>
        </w:tc>
        <w:tc>
          <w:tcPr>
            <w:tcW w:w="200" w:type="dxa"/>
            <w:vAlign w:val="bottom"/>
          </w:tcPr>
          <w:p>
            <w:pPr>
              <w:spacing w:after="0"/>
              <w:rPr>
                <w:sz w:val="9"/>
                <w:szCs w:val="9"/>
                <w:color w:val="auto"/>
              </w:rPr>
            </w:pPr>
          </w:p>
        </w:tc>
        <w:tc>
          <w:tcPr>
            <w:tcW w:w="920" w:type="dxa"/>
            <w:vAlign w:val="bottom"/>
          </w:tcPr>
          <w:p>
            <w:pPr>
              <w:jc w:val="center"/>
              <w:ind w:right="144"/>
              <w:spacing w:after="0" w:line="114" w:lineRule="exact"/>
              <w:rPr>
                <w:sz w:val="20"/>
                <w:szCs w:val="20"/>
                <w:color w:val="auto"/>
              </w:rPr>
            </w:pPr>
            <w:r>
              <w:rPr>
                <w:rFonts w:ascii="Arial" w:cs="Arial" w:eastAsia="Arial" w:hAnsi="Arial"/>
                <w:sz w:val="10"/>
                <w:szCs w:val="10"/>
                <w:b w:val="1"/>
                <w:bCs w:val="1"/>
                <w:color w:val="auto"/>
                <w:w w:val="93"/>
              </w:rPr>
              <w:t>Operating</w:t>
            </w:r>
          </w:p>
        </w:tc>
      </w:tr>
      <w:tr>
        <w:trPr>
          <w:trHeight w:val="108"/>
        </w:trPr>
        <w:tc>
          <w:tcPr>
            <w:tcW w:w="3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980" w:type="dxa"/>
            <w:vAlign w:val="bottom"/>
          </w:tcPr>
          <w:p>
            <w:pPr>
              <w:jc w:val="center"/>
              <w:ind w:right="104"/>
              <w:spacing w:after="0" w:line="108" w:lineRule="exact"/>
              <w:rPr>
                <w:sz w:val="20"/>
                <w:szCs w:val="20"/>
                <w:color w:val="auto"/>
              </w:rPr>
            </w:pPr>
            <w:r>
              <w:rPr>
                <w:rFonts w:ascii="Arial" w:cs="Arial" w:eastAsia="Arial" w:hAnsi="Arial"/>
                <w:sz w:val="10"/>
                <w:szCs w:val="10"/>
                <w:b w:val="1"/>
                <w:bCs w:val="1"/>
                <w:color w:val="auto"/>
                <w:w w:val="96"/>
              </w:rPr>
              <w:t>External</w:t>
            </w:r>
          </w:p>
        </w:tc>
        <w:tc>
          <w:tcPr>
            <w:tcW w:w="3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00" w:type="dxa"/>
            <w:vAlign w:val="bottom"/>
            <w:gridSpan w:val="2"/>
          </w:tcPr>
          <w:p>
            <w:pPr>
              <w:jc w:val="center"/>
              <w:ind w:right="320"/>
              <w:spacing w:after="0" w:line="108" w:lineRule="exact"/>
              <w:rPr>
                <w:sz w:val="20"/>
                <w:szCs w:val="20"/>
                <w:color w:val="auto"/>
              </w:rPr>
            </w:pPr>
            <w:r>
              <w:rPr>
                <w:rFonts w:ascii="Arial" w:cs="Arial" w:eastAsia="Arial" w:hAnsi="Arial"/>
                <w:sz w:val="10"/>
                <w:szCs w:val="10"/>
                <w:b w:val="1"/>
                <w:bCs w:val="1"/>
                <w:color w:val="auto"/>
                <w:w w:val="92"/>
              </w:rPr>
              <w:t>Intersegment</w:t>
            </w:r>
          </w:p>
        </w:tc>
        <w:tc>
          <w:tcPr>
            <w:tcW w:w="220" w:type="dxa"/>
            <w:vAlign w:val="bottom"/>
          </w:tcPr>
          <w:p>
            <w:pPr>
              <w:spacing w:after="0"/>
              <w:rPr>
                <w:sz w:val="9"/>
                <w:szCs w:val="9"/>
                <w:color w:val="auto"/>
              </w:rPr>
            </w:pPr>
          </w:p>
        </w:tc>
        <w:tc>
          <w:tcPr>
            <w:tcW w:w="1040" w:type="dxa"/>
            <w:vAlign w:val="bottom"/>
            <w:gridSpan w:val="2"/>
          </w:tcPr>
          <w:p>
            <w:pPr>
              <w:jc w:val="center"/>
              <w:ind w:right="320"/>
              <w:spacing w:after="0" w:line="108" w:lineRule="exact"/>
              <w:rPr>
                <w:sz w:val="20"/>
                <w:szCs w:val="20"/>
                <w:color w:val="auto"/>
              </w:rPr>
            </w:pPr>
            <w:r>
              <w:rPr>
                <w:rFonts w:ascii="Arial" w:cs="Arial" w:eastAsia="Arial" w:hAnsi="Arial"/>
                <w:sz w:val="10"/>
                <w:szCs w:val="10"/>
                <w:b w:val="1"/>
                <w:bCs w:val="1"/>
                <w:color w:val="auto"/>
                <w:w w:val="91"/>
              </w:rPr>
              <w:t>Income</w:t>
            </w:r>
          </w:p>
        </w:tc>
        <w:tc>
          <w:tcPr>
            <w:tcW w:w="200" w:type="dxa"/>
            <w:vAlign w:val="bottom"/>
          </w:tcPr>
          <w:p>
            <w:pPr>
              <w:spacing w:after="0"/>
              <w:rPr>
                <w:sz w:val="9"/>
                <w:szCs w:val="9"/>
                <w:color w:val="auto"/>
              </w:rPr>
            </w:pPr>
          </w:p>
        </w:tc>
        <w:tc>
          <w:tcPr>
            <w:tcW w:w="940" w:type="dxa"/>
            <w:vAlign w:val="bottom"/>
          </w:tcPr>
          <w:p>
            <w:pPr>
              <w:jc w:val="center"/>
              <w:ind w:right="144"/>
              <w:spacing w:after="0" w:line="108" w:lineRule="exact"/>
              <w:rPr>
                <w:sz w:val="20"/>
                <w:szCs w:val="20"/>
                <w:color w:val="auto"/>
              </w:rPr>
            </w:pPr>
            <w:r>
              <w:rPr>
                <w:rFonts w:ascii="Arial" w:cs="Arial" w:eastAsia="Arial" w:hAnsi="Arial"/>
                <w:sz w:val="10"/>
                <w:szCs w:val="10"/>
                <w:b w:val="1"/>
                <w:bCs w:val="1"/>
                <w:color w:val="auto"/>
                <w:w w:val="96"/>
              </w:rPr>
              <w:t>External</w:t>
            </w:r>
          </w:p>
        </w:tc>
        <w:tc>
          <w:tcPr>
            <w:tcW w:w="3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gridSpan w:val="2"/>
          </w:tcPr>
          <w:p>
            <w:pPr>
              <w:jc w:val="center"/>
              <w:ind w:right="300"/>
              <w:spacing w:after="0" w:line="108" w:lineRule="exact"/>
              <w:rPr>
                <w:sz w:val="20"/>
                <w:szCs w:val="20"/>
                <w:color w:val="auto"/>
              </w:rPr>
            </w:pPr>
            <w:r>
              <w:rPr>
                <w:rFonts w:ascii="Arial" w:cs="Arial" w:eastAsia="Arial" w:hAnsi="Arial"/>
                <w:sz w:val="10"/>
                <w:szCs w:val="10"/>
                <w:b w:val="1"/>
                <w:bCs w:val="1"/>
                <w:color w:val="auto"/>
                <w:w w:val="89"/>
              </w:rPr>
              <w:t>Intersegment</w:t>
            </w:r>
          </w:p>
        </w:tc>
        <w:tc>
          <w:tcPr>
            <w:tcW w:w="200" w:type="dxa"/>
            <w:vAlign w:val="bottom"/>
          </w:tcPr>
          <w:p>
            <w:pPr>
              <w:spacing w:after="0"/>
              <w:rPr>
                <w:sz w:val="9"/>
                <w:szCs w:val="9"/>
                <w:color w:val="auto"/>
              </w:rPr>
            </w:pPr>
          </w:p>
        </w:tc>
        <w:tc>
          <w:tcPr>
            <w:tcW w:w="920" w:type="dxa"/>
            <w:vAlign w:val="bottom"/>
          </w:tcPr>
          <w:p>
            <w:pPr>
              <w:jc w:val="center"/>
              <w:ind w:right="144"/>
              <w:spacing w:after="0" w:line="108" w:lineRule="exact"/>
              <w:rPr>
                <w:sz w:val="20"/>
                <w:szCs w:val="20"/>
                <w:color w:val="auto"/>
              </w:rPr>
            </w:pPr>
            <w:r>
              <w:rPr>
                <w:rFonts w:ascii="Arial" w:cs="Arial" w:eastAsia="Arial" w:hAnsi="Arial"/>
                <w:sz w:val="10"/>
                <w:szCs w:val="10"/>
                <w:b w:val="1"/>
                <w:bCs w:val="1"/>
                <w:color w:val="auto"/>
                <w:w w:val="91"/>
              </w:rPr>
              <w:t>Income</w:t>
            </w:r>
          </w:p>
        </w:tc>
      </w:tr>
      <w:tr>
        <w:trPr>
          <w:trHeight w:val="136"/>
        </w:trPr>
        <w:tc>
          <w:tcPr>
            <w:tcW w:w="356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jc w:val="center"/>
              <w:ind w:right="104"/>
              <w:spacing w:after="0"/>
              <w:rPr>
                <w:sz w:val="20"/>
                <w:szCs w:val="20"/>
                <w:color w:val="auto"/>
              </w:rPr>
            </w:pPr>
            <w:r>
              <w:rPr>
                <w:rFonts w:ascii="Arial" w:cs="Arial" w:eastAsia="Arial" w:hAnsi="Arial"/>
                <w:sz w:val="10"/>
                <w:szCs w:val="10"/>
                <w:b w:val="1"/>
                <w:bCs w:val="1"/>
                <w:color w:val="auto"/>
                <w:w w:val="87"/>
              </w:rPr>
              <w:t>Customers</w:t>
            </w:r>
          </w:p>
        </w:tc>
        <w:tc>
          <w:tcPr>
            <w:tcW w:w="36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0"/>
                <w:szCs w:val="10"/>
                <w:b w:val="1"/>
                <w:bCs w:val="1"/>
                <w:color w:val="auto"/>
                <w:w w:val="88"/>
              </w:rPr>
              <w:t>Revenues</w:t>
            </w:r>
          </w:p>
        </w:tc>
        <w:tc>
          <w:tcPr>
            <w:tcW w:w="22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0"/>
                <w:szCs w:val="10"/>
                <w:b w:val="1"/>
                <w:bCs w:val="1"/>
                <w:color w:val="auto"/>
                <w:w w:val="86"/>
              </w:rPr>
              <w:t>(Loss)</w:t>
            </w:r>
          </w:p>
        </w:tc>
        <w:tc>
          <w:tcPr>
            <w:tcW w:w="20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center"/>
              <w:ind w:right="144"/>
              <w:spacing w:after="0"/>
              <w:rPr>
                <w:sz w:val="20"/>
                <w:szCs w:val="20"/>
                <w:color w:val="auto"/>
              </w:rPr>
            </w:pPr>
            <w:r>
              <w:rPr>
                <w:rFonts w:ascii="Arial" w:cs="Arial" w:eastAsia="Arial" w:hAnsi="Arial"/>
                <w:sz w:val="10"/>
                <w:szCs w:val="10"/>
                <w:b w:val="1"/>
                <w:bCs w:val="1"/>
                <w:color w:val="auto"/>
                <w:w w:val="87"/>
              </w:rPr>
              <w:t>Customers</w:t>
            </w:r>
          </w:p>
        </w:tc>
        <w:tc>
          <w:tcPr>
            <w:tcW w:w="34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0"/>
                <w:szCs w:val="10"/>
                <w:b w:val="1"/>
                <w:bCs w:val="1"/>
                <w:color w:val="auto"/>
                <w:w w:val="84"/>
              </w:rPr>
              <w:t>Revenues</w:t>
            </w:r>
          </w:p>
        </w:tc>
        <w:tc>
          <w:tcPr>
            <w:tcW w:w="20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center"/>
              <w:ind w:right="164"/>
              <w:spacing w:after="0"/>
              <w:rPr>
                <w:sz w:val="20"/>
                <w:szCs w:val="20"/>
                <w:color w:val="auto"/>
              </w:rPr>
            </w:pPr>
            <w:r>
              <w:rPr>
                <w:rFonts w:ascii="Arial" w:cs="Arial" w:eastAsia="Arial" w:hAnsi="Arial"/>
                <w:sz w:val="10"/>
                <w:szCs w:val="10"/>
                <w:b w:val="1"/>
                <w:bCs w:val="1"/>
                <w:color w:val="auto"/>
                <w:w w:val="86"/>
              </w:rPr>
              <w:t>(Loss)</w:t>
            </w:r>
          </w:p>
        </w:tc>
      </w:tr>
      <w:tr>
        <w:trPr>
          <w:trHeight w:val="196"/>
        </w:trPr>
        <w:tc>
          <w:tcPr>
            <w:tcW w:w="3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gridSpan w:val="3"/>
          </w:tcPr>
          <w:p>
            <w:pPr>
              <w:jc w:val="right"/>
              <w:spacing w:after="0"/>
              <w:rPr>
                <w:sz w:val="20"/>
                <w:szCs w:val="20"/>
                <w:color w:val="auto"/>
              </w:rPr>
            </w:pPr>
            <w:r>
              <w:rPr>
                <w:rFonts w:ascii="Arial" w:cs="Arial" w:eastAsia="Arial" w:hAnsi="Arial"/>
                <w:sz w:val="10"/>
                <w:szCs w:val="10"/>
                <w:b w:val="1"/>
                <w:bCs w:val="1"/>
                <w:color w:val="auto"/>
              </w:rPr>
              <w:t>(in millions)</w:t>
            </w:r>
          </w:p>
        </w:tc>
        <w:tc>
          <w:tcPr>
            <w:tcW w:w="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22"/>
        </w:trPr>
        <w:tc>
          <w:tcPr>
            <w:tcW w:w="3560" w:type="dxa"/>
            <w:vAlign w:val="bottom"/>
            <w:shd w:val="clear" w:color="auto" w:fill="CCEEFF"/>
          </w:tcPr>
          <w:p>
            <w:pPr>
              <w:ind w:left="20"/>
              <w:spacing w:after="0"/>
              <w:rPr>
                <w:sz w:val="20"/>
                <w:szCs w:val="20"/>
                <w:color w:val="auto"/>
              </w:rPr>
            </w:pPr>
            <w:r>
              <w:rPr>
                <w:rFonts w:ascii="Arial" w:cs="Arial" w:eastAsia="Arial" w:hAnsi="Arial"/>
                <w:sz w:val="11"/>
                <w:szCs w:val="11"/>
                <w:color w:val="auto"/>
              </w:rPr>
              <w:t>Houston Electric T&amp;D</w:t>
            </w:r>
          </w:p>
        </w:tc>
        <w:tc>
          <w:tcPr>
            <w:tcW w:w="18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w w:val="97"/>
              </w:rPr>
              <w:t>$</w:t>
            </w:r>
          </w:p>
        </w:tc>
        <w:tc>
          <w:tcPr>
            <w:tcW w:w="980" w:type="dxa"/>
            <w:vAlign w:val="bottom"/>
            <w:shd w:val="clear" w:color="auto" w:fill="CCEEFF"/>
          </w:tcPr>
          <w:p>
            <w:pPr>
              <w:jc w:val="right"/>
              <w:ind w:right="64"/>
              <w:spacing w:after="0"/>
              <w:rPr>
                <w:sz w:val="20"/>
                <w:szCs w:val="20"/>
                <w:color w:val="auto"/>
              </w:rPr>
            </w:pPr>
            <w:r>
              <w:rPr>
                <w:rFonts w:ascii="Arial" w:cs="Arial" w:eastAsia="Arial" w:hAnsi="Arial"/>
                <w:sz w:val="11"/>
                <w:szCs w:val="11"/>
                <w:color w:val="auto"/>
              </w:rPr>
              <w:t>2,313</w:t>
            </w:r>
          </w:p>
        </w:tc>
        <w:tc>
          <w:tcPr>
            <w:tcW w:w="360" w:type="dxa"/>
            <w:vAlign w:val="bottom"/>
            <w:shd w:val="clear" w:color="auto" w:fill="CCEEFF"/>
          </w:tcPr>
          <w:p>
            <w:pPr>
              <w:jc w:val="right"/>
              <w:ind w:right="197"/>
              <w:spacing w:after="0"/>
              <w:rPr>
                <w:sz w:val="20"/>
                <w:szCs w:val="20"/>
                <w:color w:val="auto"/>
              </w:rPr>
            </w:pPr>
            <w:r>
              <w:rPr>
                <w:rFonts w:ascii="Arial" w:cs="Arial" w:eastAsia="Arial" w:hAnsi="Arial"/>
                <w:sz w:val="9"/>
                <w:szCs w:val="9"/>
                <w:color w:val="auto"/>
                <w:w w:val="90"/>
              </w:rPr>
              <w:t>(1)</w:t>
            </w:r>
          </w:p>
        </w:tc>
        <w:tc>
          <w:tcPr>
            <w:tcW w:w="18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w w:val="97"/>
              </w:rPr>
              <w:t>$</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w w:val="97"/>
              </w:rPr>
              <w:t>$</w:t>
            </w:r>
          </w:p>
        </w:tc>
        <w:tc>
          <w:tcPr>
            <w:tcW w:w="940" w:type="dxa"/>
            <w:vAlign w:val="bottom"/>
            <w:shd w:val="clear" w:color="auto" w:fill="CCEEFF"/>
          </w:tcPr>
          <w:p>
            <w:pPr>
              <w:jc w:val="right"/>
              <w:ind w:right="65"/>
              <w:spacing w:after="0"/>
              <w:rPr>
                <w:sz w:val="20"/>
                <w:szCs w:val="20"/>
                <w:color w:val="auto"/>
              </w:rPr>
            </w:pPr>
            <w:r>
              <w:rPr>
                <w:rFonts w:ascii="Arial" w:cs="Arial" w:eastAsia="Arial" w:hAnsi="Arial"/>
                <w:sz w:val="11"/>
                <w:szCs w:val="11"/>
                <w:color w:val="auto"/>
              </w:rPr>
              <w:t>522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w w:val="97"/>
              </w:rPr>
              <w:t>$</w:t>
            </w:r>
          </w:p>
        </w:tc>
        <w:tc>
          <w:tcPr>
            <w:tcW w:w="940" w:type="dxa"/>
            <w:vAlign w:val="bottom"/>
            <w:shd w:val="clear" w:color="auto" w:fill="CCEEFF"/>
          </w:tcPr>
          <w:p>
            <w:pPr>
              <w:jc w:val="right"/>
              <w:ind w:right="64"/>
              <w:spacing w:after="0"/>
              <w:rPr>
                <w:sz w:val="20"/>
                <w:szCs w:val="20"/>
                <w:color w:val="auto"/>
              </w:rPr>
            </w:pPr>
            <w:r>
              <w:rPr>
                <w:rFonts w:ascii="Arial" w:cs="Arial" w:eastAsia="Arial" w:hAnsi="Arial"/>
                <w:sz w:val="11"/>
                <w:szCs w:val="11"/>
                <w:color w:val="auto"/>
              </w:rPr>
              <w:t>2,502</w:t>
            </w:r>
          </w:p>
        </w:tc>
        <w:tc>
          <w:tcPr>
            <w:tcW w:w="340" w:type="dxa"/>
            <w:vAlign w:val="bottom"/>
            <w:shd w:val="clear" w:color="auto" w:fill="CCEEFF"/>
          </w:tcPr>
          <w:p>
            <w:pPr>
              <w:jc w:val="right"/>
              <w:ind w:right="177"/>
              <w:spacing w:after="0"/>
              <w:rPr>
                <w:sz w:val="20"/>
                <w:szCs w:val="20"/>
                <w:color w:val="auto"/>
              </w:rPr>
            </w:pPr>
            <w:r>
              <w:rPr>
                <w:rFonts w:ascii="Arial" w:cs="Arial" w:eastAsia="Arial" w:hAnsi="Arial"/>
                <w:sz w:val="9"/>
                <w:szCs w:val="9"/>
                <w:color w:val="auto"/>
                <w:w w:val="90"/>
              </w:rPr>
              <w:t>(1)</w:t>
            </w:r>
          </w:p>
        </w:tc>
        <w:tc>
          <w:tcPr>
            <w:tcW w:w="18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w w:val="97"/>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jc w:val="right"/>
              <w:ind w:right="88"/>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CCEEFF"/>
          </w:tcPr>
          <w:p>
            <w:pPr>
              <w:jc w:val="right"/>
              <w:ind w:right="44"/>
              <w:spacing w:after="0"/>
              <w:rPr>
                <w:sz w:val="20"/>
                <w:szCs w:val="20"/>
                <w:color w:val="auto"/>
              </w:rPr>
            </w:pPr>
            <w:r>
              <w:rPr>
                <w:rFonts w:ascii="Arial" w:cs="Arial" w:eastAsia="Arial" w:hAnsi="Arial"/>
                <w:sz w:val="11"/>
                <w:szCs w:val="11"/>
                <w:color w:val="auto"/>
              </w:rPr>
              <w:t>523</w:t>
            </w:r>
          </w:p>
        </w:tc>
      </w:tr>
      <w:tr>
        <w:trPr>
          <w:trHeight w:val="211"/>
        </w:trPr>
        <w:tc>
          <w:tcPr>
            <w:tcW w:w="3560" w:type="dxa"/>
            <w:vAlign w:val="bottom"/>
          </w:tcPr>
          <w:p>
            <w:pPr>
              <w:ind w:left="20"/>
              <w:spacing w:after="0"/>
              <w:rPr>
                <w:sz w:val="20"/>
                <w:szCs w:val="20"/>
                <w:color w:val="auto"/>
              </w:rPr>
            </w:pPr>
            <w:r>
              <w:rPr>
                <w:rFonts w:ascii="Arial" w:cs="Arial" w:eastAsia="Arial" w:hAnsi="Arial"/>
                <w:sz w:val="11"/>
                <w:szCs w:val="11"/>
                <w:color w:val="auto"/>
              </w:rPr>
              <w:t>Indiana Electric Integrated</w:t>
            </w:r>
          </w:p>
        </w:tc>
        <w:tc>
          <w:tcPr>
            <w:tcW w:w="180" w:type="dxa"/>
            <w:vAlign w:val="bottom"/>
          </w:tcPr>
          <w:p>
            <w:pPr>
              <w:spacing w:after="0"/>
              <w:rPr>
                <w:sz w:val="18"/>
                <w:szCs w:val="18"/>
                <w:color w:val="auto"/>
              </w:rPr>
            </w:pPr>
          </w:p>
        </w:tc>
        <w:tc>
          <w:tcPr>
            <w:tcW w:w="980" w:type="dxa"/>
            <w:vAlign w:val="bottom"/>
          </w:tcPr>
          <w:p>
            <w:pPr>
              <w:jc w:val="right"/>
              <w:ind w:right="64"/>
              <w:spacing w:after="0"/>
              <w:rPr>
                <w:sz w:val="20"/>
                <w:szCs w:val="20"/>
                <w:color w:val="auto"/>
              </w:rPr>
            </w:pPr>
            <w:r>
              <w:rPr>
                <w:rFonts w:ascii="Arial" w:cs="Arial" w:eastAsia="Arial" w:hAnsi="Arial"/>
                <w:sz w:val="11"/>
                <w:szCs w:val="11"/>
                <w:color w:val="auto"/>
              </w:rPr>
              <w:t>388</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8"/>
                <w:szCs w:val="18"/>
                <w:color w:val="auto"/>
              </w:rPr>
            </w:pPr>
          </w:p>
        </w:tc>
        <w:tc>
          <w:tcPr>
            <w:tcW w:w="940" w:type="dxa"/>
            <w:vAlign w:val="bottom"/>
          </w:tcPr>
          <w:p>
            <w:pPr>
              <w:jc w:val="right"/>
              <w:ind w:right="65"/>
              <w:spacing w:after="0"/>
              <w:rPr>
                <w:sz w:val="20"/>
                <w:szCs w:val="20"/>
                <w:color w:val="auto"/>
              </w:rPr>
            </w:pPr>
            <w:r>
              <w:rPr>
                <w:rFonts w:ascii="Arial" w:cs="Arial" w:eastAsia="Arial" w:hAnsi="Arial"/>
                <w:sz w:val="11"/>
                <w:szCs w:val="11"/>
                <w:color w:val="auto"/>
              </w:rPr>
              <w:t>64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ind w:right="64"/>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8"/>
                <w:szCs w:val="18"/>
                <w:color w:val="auto"/>
              </w:rPr>
            </w:pPr>
          </w:p>
        </w:tc>
        <w:tc>
          <w:tcPr>
            <w:tcW w:w="920" w:type="dxa"/>
            <w:vAlign w:val="bottom"/>
          </w:tcPr>
          <w:p>
            <w:pPr>
              <w:jc w:val="right"/>
              <w:ind w:right="44"/>
              <w:spacing w:after="0"/>
              <w:rPr>
                <w:sz w:val="20"/>
                <w:szCs w:val="20"/>
                <w:color w:val="auto"/>
              </w:rPr>
            </w:pPr>
            <w:r>
              <w:rPr>
                <w:rFonts w:ascii="Arial" w:cs="Arial" w:eastAsia="Arial" w:hAnsi="Arial"/>
                <w:sz w:val="11"/>
                <w:szCs w:val="11"/>
                <w:color w:val="auto"/>
              </w:rPr>
              <w:t>—</w:t>
            </w:r>
          </w:p>
        </w:tc>
      </w:tr>
      <w:tr>
        <w:trPr>
          <w:trHeight w:val="220"/>
        </w:trPr>
        <w:tc>
          <w:tcPr>
            <w:tcW w:w="3560" w:type="dxa"/>
            <w:vAlign w:val="bottom"/>
            <w:shd w:val="clear" w:color="auto" w:fill="CCEEFF"/>
          </w:tcPr>
          <w:p>
            <w:pPr>
              <w:ind w:left="20"/>
              <w:spacing w:after="0"/>
              <w:rPr>
                <w:sz w:val="20"/>
                <w:szCs w:val="20"/>
                <w:color w:val="auto"/>
              </w:rPr>
            </w:pPr>
            <w:r>
              <w:rPr>
                <w:rFonts w:ascii="Arial" w:cs="Arial" w:eastAsia="Arial" w:hAnsi="Arial"/>
                <w:sz w:val="11"/>
                <w:szCs w:val="11"/>
                <w:color w:val="auto"/>
              </w:rPr>
              <w:t>Natural Gas Distribution</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64"/>
              <w:spacing w:after="0"/>
              <w:rPr>
                <w:sz w:val="20"/>
                <w:szCs w:val="20"/>
                <w:color w:val="auto"/>
              </w:rPr>
            </w:pPr>
            <w:r>
              <w:rPr>
                <w:rFonts w:ascii="Arial" w:cs="Arial" w:eastAsia="Arial" w:hAnsi="Arial"/>
                <w:sz w:val="11"/>
                <w:szCs w:val="11"/>
                <w:color w:val="auto"/>
              </w:rPr>
              <w:t>2,554</w:t>
            </w:r>
          </w:p>
        </w:tc>
        <w:tc>
          <w:tcPr>
            <w:tcW w:w="3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65"/>
              <w:spacing w:after="0"/>
              <w:rPr>
                <w:sz w:val="20"/>
                <w:szCs w:val="20"/>
                <w:color w:val="auto"/>
              </w:rPr>
            </w:pPr>
            <w:r>
              <w:rPr>
                <w:rFonts w:ascii="Arial" w:cs="Arial" w:eastAsia="Arial" w:hAnsi="Arial"/>
                <w:sz w:val="11"/>
                <w:szCs w:val="11"/>
                <w:color w:val="auto"/>
              </w:rPr>
              <w:t>29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65"/>
              <w:spacing w:after="0"/>
              <w:rPr>
                <w:sz w:val="20"/>
                <w:szCs w:val="20"/>
                <w:color w:val="auto"/>
              </w:rPr>
            </w:pPr>
            <w:r>
              <w:rPr>
                <w:rFonts w:ascii="Arial" w:cs="Arial" w:eastAsia="Arial" w:hAnsi="Arial"/>
                <w:sz w:val="11"/>
                <w:szCs w:val="11"/>
                <w:color w:val="auto"/>
              </w:rPr>
              <w:t>241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64"/>
              <w:spacing w:after="0"/>
              <w:rPr>
                <w:sz w:val="20"/>
                <w:szCs w:val="20"/>
                <w:color w:val="auto"/>
              </w:rPr>
            </w:pPr>
            <w:r>
              <w:rPr>
                <w:rFonts w:ascii="Arial" w:cs="Arial" w:eastAsia="Arial" w:hAnsi="Arial"/>
                <w:sz w:val="11"/>
                <w:szCs w:val="11"/>
                <w:color w:val="auto"/>
              </w:rPr>
              <w:t>2,032</w:t>
            </w:r>
          </w:p>
        </w:tc>
        <w:tc>
          <w:tcPr>
            <w:tcW w:w="3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45"/>
              <w:spacing w:after="0"/>
              <w:rPr>
                <w:sz w:val="20"/>
                <w:szCs w:val="20"/>
                <w:color w:val="auto"/>
              </w:rPr>
            </w:pPr>
            <w:r>
              <w:rPr>
                <w:rFonts w:ascii="Arial" w:cs="Arial" w:eastAsia="Arial" w:hAnsi="Arial"/>
                <w:sz w:val="11"/>
                <w:szCs w:val="11"/>
                <w:color w:val="auto"/>
              </w:rPr>
              <w:t>26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44"/>
              <w:spacing w:after="0"/>
              <w:rPr>
                <w:sz w:val="20"/>
                <w:szCs w:val="20"/>
                <w:color w:val="auto"/>
              </w:rPr>
            </w:pPr>
            <w:r>
              <w:rPr>
                <w:rFonts w:ascii="Arial" w:cs="Arial" w:eastAsia="Arial" w:hAnsi="Arial"/>
                <w:sz w:val="11"/>
                <w:szCs w:val="11"/>
                <w:color w:val="auto"/>
              </w:rPr>
              <w:t>166</w:t>
            </w:r>
          </w:p>
        </w:tc>
      </w:tr>
      <w:tr>
        <w:trPr>
          <w:trHeight w:val="211"/>
        </w:trPr>
        <w:tc>
          <w:tcPr>
            <w:tcW w:w="3560" w:type="dxa"/>
            <w:vAlign w:val="bottom"/>
          </w:tcPr>
          <w:p>
            <w:pPr>
              <w:ind w:left="20"/>
              <w:spacing w:after="0"/>
              <w:rPr>
                <w:sz w:val="20"/>
                <w:szCs w:val="20"/>
                <w:color w:val="auto"/>
              </w:rPr>
            </w:pPr>
            <w:r>
              <w:rPr>
                <w:rFonts w:ascii="Arial" w:cs="Arial" w:eastAsia="Arial" w:hAnsi="Arial"/>
                <w:sz w:val="11"/>
                <w:szCs w:val="11"/>
                <w:color w:val="auto"/>
              </w:rPr>
              <w:t>Energy Services</w:t>
            </w:r>
          </w:p>
        </w:tc>
        <w:tc>
          <w:tcPr>
            <w:tcW w:w="180" w:type="dxa"/>
            <w:vAlign w:val="bottom"/>
          </w:tcPr>
          <w:p>
            <w:pPr>
              <w:spacing w:after="0"/>
              <w:rPr>
                <w:sz w:val="18"/>
                <w:szCs w:val="18"/>
                <w:color w:val="auto"/>
              </w:rPr>
            </w:pPr>
          </w:p>
        </w:tc>
        <w:tc>
          <w:tcPr>
            <w:tcW w:w="980" w:type="dxa"/>
            <w:vAlign w:val="bottom"/>
          </w:tcPr>
          <w:p>
            <w:pPr>
              <w:jc w:val="right"/>
              <w:ind w:right="64"/>
              <w:spacing w:after="0"/>
              <w:rPr>
                <w:sz w:val="20"/>
                <w:szCs w:val="20"/>
                <w:color w:val="auto"/>
              </w:rPr>
            </w:pPr>
            <w:r>
              <w:rPr>
                <w:rFonts w:ascii="Arial" w:cs="Arial" w:eastAsia="Arial" w:hAnsi="Arial"/>
                <w:sz w:val="11"/>
                <w:szCs w:val="11"/>
                <w:color w:val="auto"/>
              </w:rPr>
              <w:t>2,754</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ind w:right="65"/>
              <w:spacing w:after="0"/>
              <w:rPr>
                <w:sz w:val="20"/>
                <w:szCs w:val="20"/>
                <w:color w:val="auto"/>
              </w:rPr>
            </w:pPr>
            <w:r>
              <w:rPr>
                <w:rFonts w:ascii="Arial" w:cs="Arial" w:eastAsia="Arial" w:hAnsi="Arial"/>
                <w:sz w:val="11"/>
                <w:szCs w:val="11"/>
                <w:color w:val="auto"/>
              </w:rPr>
              <w:t>92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ind w:right="65"/>
              <w:spacing w:after="0"/>
              <w:rPr>
                <w:sz w:val="20"/>
                <w:szCs w:val="20"/>
                <w:color w:val="auto"/>
              </w:rPr>
            </w:pPr>
            <w:r>
              <w:rPr>
                <w:rFonts w:ascii="Arial" w:cs="Arial" w:eastAsia="Arial" w:hAnsi="Arial"/>
                <w:sz w:val="11"/>
                <w:szCs w:val="11"/>
                <w:color w:val="auto"/>
              </w:rPr>
              <w:t>64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ind w:right="64"/>
              <w:spacing w:after="0"/>
              <w:rPr>
                <w:sz w:val="20"/>
                <w:szCs w:val="20"/>
                <w:color w:val="auto"/>
              </w:rPr>
            </w:pPr>
            <w:r>
              <w:rPr>
                <w:rFonts w:ascii="Arial" w:cs="Arial" w:eastAsia="Arial" w:hAnsi="Arial"/>
                <w:sz w:val="11"/>
                <w:szCs w:val="11"/>
                <w:color w:val="auto"/>
              </w:rPr>
              <w:t>3,008</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ind w:right="45"/>
              <w:spacing w:after="0"/>
              <w:rPr>
                <w:sz w:val="20"/>
                <w:szCs w:val="20"/>
                <w:color w:val="auto"/>
              </w:rPr>
            </w:pPr>
            <w:r>
              <w:rPr>
                <w:rFonts w:ascii="Arial" w:cs="Arial" w:eastAsia="Arial" w:hAnsi="Arial"/>
                <w:sz w:val="11"/>
                <w:szCs w:val="11"/>
                <w:color w:val="auto"/>
              </w:rPr>
              <w:t>57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4"/>
              <w:spacing w:after="0"/>
              <w:rPr>
                <w:sz w:val="20"/>
                <w:szCs w:val="20"/>
                <w:color w:val="auto"/>
              </w:rPr>
            </w:pPr>
            <w:r>
              <w:rPr>
                <w:rFonts w:ascii="Arial" w:cs="Arial" w:eastAsia="Arial" w:hAnsi="Arial"/>
                <w:sz w:val="11"/>
                <w:szCs w:val="11"/>
                <w:color w:val="auto"/>
              </w:rPr>
              <w:t>(20)</w:t>
            </w:r>
          </w:p>
        </w:tc>
      </w:tr>
      <w:tr>
        <w:trPr>
          <w:trHeight w:val="220"/>
        </w:trPr>
        <w:tc>
          <w:tcPr>
            <w:tcW w:w="3560" w:type="dxa"/>
            <w:vAlign w:val="bottom"/>
            <w:shd w:val="clear" w:color="auto" w:fill="CCEEFF"/>
          </w:tcPr>
          <w:p>
            <w:pPr>
              <w:ind w:left="20"/>
              <w:spacing w:after="0"/>
              <w:rPr>
                <w:sz w:val="20"/>
                <w:szCs w:val="20"/>
                <w:color w:val="auto"/>
              </w:rPr>
            </w:pPr>
            <w:r>
              <w:rPr>
                <w:rFonts w:ascii="Arial" w:cs="Arial" w:eastAsia="Arial" w:hAnsi="Arial"/>
                <w:sz w:val="11"/>
                <w:szCs w:val="11"/>
                <w:color w:val="auto"/>
              </w:rPr>
              <w:t>Infrastructure Services</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64"/>
              <w:spacing w:after="0"/>
              <w:rPr>
                <w:sz w:val="20"/>
                <w:szCs w:val="20"/>
                <w:color w:val="auto"/>
              </w:rPr>
            </w:pPr>
            <w:r>
              <w:rPr>
                <w:rFonts w:ascii="Arial" w:cs="Arial" w:eastAsia="Arial" w:hAnsi="Arial"/>
                <w:sz w:val="11"/>
                <w:szCs w:val="11"/>
                <w:color w:val="auto"/>
              </w:rPr>
              <w:t>847</w:t>
            </w:r>
          </w:p>
        </w:tc>
        <w:tc>
          <w:tcPr>
            <w:tcW w:w="3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65"/>
              <w:spacing w:after="0"/>
              <w:rPr>
                <w:sz w:val="20"/>
                <w:szCs w:val="20"/>
                <w:color w:val="auto"/>
              </w:rPr>
            </w:pPr>
            <w:r>
              <w:rPr>
                <w:rFonts w:ascii="Arial" w:cs="Arial" w:eastAsia="Arial" w:hAnsi="Arial"/>
                <w:sz w:val="11"/>
                <w:szCs w:val="11"/>
                <w:color w:val="auto"/>
              </w:rPr>
              <w:t>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65"/>
              <w:spacing w:after="0"/>
              <w:rPr>
                <w:sz w:val="20"/>
                <w:szCs w:val="20"/>
                <w:color w:val="auto"/>
              </w:rPr>
            </w:pPr>
            <w:r>
              <w:rPr>
                <w:rFonts w:ascii="Arial" w:cs="Arial" w:eastAsia="Arial" w:hAnsi="Arial"/>
                <w:sz w:val="11"/>
                <w:szCs w:val="11"/>
                <w:color w:val="auto"/>
              </w:rPr>
              <w:t>50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64"/>
              <w:spacing w:after="0"/>
              <w:rPr>
                <w:sz w:val="20"/>
                <w:szCs w:val="20"/>
                <w:color w:val="auto"/>
              </w:rPr>
            </w:pPr>
            <w:r>
              <w:rPr>
                <w:rFonts w:ascii="Arial" w:cs="Arial" w:eastAsia="Arial" w:hAnsi="Arial"/>
                <w:sz w:val="11"/>
                <w:szCs w:val="11"/>
                <w:color w:val="auto"/>
              </w:rPr>
              <w:t>—</w:t>
            </w:r>
          </w:p>
        </w:tc>
        <w:tc>
          <w:tcPr>
            <w:tcW w:w="3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44"/>
              <w:spacing w:after="0"/>
              <w:rPr>
                <w:sz w:val="20"/>
                <w:szCs w:val="20"/>
                <w:color w:val="auto"/>
              </w:rPr>
            </w:pPr>
            <w:r>
              <w:rPr>
                <w:rFonts w:ascii="Arial" w:cs="Arial" w:eastAsia="Arial" w:hAnsi="Arial"/>
                <w:sz w:val="11"/>
                <w:szCs w:val="11"/>
                <w:color w:val="auto"/>
              </w:rPr>
              <w:t>—</w:t>
            </w:r>
          </w:p>
        </w:tc>
      </w:tr>
      <w:tr>
        <w:trPr>
          <w:trHeight w:val="211"/>
        </w:trPr>
        <w:tc>
          <w:tcPr>
            <w:tcW w:w="3560" w:type="dxa"/>
            <w:vAlign w:val="bottom"/>
          </w:tcPr>
          <w:p>
            <w:pPr>
              <w:ind w:left="20"/>
              <w:spacing w:after="0"/>
              <w:rPr>
                <w:sz w:val="20"/>
                <w:szCs w:val="20"/>
                <w:color w:val="auto"/>
              </w:rPr>
            </w:pPr>
            <w:r>
              <w:rPr>
                <w:rFonts w:ascii="Arial" w:cs="Arial" w:eastAsia="Arial" w:hAnsi="Arial"/>
                <w:sz w:val="11"/>
                <w:szCs w:val="11"/>
                <w:color w:val="auto"/>
              </w:rPr>
              <w:t xml:space="preserve">Midstream Investments </w:t>
            </w:r>
            <w:r>
              <w:rPr>
                <w:rFonts w:ascii="Arial" w:cs="Arial" w:eastAsia="Arial" w:hAnsi="Arial"/>
                <w:sz w:val="8"/>
                <w:szCs w:val="8"/>
                <w:color w:val="auto"/>
              </w:rPr>
              <w:t>(2)</w:t>
            </w:r>
          </w:p>
        </w:tc>
        <w:tc>
          <w:tcPr>
            <w:tcW w:w="180" w:type="dxa"/>
            <w:vAlign w:val="bottom"/>
          </w:tcPr>
          <w:p>
            <w:pPr>
              <w:spacing w:after="0"/>
              <w:rPr>
                <w:sz w:val="18"/>
                <w:szCs w:val="18"/>
                <w:color w:val="auto"/>
              </w:rPr>
            </w:pPr>
          </w:p>
        </w:tc>
        <w:tc>
          <w:tcPr>
            <w:tcW w:w="980" w:type="dxa"/>
            <w:vAlign w:val="bottom"/>
          </w:tcPr>
          <w:p>
            <w:pPr>
              <w:jc w:val="right"/>
              <w:ind w:right="64"/>
              <w:spacing w:after="0"/>
              <w:rPr>
                <w:sz w:val="20"/>
                <w:szCs w:val="20"/>
                <w:color w:val="auto"/>
              </w:rPr>
            </w:pPr>
            <w:r>
              <w:rPr>
                <w:rFonts w:ascii="Arial" w:cs="Arial" w:eastAsia="Arial" w:hAnsi="Arial"/>
                <w:sz w:val="11"/>
                <w:szCs w:val="11"/>
                <w:color w:val="auto"/>
              </w:rPr>
              <w:t>—</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8"/>
                <w:szCs w:val="18"/>
                <w:color w:val="auto"/>
              </w:rPr>
            </w:pPr>
          </w:p>
        </w:tc>
        <w:tc>
          <w:tcPr>
            <w:tcW w:w="940" w:type="dxa"/>
            <w:vAlign w:val="bottom"/>
          </w:tcPr>
          <w:p>
            <w:pPr>
              <w:jc w:val="right"/>
              <w:ind w:right="64"/>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8"/>
                <w:szCs w:val="18"/>
                <w:color w:val="auto"/>
              </w:rPr>
            </w:pPr>
          </w:p>
        </w:tc>
        <w:tc>
          <w:tcPr>
            <w:tcW w:w="920" w:type="dxa"/>
            <w:vAlign w:val="bottom"/>
          </w:tcPr>
          <w:p>
            <w:pPr>
              <w:jc w:val="right"/>
              <w:ind w:right="44"/>
              <w:spacing w:after="0"/>
              <w:rPr>
                <w:sz w:val="20"/>
                <w:szCs w:val="20"/>
                <w:color w:val="auto"/>
              </w:rPr>
            </w:pPr>
            <w:r>
              <w:rPr>
                <w:rFonts w:ascii="Arial" w:cs="Arial" w:eastAsia="Arial" w:hAnsi="Arial"/>
                <w:sz w:val="11"/>
                <w:szCs w:val="11"/>
                <w:color w:val="auto"/>
              </w:rPr>
              <w:t>—</w:t>
            </w:r>
          </w:p>
        </w:tc>
      </w:tr>
      <w:tr>
        <w:trPr>
          <w:trHeight w:val="220"/>
        </w:trPr>
        <w:tc>
          <w:tcPr>
            <w:tcW w:w="3560" w:type="dxa"/>
            <w:vAlign w:val="bottom"/>
            <w:shd w:val="clear" w:color="auto" w:fill="CCEEFF"/>
          </w:tcPr>
          <w:p>
            <w:pPr>
              <w:ind w:left="20"/>
              <w:spacing w:after="0"/>
              <w:rPr>
                <w:sz w:val="20"/>
                <w:szCs w:val="20"/>
                <w:color w:val="auto"/>
              </w:rPr>
            </w:pPr>
            <w:r>
              <w:rPr>
                <w:rFonts w:ascii="Arial" w:cs="Arial" w:eastAsia="Arial" w:hAnsi="Arial"/>
                <w:sz w:val="11"/>
                <w:szCs w:val="11"/>
                <w:color w:val="auto"/>
              </w:rPr>
              <w:t>Corporate and Other</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64"/>
              <w:spacing w:after="0"/>
              <w:rPr>
                <w:sz w:val="20"/>
                <w:szCs w:val="20"/>
                <w:color w:val="auto"/>
              </w:rPr>
            </w:pPr>
            <w:r>
              <w:rPr>
                <w:rFonts w:ascii="Arial" w:cs="Arial" w:eastAsia="Arial" w:hAnsi="Arial"/>
                <w:sz w:val="11"/>
                <w:szCs w:val="11"/>
                <w:color w:val="auto"/>
              </w:rPr>
              <w:t>215</w:t>
            </w:r>
          </w:p>
        </w:tc>
        <w:tc>
          <w:tcPr>
            <w:tcW w:w="3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25"/>
              <w:spacing w:after="0"/>
              <w:rPr>
                <w:sz w:val="20"/>
                <w:szCs w:val="20"/>
                <w:color w:val="auto"/>
              </w:rPr>
            </w:pPr>
            <w:r>
              <w:rPr>
                <w:rFonts w:ascii="Arial" w:cs="Arial" w:eastAsia="Arial" w:hAnsi="Arial"/>
                <w:sz w:val="11"/>
                <w:szCs w:val="11"/>
                <w:color w:val="auto"/>
              </w:rPr>
              <w:t>(17)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64"/>
              <w:spacing w:after="0"/>
              <w:rPr>
                <w:sz w:val="20"/>
                <w:szCs w:val="20"/>
                <w:color w:val="auto"/>
              </w:rPr>
            </w:pPr>
            <w:r>
              <w:rPr>
                <w:rFonts w:ascii="Arial" w:cs="Arial" w:eastAsia="Arial" w:hAnsi="Arial"/>
                <w:sz w:val="11"/>
                <w:szCs w:val="11"/>
                <w:color w:val="auto"/>
              </w:rPr>
              <w:t>11</w:t>
            </w:r>
          </w:p>
        </w:tc>
        <w:tc>
          <w:tcPr>
            <w:tcW w:w="3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(5)</w:t>
            </w:r>
          </w:p>
        </w:tc>
      </w:tr>
      <w:tr>
        <w:trPr>
          <w:trHeight w:val="211"/>
        </w:trPr>
        <w:tc>
          <w:tcPr>
            <w:tcW w:w="356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Eliminations</w:t>
            </w: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64"/>
              <w:spacing w:after="0"/>
              <w:rPr>
                <w:sz w:val="20"/>
                <w:szCs w:val="20"/>
                <w:color w:val="auto"/>
              </w:rPr>
            </w:pPr>
            <w:r>
              <w:rPr>
                <w:rFonts w:ascii="Arial" w:cs="Arial" w:eastAsia="Arial" w:hAnsi="Arial"/>
                <w:sz w:val="11"/>
                <w:szCs w:val="11"/>
                <w:color w:val="auto"/>
              </w:rPr>
              <w:t>—</w:t>
            </w:r>
          </w:p>
        </w:tc>
        <w:tc>
          <w:tcPr>
            <w:tcW w:w="3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5"/>
              <w:spacing w:after="0"/>
              <w:rPr>
                <w:sz w:val="20"/>
                <w:szCs w:val="20"/>
                <w:color w:val="auto"/>
              </w:rPr>
            </w:pPr>
            <w:r>
              <w:rPr>
                <w:rFonts w:ascii="Arial" w:cs="Arial" w:eastAsia="Arial" w:hAnsi="Arial"/>
                <w:sz w:val="11"/>
                <w:szCs w:val="11"/>
                <w:color w:val="auto"/>
              </w:rPr>
              <w:t>(123)</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65"/>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64"/>
              <w:spacing w:after="0"/>
              <w:rPr>
                <w:sz w:val="20"/>
                <w:szCs w:val="20"/>
                <w:color w:val="auto"/>
              </w:rPr>
            </w:pPr>
            <w:r>
              <w:rPr>
                <w:rFonts w:ascii="Arial" w:cs="Arial" w:eastAsia="Arial" w:hAnsi="Arial"/>
                <w:sz w:val="11"/>
                <w:szCs w:val="11"/>
                <w:color w:val="auto"/>
              </w:rPr>
              <w:t>—</w:t>
            </w:r>
          </w:p>
        </w:tc>
        <w:tc>
          <w:tcPr>
            <w:tcW w:w="3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5"/>
              <w:spacing w:after="0"/>
              <w:rPr>
                <w:sz w:val="20"/>
                <w:szCs w:val="20"/>
                <w:color w:val="auto"/>
              </w:rPr>
            </w:pPr>
            <w:r>
              <w:rPr>
                <w:rFonts w:ascii="Arial" w:cs="Arial" w:eastAsia="Arial" w:hAnsi="Arial"/>
                <w:sz w:val="11"/>
                <w:szCs w:val="11"/>
                <w:color w:val="auto"/>
              </w:rPr>
              <w:t>(83)</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4"/>
              <w:spacing w:after="0"/>
              <w:rPr>
                <w:sz w:val="20"/>
                <w:szCs w:val="20"/>
                <w:color w:val="auto"/>
              </w:rPr>
            </w:pPr>
            <w:r>
              <w:rPr>
                <w:rFonts w:ascii="Arial" w:cs="Arial" w:eastAsia="Arial" w:hAnsi="Arial"/>
                <w:sz w:val="11"/>
                <w:szCs w:val="11"/>
                <w:color w:val="auto"/>
              </w:rPr>
              <w:t>—</w:t>
            </w:r>
          </w:p>
        </w:tc>
      </w:tr>
      <w:tr>
        <w:trPr>
          <w:trHeight w:val="189"/>
        </w:trPr>
        <w:tc>
          <w:tcPr>
            <w:tcW w:w="3560" w:type="dxa"/>
            <w:vAlign w:val="bottom"/>
            <w:shd w:val="clear" w:color="auto" w:fill="CCEEFF"/>
          </w:tcPr>
          <w:p>
            <w:pPr>
              <w:ind w:left="20"/>
              <w:spacing w:after="0"/>
              <w:rPr>
                <w:sz w:val="20"/>
                <w:szCs w:val="20"/>
                <w:color w:val="auto"/>
              </w:rPr>
            </w:pPr>
            <w:r>
              <w:rPr>
                <w:rFonts w:ascii="Arial" w:cs="Arial" w:eastAsia="Arial" w:hAnsi="Arial"/>
                <w:sz w:val="11"/>
                <w:szCs w:val="11"/>
                <w:color w:val="auto"/>
              </w:rPr>
              <w:t>Consolidated</w:t>
            </w:r>
          </w:p>
        </w:tc>
        <w:tc>
          <w:tcPr>
            <w:tcW w:w="18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w w:val="97"/>
              </w:rPr>
              <w:t>$</w:t>
            </w:r>
          </w:p>
        </w:tc>
        <w:tc>
          <w:tcPr>
            <w:tcW w:w="980" w:type="dxa"/>
            <w:vAlign w:val="bottom"/>
            <w:shd w:val="clear" w:color="auto" w:fill="CCEEFF"/>
          </w:tcPr>
          <w:p>
            <w:pPr>
              <w:jc w:val="right"/>
              <w:ind w:right="64"/>
              <w:spacing w:after="0"/>
              <w:rPr>
                <w:sz w:val="20"/>
                <w:szCs w:val="20"/>
                <w:color w:val="auto"/>
              </w:rPr>
            </w:pPr>
            <w:r>
              <w:rPr>
                <w:rFonts w:ascii="Arial" w:cs="Arial" w:eastAsia="Arial" w:hAnsi="Arial"/>
                <w:sz w:val="11"/>
                <w:szCs w:val="11"/>
                <w:color w:val="auto"/>
              </w:rPr>
              <w:t>9,071</w:t>
            </w:r>
          </w:p>
        </w:tc>
        <w:tc>
          <w:tcPr>
            <w:tcW w:w="36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w w:val="97"/>
              </w:rPr>
              <w:t>$</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w w:val="97"/>
              </w:rPr>
              <w:t>$</w:t>
            </w:r>
          </w:p>
        </w:tc>
        <w:tc>
          <w:tcPr>
            <w:tcW w:w="940" w:type="dxa"/>
            <w:vAlign w:val="bottom"/>
            <w:shd w:val="clear" w:color="auto" w:fill="CCEEFF"/>
          </w:tcPr>
          <w:p>
            <w:pPr>
              <w:jc w:val="right"/>
              <w:ind w:right="65"/>
              <w:spacing w:after="0"/>
              <w:rPr>
                <w:sz w:val="20"/>
                <w:szCs w:val="20"/>
                <w:color w:val="auto"/>
              </w:rPr>
            </w:pPr>
            <w:r>
              <w:rPr>
                <w:rFonts w:ascii="Arial" w:cs="Arial" w:eastAsia="Arial" w:hAnsi="Arial"/>
                <w:sz w:val="11"/>
                <w:szCs w:val="11"/>
                <w:color w:val="auto"/>
              </w:rPr>
              <w:t>924</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w w:val="97"/>
              </w:rPr>
              <w:t>$</w:t>
            </w:r>
          </w:p>
        </w:tc>
        <w:tc>
          <w:tcPr>
            <w:tcW w:w="940" w:type="dxa"/>
            <w:vAlign w:val="bottom"/>
            <w:shd w:val="clear" w:color="auto" w:fill="CCEEFF"/>
          </w:tcPr>
          <w:p>
            <w:pPr>
              <w:jc w:val="right"/>
              <w:ind w:right="64"/>
              <w:spacing w:after="0"/>
              <w:rPr>
                <w:sz w:val="20"/>
                <w:szCs w:val="20"/>
                <w:color w:val="auto"/>
              </w:rPr>
            </w:pPr>
            <w:r>
              <w:rPr>
                <w:rFonts w:ascii="Arial" w:cs="Arial" w:eastAsia="Arial" w:hAnsi="Arial"/>
                <w:sz w:val="11"/>
                <w:szCs w:val="11"/>
                <w:color w:val="auto"/>
              </w:rPr>
              <w:t>7,553</w:t>
            </w:r>
          </w:p>
        </w:tc>
        <w:tc>
          <w:tcPr>
            <w:tcW w:w="34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w w:val="97"/>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jc w:val="right"/>
              <w:ind w:right="88"/>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CCEEFF"/>
          </w:tcPr>
          <w:p>
            <w:pPr>
              <w:jc w:val="right"/>
              <w:ind w:right="44"/>
              <w:spacing w:after="0"/>
              <w:rPr>
                <w:sz w:val="20"/>
                <w:szCs w:val="20"/>
                <w:color w:val="auto"/>
              </w:rPr>
            </w:pPr>
            <w:r>
              <w:rPr>
                <w:rFonts w:ascii="Arial" w:cs="Arial" w:eastAsia="Arial" w:hAnsi="Arial"/>
                <w:sz w:val="11"/>
                <w:szCs w:val="11"/>
                <w:color w:val="auto"/>
              </w:rPr>
              <w:t>664</w:t>
            </w:r>
          </w:p>
        </w:tc>
      </w:tr>
      <w:tr>
        <w:trPr>
          <w:trHeight w:val="20"/>
        </w:trPr>
        <w:tc>
          <w:tcPr>
            <w:tcW w:w="35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334" w:lineRule="exact"/>
        <w:rPr>
          <w:sz w:val="20"/>
          <w:szCs w:val="20"/>
          <w:color w:val="auto"/>
        </w:rPr>
      </w:pPr>
    </w:p>
    <w:p>
      <w:pPr>
        <w:ind w:left="260"/>
        <w:spacing w:after="0"/>
        <w:rPr>
          <w:sz w:val="20"/>
          <w:szCs w:val="20"/>
          <w:color w:val="auto"/>
        </w:rPr>
      </w:pPr>
      <w:r>
        <w:rPr>
          <w:rFonts w:ascii="Arial" w:cs="Arial" w:eastAsia="Arial" w:hAnsi="Arial"/>
          <w:sz w:val="14"/>
          <w:szCs w:val="14"/>
          <w:color w:val="auto"/>
        </w:rPr>
        <w:t>(1)  Houston Electric T&amp;D revenues from major external customers are as follows:</w:t>
      </w:r>
    </w:p>
    <w:p>
      <w:pPr>
        <w:spacing w:after="0" w:line="188" w:lineRule="exact"/>
        <w:rPr>
          <w:sz w:val="20"/>
          <w:szCs w:val="20"/>
          <w:color w:val="auto"/>
        </w:rPr>
      </w:pPr>
    </w:p>
    <w:tbl>
      <w:tblPr>
        <w:tblLayout w:type="fixed"/>
        <w:tblInd w:w="40" w:type="dxa"/>
        <w:tblCellMar>
          <w:top w:w="0" w:type="dxa"/>
          <w:left w:w="0" w:type="dxa"/>
          <w:bottom w:w="0" w:type="dxa"/>
          <w:right w:w="0" w:type="dxa"/>
        </w:tblCellMar>
      </w:tblPr>
      <w:tr>
        <w:trPr>
          <w:trHeight w:val="153"/>
        </w:trPr>
        <w:tc>
          <w:tcPr>
            <w:tcW w:w="5140" w:type="dxa"/>
            <w:vAlign w:val="bottom"/>
          </w:tcPr>
          <w:p>
            <w:pPr>
              <w:spacing w:after="0"/>
              <w:rPr>
                <w:sz w:val="13"/>
                <w:szCs w:val="13"/>
                <w:color w:val="auto"/>
              </w:rPr>
            </w:pPr>
          </w:p>
        </w:tc>
        <w:tc>
          <w:tcPr>
            <w:tcW w:w="2660" w:type="dxa"/>
            <w:vAlign w:val="bottom"/>
            <w:tcBorders>
              <w:bottom w:val="single" w:sz="8" w:color="auto"/>
            </w:tcBorders>
            <w:gridSpan w:val="3"/>
          </w:tcPr>
          <w:p>
            <w:pPr>
              <w:jc w:val="right"/>
              <w:ind w:right="143"/>
              <w:spacing w:after="0"/>
              <w:rPr>
                <w:sz w:val="20"/>
                <w:szCs w:val="20"/>
                <w:color w:val="auto"/>
              </w:rPr>
            </w:pPr>
            <w:r>
              <w:rPr>
                <w:rFonts w:ascii="Arial" w:cs="Arial" w:eastAsia="Arial" w:hAnsi="Arial"/>
                <w:sz w:val="11"/>
                <w:szCs w:val="11"/>
                <w:b w:val="1"/>
                <w:bCs w:val="1"/>
                <w:color w:val="auto"/>
              </w:rPr>
              <w:t>Three Months Ended September 30,</w:t>
            </w:r>
          </w:p>
        </w:tc>
        <w:tc>
          <w:tcPr>
            <w:tcW w:w="4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2620" w:type="dxa"/>
            <w:vAlign w:val="bottom"/>
            <w:tcBorders>
              <w:bottom w:val="single" w:sz="8" w:color="auto"/>
            </w:tcBorders>
            <w:gridSpan w:val="3"/>
          </w:tcPr>
          <w:p>
            <w:pPr>
              <w:jc w:val="right"/>
              <w:ind w:right="603"/>
              <w:spacing w:after="0"/>
              <w:rPr>
                <w:sz w:val="20"/>
                <w:szCs w:val="20"/>
                <w:color w:val="auto"/>
              </w:rPr>
            </w:pPr>
            <w:r>
              <w:rPr>
                <w:rFonts w:ascii="Arial" w:cs="Arial" w:eastAsia="Arial" w:hAnsi="Arial"/>
                <w:sz w:val="11"/>
                <w:szCs w:val="11"/>
                <w:b w:val="1"/>
                <w:bCs w:val="1"/>
                <w:color w:val="auto"/>
              </w:rPr>
              <w:t>Nine Months Ended September 30,</w:t>
            </w:r>
          </w:p>
        </w:tc>
      </w:tr>
      <w:tr>
        <w:trPr>
          <w:trHeight w:val="206"/>
        </w:trPr>
        <w:tc>
          <w:tcPr>
            <w:tcW w:w="5140" w:type="dxa"/>
            <w:vAlign w:val="bottom"/>
          </w:tcPr>
          <w:p>
            <w:pPr>
              <w:spacing w:after="0"/>
              <w:rPr>
                <w:sz w:val="17"/>
                <w:szCs w:val="17"/>
                <w:color w:val="auto"/>
              </w:rPr>
            </w:pPr>
          </w:p>
        </w:tc>
        <w:tc>
          <w:tcPr>
            <w:tcW w:w="104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b w:val="1"/>
                <w:bCs w:val="1"/>
                <w:color w:val="auto"/>
              </w:rPr>
              <w:t>2019</w:t>
            </w:r>
          </w:p>
        </w:tc>
        <w:tc>
          <w:tcPr>
            <w:tcW w:w="4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b w:val="1"/>
                <w:bCs w:val="1"/>
                <w:color w:val="auto"/>
              </w:rPr>
              <w:t>2018</w:t>
            </w:r>
          </w:p>
        </w:tc>
        <w:tc>
          <w:tcPr>
            <w:tcW w:w="4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563"/>
              <w:spacing w:after="0"/>
              <w:rPr>
                <w:sz w:val="20"/>
                <w:szCs w:val="20"/>
                <w:color w:val="auto"/>
              </w:rPr>
            </w:pPr>
            <w:r>
              <w:rPr>
                <w:rFonts w:ascii="Arial" w:cs="Arial" w:eastAsia="Arial" w:hAnsi="Arial"/>
                <w:sz w:val="11"/>
                <w:szCs w:val="11"/>
                <w:b w:val="1"/>
                <w:bCs w:val="1"/>
                <w:color w:val="auto"/>
              </w:rPr>
              <w:t>2019</w:t>
            </w:r>
          </w:p>
        </w:tc>
        <w:tc>
          <w:tcPr>
            <w:tcW w:w="4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63"/>
              <w:spacing w:after="0"/>
              <w:rPr>
                <w:sz w:val="20"/>
                <w:szCs w:val="20"/>
                <w:color w:val="auto"/>
              </w:rPr>
            </w:pPr>
            <w:r>
              <w:rPr>
                <w:rFonts w:ascii="Arial" w:cs="Arial" w:eastAsia="Arial" w:hAnsi="Arial"/>
                <w:sz w:val="11"/>
                <w:szCs w:val="11"/>
                <w:b w:val="1"/>
                <w:bCs w:val="1"/>
                <w:color w:val="auto"/>
              </w:rPr>
              <w:t>2018</w:t>
            </w:r>
          </w:p>
        </w:tc>
      </w:tr>
      <w:tr>
        <w:trPr>
          <w:trHeight w:val="196"/>
        </w:trPr>
        <w:tc>
          <w:tcPr>
            <w:tcW w:w="5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0" w:type="dxa"/>
            <w:vAlign w:val="bottom"/>
            <w:gridSpan w:val="3"/>
          </w:tcPr>
          <w:p>
            <w:pPr>
              <w:jc w:val="right"/>
              <w:ind w:right="143"/>
              <w:spacing w:after="0"/>
              <w:rPr>
                <w:sz w:val="20"/>
                <w:szCs w:val="20"/>
                <w:color w:val="auto"/>
              </w:rPr>
            </w:pPr>
            <w:r>
              <w:rPr>
                <w:rFonts w:ascii="Arial" w:cs="Arial" w:eastAsia="Arial" w:hAnsi="Arial"/>
                <w:sz w:val="11"/>
                <w:szCs w:val="11"/>
                <w:b w:val="1"/>
                <w:bCs w:val="1"/>
                <w:color w:val="auto"/>
              </w:rPr>
              <w:t>(in millions)</w:t>
            </w:r>
          </w:p>
        </w:tc>
        <w:tc>
          <w:tcPr>
            <w:tcW w:w="10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20"/>
        </w:trPr>
        <w:tc>
          <w:tcPr>
            <w:tcW w:w="5140" w:type="dxa"/>
            <w:vAlign w:val="bottom"/>
            <w:shd w:val="clear" w:color="auto" w:fill="CCEEFF"/>
          </w:tcPr>
          <w:p>
            <w:pPr>
              <w:ind w:left="40"/>
              <w:spacing w:after="0"/>
              <w:rPr>
                <w:sz w:val="20"/>
                <w:szCs w:val="20"/>
                <w:color w:val="auto"/>
              </w:rPr>
            </w:pPr>
            <w:r>
              <w:rPr>
                <w:rFonts w:ascii="Arial" w:cs="Arial" w:eastAsia="Arial" w:hAnsi="Arial"/>
                <w:sz w:val="11"/>
                <w:szCs w:val="11"/>
                <w:color w:val="auto"/>
              </w:rPr>
              <w:t>Affiliates of NRG</w:t>
            </w:r>
          </w:p>
        </w:tc>
        <w:tc>
          <w:tcPr>
            <w:tcW w:w="1040" w:type="dxa"/>
            <w:vAlign w:val="bottom"/>
            <w:shd w:val="clear" w:color="auto" w:fill="CCEEFF"/>
          </w:tcPr>
          <w:p>
            <w:pPr>
              <w:jc w:val="right"/>
              <w:ind w:right="903"/>
              <w:spacing w:after="0"/>
              <w:rPr>
                <w:sz w:val="20"/>
                <w:szCs w:val="20"/>
                <w:color w:val="auto"/>
              </w:rPr>
            </w:pPr>
            <w:r>
              <w:rPr>
                <w:rFonts w:ascii="Arial" w:cs="Arial" w:eastAsia="Arial" w:hAnsi="Arial"/>
                <w:sz w:val="11"/>
                <w:szCs w:val="11"/>
                <w:color w:val="auto"/>
                <w:w w:val="97"/>
              </w:rPr>
              <w:t>$</w:t>
            </w:r>
          </w:p>
        </w:tc>
        <w:tc>
          <w:tcPr>
            <w:tcW w:w="48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231</w:t>
            </w:r>
          </w:p>
        </w:tc>
        <w:tc>
          <w:tcPr>
            <w:tcW w:w="1140" w:type="dxa"/>
            <w:vAlign w:val="bottom"/>
            <w:shd w:val="clear" w:color="auto" w:fill="CCEEFF"/>
          </w:tcPr>
          <w:p>
            <w:pPr>
              <w:jc w:val="right"/>
              <w:ind w:right="903"/>
              <w:spacing w:after="0"/>
              <w:rPr>
                <w:sz w:val="20"/>
                <w:szCs w:val="20"/>
                <w:color w:val="auto"/>
              </w:rPr>
            </w:pPr>
            <w:r>
              <w:rPr>
                <w:rFonts w:ascii="Arial" w:cs="Arial" w:eastAsia="Arial" w:hAnsi="Arial"/>
                <w:sz w:val="11"/>
                <w:szCs w:val="11"/>
                <w:color w:val="auto"/>
              </w:rPr>
              <w:t>$</w:t>
            </w:r>
          </w:p>
        </w:tc>
        <w:tc>
          <w:tcPr>
            <w:tcW w:w="46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213</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83"/>
              <w:spacing w:after="0"/>
              <w:rPr>
                <w:sz w:val="20"/>
                <w:szCs w:val="20"/>
                <w:color w:val="auto"/>
              </w:rPr>
            </w:pPr>
            <w:r>
              <w:rPr>
                <w:rFonts w:ascii="Arial" w:cs="Arial" w:eastAsia="Arial" w:hAnsi="Arial"/>
                <w:sz w:val="11"/>
                <w:szCs w:val="11"/>
                <w:color w:val="auto"/>
                <w:w w:val="97"/>
              </w:rPr>
              <w:t>$</w:t>
            </w:r>
          </w:p>
        </w:tc>
        <w:tc>
          <w:tcPr>
            <w:tcW w:w="106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547</w:t>
            </w:r>
          </w:p>
        </w:tc>
        <w:tc>
          <w:tcPr>
            <w:tcW w:w="440" w:type="dxa"/>
            <w:vAlign w:val="bottom"/>
            <w:shd w:val="clear" w:color="auto" w:fill="CCEEFF"/>
          </w:tcPr>
          <w:p>
            <w:pPr>
              <w:jc w:val="right"/>
              <w:ind w:right="203"/>
              <w:spacing w:after="0"/>
              <w:rPr>
                <w:sz w:val="20"/>
                <w:szCs w:val="20"/>
                <w:color w:val="auto"/>
              </w:rPr>
            </w:pPr>
            <w:r>
              <w:rPr>
                <w:rFonts w:ascii="Arial" w:cs="Arial" w:eastAsia="Arial" w:hAnsi="Arial"/>
                <w:sz w:val="11"/>
                <w:szCs w:val="11"/>
                <w:color w:val="auto"/>
              </w:rPr>
              <w:t>$</w:t>
            </w:r>
          </w:p>
        </w:tc>
        <w:tc>
          <w:tcPr>
            <w:tcW w:w="112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543</w:t>
            </w:r>
          </w:p>
        </w:tc>
      </w:tr>
      <w:tr>
        <w:trPr>
          <w:trHeight w:val="206"/>
        </w:trPr>
        <w:tc>
          <w:tcPr>
            <w:tcW w:w="5140" w:type="dxa"/>
            <w:vAlign w:val="bottom"/>
          </w:tcPr>
          <w:p>
            <w:pPr>
              <w:ind w:left="40"/>
              <w:spacing w:after="0"/>
              <w:rPr>
                <w:sz w:val="20"/>
                <w:szCs w:val="20"/>
                <w:color w:val="auto"/>
              </w:rPr>
            </w:pPr>
            <w:r>
              <w:rPr>
                <w:rFonts w:ascii="Arial" w:cs="Arial" w:eastAsia="Arial" w:hAnsi="Arial"/>
                <w:sz w:val="11"/>
                <w:szCs w:val="11"/>
                <w:color w:val="auto"/>
              </w:rPr>
              <w:t>Affiliates of Vistra Energy Corp.</w:t>
            </w:r>
          </w:p>
        </w:tc>
        <w:tc>
          <w:tcPr>
            <w:tcW w:w="1040" w:type="dxa"/>
            <w:vAlign w:val="bottom"/>
          </w:tcPr>
          <w:p>
            <w:pPr>
              <w:spacing w:after="0"/>
              <w:rPr>
                <w:sz w:val="17"/>
                <w:szCs w:val="17"/>
                <w:color w:val="auto"/>
              </w:rPr>
            </w:pPr>
          </w:p>
        </w:tc>
        <w:tc>
          <w:tcPr>
            <w:tcW w:w="480" w:type="dxa"/>
            <w:vAlign w:val="bottom"/>
          </w:tcPr>
          <w:p>
            <w:pPr>
              <w:jc w:val="right"/>
              <w:ind w:right="83"/>
              <w:spacing w:after="0"/>
              <w:rPr>
                <w:sz w:val="20"/>
                <w:szCs w:val="20"/>
                <w:color w:val="auto"/>
              </w:rPr>
            </w:pPr>
            <w:r>
              <w:rPr>
                <w:rFonts w:ascii="Arial" w:cs="Arial" w:eastAsia="Arial" w:hAnsi="Arial"/>
                <w:sz w:val="11"/>
                <w:szCs w:val="11"/>
                <w:color w:val="auto"/>
              </w:rPr>
              <w:t>83</w:t>
            </w:r>
          </w:p>
        </w:tc>
        <w:tc>
          <w:tcPr>
            <w:tcW w:w="1140" w:type="dxa"/>
            <w:vAlign w:val="bottom"/>
          </w:tcPr>
          <w:p>
            <w:pPr>
              <w:spacing w:after="0"/>
              <w:rPr>
                <w:sz w:val="17"/>
                <w:szCs w:val="17"/>
                <w:color w:val="auto"/>
              </w:rPr>
            </w:pPr>
          </w:p>
        </w:tc>
        <w:tc>
          <w:tcPr>
            <w:tcW w:w="460" w:type="dxa"/>
            <w:vAlign w:val="bottom"/>
          </w:tcPr>
          <w:p>
            <w:pPr>
              <w:jc w:val="right"/>
              <w:ind w:right="63"/>
              <w:spacing w:after="0"/>
              <w:rPr>
                <w:sz w:val="20"/>
                <w:szCs w:val="20"/>
                <w:color w:val="auto"/>
              </w:rPr>
            </w:pPr>
            <w:r>
              <w:rPr>
                <w:rFonts w:ascii="Arial" w:cs="Arial" w:eastAsia="Arial" w:hAnsi="Arial"/>
                <w:sz w:val="11"/>
                <w:szCs w:val="11"/>
                <w:color w:val="auto"/>
              </w:rPr>
              <w:t>79</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60" w:type="dxa"/>
            <w:vAlign w:val="bottom"/>
          </w:tcPr>
          <w:p>
            <w:pPr>
              <w:jc w:val="right"/>
              <w:ind w:right="63"/>
              <w:spacing w:after="0"/>
              <w:rPr>
                <w:sz w:val="20"/>
                <w:szCs w:val="20"/>
                <w:color w:val="auto"/>
              </w:rPr>
            </w:pPr>
            <w:r>
              <w:rPr>
                <w:rFonts w:ascii="Arial" w:cs="Arial" w:eastAsia="Arial" w:hAnsi="Arial"/>
                <w:sz w:val="11"/>
                <w:szCs w:val="11"/>
                <w:color w:val="auto"/>
              </w:rPr>
              <w:t>196</w:t>
            </w:r>
          </w:p>
        </w:tc>
        <w:tc>
          <w:tcPr>
            <w:tcW w:w="440" w:type="dxa"/>
            <w:vAlign w:val="bottom"/>
          </w:tcPr>
          <w:p>
            <w:pPr>
              <w:spacing w:after="0"/>
              <w:rPr>
                <w:sz w:val="17"/>
                <w:szCs w:val="17"/>
                <w:color w:val="auto"/>
              </w:rPr>
            </w:pPr>
          </w:p>
        </w:tc>
        <w:tc>
          <w:tcPr>
            <w:tcW w:w="1120" w:type="dxa"/>
            <w:vAlign w:val="bottom"/>
          </w:tcPr>
          <w:p>
            <w:pPr>
              <w:jc w:val="right"/>
              <w:ind w:right="43"/>
              <w:spacing w:after="0"/>
              <w:rPr>
                <w:sz w:val="20"/>
                <w:szCs w:val="20"/>
                <w:color w:val="auto"/>
              </w:rPr>
            </w:pPr>
            <w:r>
              <w:rPr>
                <w:rFonts w:ascii="Arial" w:cs="Arial" w:eastAsia="Arial" w:hAnsi="Arial"/>
                <w:sz w:val="11"/>
                <w:szCs w:val="11"/>
                <w:color w:val="auto"/>
              </w:rPr>
              <w:t>192</w:t>
            </w:r>
          </w:p>
        </w:tc>
      </w:tr>
    </w:tbl>
    <w:p>
      <w:pPr>
        <w:spacing w:after="0" w:line="343" w:lineRule="exact"/>
        <w:rPr>
          <w:sz w:val="20"/>
          <w:szCs w:val="20"/>
          <w:color w:val="auto"/>
        </w:rPr>
      </w:pPr>
    </w:p>
    <w:p>
      <w:pPr>
        <w:ind w:left="260"/>
        <w:spacing w:after="0"/>
        <w:rPr>
          <w:sz w:val="20"/>
          <w:szCs w:val="20"/>
          <w:color w:val="auto"/>
        </w:rPr>
      </w:pPr>
      <w:r>
        <w:rPr>
          <w:rFonts w:ascii="Arial" w:cs="Arial" w:eastAsia="Arial" w:hAnsi="Arial"/>
          <w:sz w:val="14"/>
          <w:szCs w:val="14"/>
          <w:color w:val="auto"/>
        </w:rPr>
        <w:t>(2)  CenterPoint Energy’s Midstream Investments’ equity in earnings, net are as follows:</w:t>
      </w:r>
    </w:p>
    <w:p>
      <w:pPr>
        <w:spacing w:after="0" w:line="188" w:lineRule="exact"/>
        <w:rPr>
          <w:sz w:val="20"/>
          <w:szCs w:val="20"/>
          <w:color w:val="auto"/>
        </w:rPr>
      </w:pPr>
    </w:p>
    <w:tbl>
      <w:tblPr>
        <w:tblLayout w:type="fixed"/>
        <w:tblInd w:w="40" w:type="dxa"/>
        <w:tblCellMar>
          <w:top w:w="0" w:type="dxa"/>
          <w:left w:w="0" w:type="dxa"/>
          <w:bottom w:w="0" w:type="dxa"/>
          <w:right w:w="0" w:type="dxa"/>
        </w:tblCellMar>
      </w:tblPr>
      <w:tr>
        <w:trPr>
          <w:trHeight w:val="153"/>
        </w:trPr>
        <w:tc>
          <w:tcPr>
            <w:tcW w:w="5140" w:type="dxa"/>
            <w:vAlign w:val="bottom"/>
          </w:tcPr>
          <w:p>
            <w:pPr>
              <w:spacing w:after="0"/>
              <w:rPr>
                <w:sz w:val="13"/>
                <w:szCs w:val="13"/>
                <w:color w:val="auto"/>
              </w:rPr>
            </w:pPr>
          </w:p>
        </w:tc>
        <w:tc>
          <w:tcPr>
            <w:tcW w:w="2680" w:type="dxa"/>
            <w:vAlign w:val="bottom"/>
            <w:tcBorders>
              <w:bottom w:val="single" w:sz="8" w:color="auto"/>
            </w:tcBorders>
            <w:gridSpan w:val="3"/>
          </w:tcPr>
          <w:p>
            <w:pPr>
              <w:jc w:val="right"/>
              <w:ind w:right="163"/>
              <w:spacing w:after="0"/>
              <w:rPr>
                <w:sz w:val="20"/>
                <w:szCs w:val="20"/>
                <w:color w:val="auto"/>
              </w:rPr>
            </w:pPr>
            <w:r>
              <w:rPr>
                <w:rFonts w:ascii="Arial" w:cs="Arial" w:eastAsia="Arial" w:hAnsi="Arial"/>
                <w:sz w:val="11"/>
                <w:szCs w:val="11"/>
                <w:b w:val="1"/>
                <w:bCs w:val="1"/>
                <w:color w:val="auto"/>
              </w:rPr>
              <w:t>Three Months Ended September 30,</w:t>
            </w:r>
          </w:p>
        </w:tc>
        <w:tc>
          <w:tcPr>
            <w:tcW w:w="4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2620" w:type="dxa"/>
            <w:vAlign w:val="bottom"/>
            <w:tcBorders>
              <w:bottom w:val="single" w:sz="8" w:color="auto"/>
            </w:tcBorders>
            <w:gridSpan w:val="3"/>
          </w:tcPr>
          <w:p>
            <w:pPr>
              <w:jc w:val="right"/>
              <w:ind w:right="603"/>
              <w:spacing w:after="0"/>
              <w:rPr>
                <w:sz w:val="20"/>
                <w:szCs w:val="20"/>
                <w:color w:val="auto"/>
              </w:rPr>
            </w:pPr>
            <w:r>
              <w:rPr>
                <w:rFonts w:ascii="Arial" w:cs="Arial" w:eastAsia="Arial" w:hAnsi="Arial"/>
                <w:sz w:val="11"/>
                <w:szCs w:val="11"/>
                <w:b w:val="1"/>
                <w:bCs w:val="1"/>
                <w:color w:val="auto"/>
              </w:rPr>
              <w:t>Nine Months Ended September 30,</w:t>
            </w:r>
          </w:p>
        </w:tc>
      </w:tr>
      <w:tr>
        <w:trPr>
          <w:trHeight w:val="206"/>
        </w:trPr>
        <w:tc>
          <w:tcPr>
            <w:tcW w:w="5140" w:type="dxa"/>
            <w:vAlign w:val="bottom"/>
          </w:tcPr>
          <w:p>
            <w:pPr>
              <w:spacing w:after="0"/>
              <w:rPr>
                <w:sz w:val="17"/>
                <w:szCs w:val="17"/>
                <w:color w:val="auto"/>
              </w:rPr>
            </w:pPr>
          </w:p>
        </w:tc>
        <w:tc>
          <w:tcPr>
            <w:tcW w:w="1080" w:type="dxa"/>
            <w:vAlign w:val="bottom"/>
            <w:tcBorders>
              <w:bottom w:val="single" w:sz="8" w:color="auto"/>
            </w:tcBorders>
          </w:tcPr>
          <w:p>
            <w:pPr>
              <w:jc w:val="right"/>
              <w:ind w:right="143"/>
              <w:spacing w:after="0"/>
              <w:rPr>
                <w:sz w:val="20"/>
                <w:szCs w:val="20"/>
                <w:color w:val="auto"/>
              </w:rPr>
            </w:pPr>
            <w:r>
              <w:rPr>
                <w:rFonts w:ascii="Arial" w:cs="Arial" w:eastAsia="Arial" w:hAnsi="Arial"/>
                <w:sz w:val="11"/>
                <w:szCs w:val="11"/>
                <w:b w:val="1"/>
                <w:bCs w:val="1"/>
                <w:color w:val="auto"/>
              </w:rPr>
              <w:t>2019</w:t>
            </w:r>
          </w:p>
        </w:tc>
        <w:tc>
          <w:tcPr>
            <w:tcW w:w="4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123"/>
              <w:spacing w:after="0"/>
              <w:rPr>
                <w:sz w:val="20"/>
                <w:szCs w:val="20"/>
                <w:color w:val="auto"/>
              </w:rPr>
            </w:pPr>
            <w:r>
              <w:rPr>
                <w:rFonts w:ascii="Arial" w:cs="Arial" w:eastAsia="Arial" w:hAnsi="Arial"/>
                <w:sz w:val="11"/>
                <w:szCs w:val="11"/>
                <w:b w:val="1"/>
                <w:bCs w:val="1"/>
                <w:color w:val="auto"/>
              </w:rPr>
              <w:t>2018</w:t>
            </w:r>
          </w:p>
        </w:tc>
        <w:tc>
          <w:tcPr>
            <w:tcW w:w="4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563"/>
              <w:spacing w:after="0"/>
              <w:rPr>
                <w:sz w:val="20"/>
                <w:szCs w:val="20"/>
                <w:color w:val="auto"/>
              </w:rPr>
            </w:pPr>
            <w:r>
              <w:rPr>
                <w:rFonts w:ascii="Arial" w:cs="Arial" w:eastAsia="Arial" w:hAnsi="Arial"/>
                <w:sz w:val="11"/>
                <w:szCs w:val="11"/>
                <w:b w:val="1"/>
                <w:bCs w:val="1"/>
                <w:color w:val="auto"/>
              </w:rPr>
              <w:t>2019</w:t>
            </w:r>
          </w:p>
        </w:tc>
        <w:tc>
          <w:tcPr>
            <w:tcW w:w="4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63"/>
              <w:spacing w:after="0"/>
              <w:rPr>
                <w:sz w:val="20"/>
                <w:szCs w:val="20"/>
                <w:color w:val="auto"/>
              </w:rPr>
            </w:pPr>
            <w:r>
              <w:rPr>
                <w:rFonts w:ascii="Arial" w:cs="Arial" w:eastAsia="Arial" w:hAnsi="Arial"/>
                <w:sz w:val="11"/>
                <w:szCs w:val="11"/>
                <w:b w:val="1"/>
                <w:bCs w:val="1"/>
                <w:color w:val="auto"/>
              </w:rPr>
              <w:t>2018</w:t>
            </w:r>
          </w:p>
        </w:tc>
      </w:tr>
      <w:tr>
        <w:trPr>
          <w:trHeight w:val="196"/>
        </w:trPr>
        <w:tc>
          <w:tcPr>
            <w:tcW w:w="5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80" w:type="dxa"/>
            <w:vAlign w:val="bottom"/>
            <w:gridSpan w:val="3"/>
          </w:tcPr>
          <w:p>
            <w:pPr>
              <w:jc w:val="right"/>
              <w:ind w:right="143"/>
              <w:spacing w:after="0"/>
              <w:rPr>
                <w:sz w:val="20"/>
                <w:szCs w:val="20"/>
                <w:color w:val="auto"/>
              </w:rPr>
            </w:pPr>
            <w:r>
              <w:rPr>
                <w:rFonts w:ascii="Arial" w:cs="Arial" w:eastAsia="Arial" w:hAnsi="Arial"/>
                <w:sz w:val="11"/>
                <w:szCs w:val="11"/>
                <w:b w:val="1"/>
                <w:bCs w:val="1"/>
                <w:color w:val="auto"/>
              </w:rPr>
              <w:t>(in millions)</w:t>
            </w:r>
          </w:p>
        </w:tc>
        <w:tc>
          <w:tcPr>
            <w:tcW w:w="10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20"/>
        </w:trPr>
        <w:tc>
          <w:tcPr>
            <w:tcW w:w="5140" w:type="dxa"/>
            <w:vAlign w:val="bottom"/>
            <w:shd w:val="clear" w:color="auto" w:fill="CCEEFF"/>
          </w:tcPr>
          <w:p>
            <w:pPr>
              <w:ind w:left="40"/>
              <w:spacing w:after="0"/>
              <w:rPr>
                <w:sz w:val="20"/>
                <w:szCs w:val="20"/>
                <w:color w:val="auto"/>
              </w:rPr>
            </w:pPr>
            <w:r>
              <w:rPr>
                <w:rFonts w:ascii="Arial" w:cs="Arial" w:eastAsia="Arial" w:hAnsi="Arial"/>
                <w:sz w:val="11"/>
                <w:szCs w:val="11"/>
                <w:color w:val="auto"/>
              </w:rPr>
              <w:t>Enable</w:t>
            </w:r>
          </w:p>
        </w:tc>
        <w:tc>
          <w:tcPr>
            <w:tcW w:w="1080" w:type="dxa"/>
            <w:vAlign w:val="bottom"/>
            <w:shd w:val="clear" w:color="auto" w:fill="CCEEFF"/>
          </w:tcPr>
          <w:p>
            <w:pPr>
              <w:jc w:val="right"/>
              <w:ind w:right="943"/>
              <w:spacing w:after="0"/>
              <w:rPr>
                <w:sz w:val="20"/>
                <w:szCs w:val="20"/>
                <w:color w:val="auto"/>
              </w:rPr>
            </w:pPr>
            <w:r>
              <w:rPr>
                <w:rFonts w:ascii="Arial" w:cs="Arial" w:eastAsia="Arial" w:hAnsi="Arial"/>
                <w:sz w:val="11"/>
                <w:szCs w:val="11"/>
                <w:color w:val="auto"/>
                <w:w w:val="97"/>
              </w:rPr>
              <w:t>$</w:t>
            </w:r>
          </w:p>
        </w:tc>
        <w:tc>
          <w:tcPr>
            <w:tcW w:w="44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77</w:t>
            </w:r>
          </w:p>
        </w:tc>
        <w:tc>
          <w:tcPr>
            <w:tcW w:w="1160" w:type="dxa"/>
            <w:vAlign w:val="bottom"/>
            <w:shd w:val="clear" w:color="auto" w:fill="CCEEFF"/>
          </w:tcPr>
          <w:p>
            <w:pPr>
              <w:jc w:val="right"/>
              <w:ind w:right="923"/>
              <w:spacing w:after="0"/>
              <w:rPr>
                <w:sz w:val="20"/>
                <w:szCs w:val="20"/>
                <w:color w:val="auto"/>
              </w:rPr>
            </w:pPr>
            <w:r>
              <w:rPr>
                <w:rFonts w:ascii="Arial" w:cs="Arial" w:eastAsia="Arial" w:hAnsi="Arial"/>
                <w:sz w:val="11"/>
                <w:szCs w:val="11"/>
                <w:color w:val="auto"/>
              </w:rPr>
              <w:t>$</w:t>
            </w:r>
          </w:p>
        </w:tc>
        <w:tc>
          <w:tcPr>
            <w:tcW w:w="44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81</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83"/>
              <w:spacing w:after="0"/>
              <w:rPr>
                <w:sz w:val="20"/>
                <w:szCs w:val="20"/>
                <w:color w:val="auto"/>
              </w:rPr>
            </w:pPr>
            <w:r>
              <w:rPr>
                <w:rFonts w:ascii="Arial" w:cs="Arial" w:eastAsia="Arial" w:hAnsi="Arial"/>
                <w:sz w:val="11"/>
                <w:szCs w:val="11"/>
                <w:color w:val="auto"/>
                <w:w w:val="97"/>
              </w:rPr>
              <w:t>$</w:t>
            </w:r>
          </w:p>
        </w:tc>
        <w:tc>
          <w:tcPr>
            <w:tcW w:w="106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213</w:t>
            </w:r>
          </w:p>
        </w:tc>
        <w:tc>
          <w:tcPr>
            <w:tcW w:w="440" w:type="dxa"/>
            <w:vAlign w:val="bottom"/>
            <w:shd w:val="clear" w:color="auto" w:fill="CCEEFF"/>
          </w:tcPr>
          <w:p>
            <w:pPr>
              <w:jc w:val="right"/>
              <w:ind w:right="203"/>
              <w:spacing w:after="0"/>
              <w:rPr>
                <w:sz w:val="20"/>
                <w:szCs w:val="20"/>
                <w:color w:val="auto"/>
              </w:rPr>
            </w:pPr>
            <w:r>
              <w:rPr>
                <w:rFonts w:ascii="Arial" w:cs="Arial" w:eastAsia="Arial" w:hAnsi="Arial"/>
                <w:sz w:val="11"/>
                <w:szCs w:val="11"/>
                <w:color w:val="auto"/>
              </w:rPr>
              <w:t>$</w:t>
            </w:r>
          </w:p>
        </w:tc>
        <w:tc>
          <w:tcPr>
            <w:tcW w:w="112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208</w:t>
            </w:r>
          </w:p>
        </w:tc>
      </w:tr>
    </w:tbl>
    <w:p>
      <w:pPr>
        <w:spacing w:after="0" w:line="33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Houston Electric</w:t>
      </w:r>
    </w:p>
    <w:p>
      <w:pPr>
        <w:spacing w:after="0" w:line="188" w:lineRule="exact"/>
        <w:rPr>
          <w:sz w:val="20"/>
          <w:szCs w:val="20"/>
          <w:color w:val="auto"/>
        </w:rPr>
      </w:pPr>
    </w:p>
    <w:p>
      <w:pPr>
        <w:ind w:right="4180" w:firstLine="259"/>
        <w:spacing w:after="0" w:line="288" w:lineRule="auto"/>
        <w:rPr>
          <w:sz w:val="20"/>
          <w:szCs w:val="20"/>
          <w:color w:val="auto"/>
        </w:rPr>
      </w:pPr>
      <w:r>
        <w:rPr>
          <w:rFonts w:ascii="Arial" w:cs="Arial" w:eastAsia="Arial" w:hAnsi="Arial"/>
          <w:sz w:val="14"/>
          <w:szCs w:val="14"/>
          <w:color w:val="auto"/>
        </w:rPr>
        <w:t>Houston Electric consists of a single reportable segment; therefore, a tabular reportable segment presentation has not been included.</w:t>
      </w:r>
    </w:p>
    <w:p>
      <w:pPr>
        <w:spacing w:after="0" w:line="131" w:lineRule="exact"/>
        <w:rPr>
          <w:sz w:val="20"/>
          <w:szCs w:val="20"/>
          <w:color w:val="auto"/>
        </w:rPr>
      </w:pPr>
    </w:p>
    <w:p>
      <w:pPr>
        <w:ind w:left="260"/>
        <w:spacing w:after="0"/>
        <w:rPr>
          <w:sz w:val="20"/>
          <w:szCs w:val="20"/>
          <w:color w:val="auto"/>
        </w:rPr>
      </w:pPr>
      <w:r>
        <w:rPr>
          <w:rFonts w:ascii="Arial" w:cs="Arial" w:eastAsia="Arial" w:hAnsi="Arial"/>
          <w:sz w:val="14"/>
          <w:szCs w:val="14"/>
          <w:color w:val="auto"/>
        </w:rPr>
        <w:t>(1)  Houston Electric T&amp;D revenues from major external customers are as follows:</w:t>
      </w:r>
    </w:p>
    <w:p>
      <w:pPr>
        <w:spacing w:after="0" w:line="188" w:lineRule="exact"/>
        <w:rPr>
          <w:sz w:val="20"/>
          <w:szCs w:val="20"/>
          <w:color w:val="auto"/>
        </w:rPr>
      </w:pPr>
    </w:p>
    <w:tbl>
      <w:tblPr>
        <w:tblLayout w:type="fixed"/>
        <w:tblInd w:w="40" w:type="dxa"/>
        <w:tblCellMar>
          <w:top w:w="0" w:type="dxa"/>
          <w:left w:w="0" w:type="dxa"/>
          <w:bottom w:w="0" w:type="dxa"/>
          <w:right w:w="0" w:type="dxa"/>
        </w:tblCellMar>
      </w:tblPr>
      <w:tr>
        <w:trPr>
          <w:trHeight w:val="153"/>
        </w:trPr>
        <w:tc>
          <w:tcPr>
            <w:tcW w:w="5140" w:type="dxa"/>
            <w:vAlign w:val="bottom"/>
          </w:tcPr>
          <w:p>
            <w:pPr>
              <w:spacing w:after="0"/>
              <w:rPr>
                <w:sz w:val="13"/>
                <w:szCs w:val="13"/>
                <w:color w:val="auto"/>
              </w:rPr>
            </w:pPr>
          </w:p>
        </w:tc>
        <w:tc>
          <w:tcPr>
            <w:tcW w:w="2660" w:type="dxa"/>
            <w:vAlign w:val="bottom"/>
            <w:tcBorders>
              <w:bottom w:val="single" w:sz="8" w:color="auto"/>
            </w:tcBorders>
            <w:gridSpan w:val="3"/>
          </w:tcPr>
          <w:p>
            <w:pPr>
              <w:jc w:val="right"/>
              <w:ind w:right="143"/>
              <w:spacing w:after="0"/>
              <w:rPr>
                <w:sz w:val="20"/>
                <w:szCs w:val="20"/>
                <w:color w:val="auto"/>
              </w:rPr>
            </w:pPr>
            <w:r>
              <w:rPr>
                <w:rFonts w:ascii="Arial" w:cs="Arial" w:eastAsia="Arial" w:hAnsi="Arial"/>
                <w:sz w:val="11"/>
                <w:szCs w:val="11"/>
                <w:b w:val="1"/>
                <w:bCs w:val="1"/>
                <w:color w:val="auto"/>
              </w:rPr>
              <w:t>Three Months Ended September 30,</w:t>
            </w:r>
          </w:p>
        </w:tc>
        <w:tc>
          <w:tcPr>
            <w:tcW w:w="4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2620" w:type="dxa"/>
            <w:vAlign w:val="bottom"/>
            <w:tcBorders>
              <w:bottom w:val="single" w:sz="8" w:color="auto"/>
            </w:tcBorders>
            <w:gridSpan w:val="3"/>
          </w:tcPr>
          <w:p>
            <w:pPr>
              <w:jc w:val="right"/>
              <w:ind w:right="603"/>
              <w:spacing w:after="0"/>
              <w:rPr>
                <w:sz w:val="20"/>
                <w:szCs w:val="20"/>
                <w:color w:val="auto"/>
              </w:rPr>
            </w:pPr>
            <w:r>
              <w:rPr>
                <w:rFonts w:ascii="Arial" w:cs="Arial" w:eastAsia="Arial" w:hAnsi="Arial"/>
                <w:sz w:val="11"/>
                <w:szCs w:val="11"/>
                <w:b w:val="1"/>
                <w:bCs w:val="1"/>
                <w:color w:val="auto"/>
              </w:rPr>
              <w:t>Nine Months Ended September 30,</w:t>
            </w:r>
          </w:p>
        </w:tc>
      </w:tr>
      <w:tr>
        <w:trPr>
          <w:trHeight w:val="206"/>
        </w:trPr>
        <w:tc>
          <w:tcPr>
            <w:tcW w:w="5140" w:type="dxa"/>
            <w:vAlign w:val="bottom"/>
          </w:tcPr>
          <w:p>
            <w:pPr>
              <w:spacing w:after="0"/>
              <w:rPr>
                <w:sz w:val="17"/>
                <w:szCs w:val="17"/>
                <w:color w:val="auto"/>
              </w:rPr>
            </w:pPr>
          </w:p>
        </w:tc>
        <w:tc>
          <w:tcPr>
            <w:tcW w:w="104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b w:val="1"/>
                <w:bCs w:val="1"/>
                <w:color w:val="auto"/>
              </w:rPr>
              <w:t>2019</w:t>
            </w:r>
          </w:p>
        </w:tc>
        <w:tc>
          <w:tcPr>
            <w:tcW w:w="4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b w:val="1"/>
                <w:bCs w:val="1"/>
                <w:color w:val="auto"/>
              </w:rPr>
              <w:t>2018</w:t>
            </w:r>
          </w:p>
        </w:tc>
        <w:tc>
          <w:tcPr>
            <w:tcW w:w="4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563"/>
              <w:spacing w:after="0"/>
              <w:rPr>
                <w:sz w:val="20"/>
                <w:szCs w:val="20"/>
                <w:color w:val="auto"/>
              </w:rPr>
            </w:pPr>
            <w:r>
              <w:rPr>
                <w:rFonts w:ascii="Arial" w:cs="Arial" w:eastAsia="Arial" w:hAnsi="Arial"/>
                <w:sz w:val="11"/>
                <w:szCs w:val="11"/>
                <w:b w:val="1"/>
                <w:bCs w:val="1"/>
                <w:color w:val="auto"/>
              </w:rPr>
              <w:t>2019</w:t>
            </w:r>
          </w:p>
        </w:tc>
        <w:tc>
          <w:tcPr>
            <w:tcW w:w="4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63"/>
              <w:spacing w:after="0"/>
              <w:rPr>
                <w:sz w:val="20"/>
                <w:szCs w:val="20"/>
                <w:color w:val="auto"/>
              </w:rPr>
            </w:pPr>
            <w:r>
              <w:rPr>
                <w:rFonts w:ascii="Arial" w:cs="Arial" w:eastAsia="Arial" w:hAnsi="Arial"/>
                <w:sz w:val="11"/>
                <w:szCs w:val="11"/>
                <w:b w:val="1"/>
                <w:bCs w:val="1"/>
                <w:color w:val="auto"/>
              </w:rPr>
              <w:t>2018</w:t>
            </w:r>
          </w:p>
        </w:tc>
      </w:tr>
      <w:tr>
        <w:trPr>
          <w:trHeight w:val="196"/>
        </w:trPr>
        <w:tc>
          <w:tcPr>
            <w:tcW w:w="5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0" w:type="dxa"/>
            <w:vAlign w:val="bottom"/>
            <w:gridSpan w:val="3"/>
          </w:tcPr>
          <w:p>
            <w:pPr>
              <w:jc w:val="right"/>
              <w:ind w:right="143"/>
              <w:spacing w:after="0"/>
              <w:rPr>
                <w:sz w:val="20"/>
                <w:szCs w:val="20"/>
                <w:color w:val="auto"/>
              </w:rPr>
            </w:pPr>
            <w:r>
              <w:rPr>
                <w:rFonts w:ascii="Arial" w:cs="Arial" w:eastAsia="Arial" w:hAnsi="Arial"/>
                <w:sz w:val="11"/>
                <w:szCs w:val="11"/>
                <w:b w:val="1"/>
                <w:bCs w:val="1"/>
                <w:color w:val="auto"/>
              </w:rPr>
              <w:t>(in millions)</w:t>
            </w:r>
          </w:p>
        </w:tc>
        <w:tc>
          <w:tcPr>
            <w:tcW w:w="10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20"/>
        </w:trPr>
        <w:tc>
          <w:tcPr>
            <w:tcW w:w="5140" w:type="dxa"/>
            <w:vAlign w:val="bottom"/>
            <w:shd w:val="clear" w:color="auto" w:fill="CCEEFF"/>
          </w:tcPr>
          <w:p>
            <w:pPr>
              <w:ind w:left="40"/>
              <w:spacing w:after="0"/>
              <w:rPr>
                <w:sz w:val="20"/>
                <w:szCs w:val="20"/>
                <w:color w:val="auto"/>
              </w:rPr>
            </w:pPr>
            <w:r>
              <w:rPr>
                <w:rFonts w:ascii="Arial" w:cs="Arial" w:eastAsia="Arial" w:hAnsi="Arial"/>
                <w:sz w:val="11"/>
                <w:szCs w:val="11"/>
                <w:color w:val="auto"/>
              </w:rPr>
              <w:t>Affiliates of NRG</w:t>
            </w:r>
          </w:p>
        </w:tc>
        <w:tc>
          <w:tcPr>
            <w:tcW w:w="1040" w:type="dxa"/>
            <w:vAlign w:val="bottom"/>
            <w:shd w:val="clear" w:color="auto" w:fill="CCEEFF"/>
          </w:tcPr>
          <w:p>
            <w:pPr>
              <w:jc w:val="right"/>
              <w:ind w:right="903"/>
              <w:spacing w:after="0"/>
              <w:rPr>
                <w:sz w:val="20"/>
                <w:szCs w:val="20"/>
                <w:color w:val="auto"/>
              </w:rPr>
            </w:pPr>
            <w:r>
              <w:rPr>
                <w:rFonts w:ascii="Arial" w:cs="Arial" w:eastAsia="Arial" w:hAnsi="Arial"/>
                <w:sz w:val="11"/>
                <w:szCs w:val="11"/>
                <w:color w:val="auto"/>
                <w:w w:val="97"/>
              </w:rPr>
              <w:t>$</w:t>
            </w:r>
          </w:p>
        </w:tc>
        <w:tc>
          <w:tcPr>
            <w:tcW w:w="48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231</w:t>
            </w:r>
          </w:p>
        </w:tc>
        <w:tc>
          <w:tcPr>
            <w:tcW w:w="1140" w:type="dxa"/>
            <w:vAlign w:val="bottom"/>
            <w:shd w:val="clear" w:color="auto" w:fill="CCEEFF"/>
          </w:tcPr>
          <w:p>
            <w:pPr>
              <w:jc w:val="right"/>
              <w:ind w:right="903"/>
              <w:spacing w:after="0"/>
              <w:rPr>
                <w:sz w:val="20"/>
                <w:szCs w:val="20"/>
                <w:color w:val="auto"/>
              </w:rPr>
            </w:pPr>
            <w:r>
              <w:rPr>
                <w:rFonts w:ascii="Arial" w:cs="Arial" w:eastAsia="Arial" w:hAnsi="Arial"/>
                <w:sz w:val="11"/>
                <w:szCs w:val="11"/>
                <w:color w:val="auto"/>
              </w:rPr>
              <w:t>$</w:t>
            </w:r>
          </w:p>
        </w:tc>
        <w:tc>
          <w:tcPr>
            <w:tcW w:w="46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213</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83"/>
              <w:spacing w:after="0"/>
              <w:rPr>
                <w:sz w:val="20"/>
                <w:szCs w:val="20"/>
                <w:color w:val="auto"/>
              </w:rPr>
            </w:pPr>
            <w:r>
              <w:rPr>
                <w:rFonts w:ascii="Arial" w:cs="Arial" w:eastAsia="Arial" w:hAnsi="Arial"/>
                <w:sz w:val="11"/>
                <w:szCs w:val="11"/>
                <w:color w:val="auto"/>
                <w:w w:val="97"/>
              </w:rPr>
              <w:t>$</w:t>
            </w:r>
          </w:p>
        </w:tc>
        <w:tc>
          <w:tcPr>
            <w:tcW w:w="106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547</w:t>
            </w:r>
          </w:p>
        </w:tc>
        <w:tc>
          <w:tcPr>
            <w:tcW w:w="440" w:type="dxa"/>
            <w:vAlign w:val="bottom"/>
            <w:shd w:val="clear" w:color="auto" w:fill="CCEEFF"/>
          </w:tcPr>
          <w:p>
            <w:pPr>
              <w:jc w:val="right"/>
              <w:ind w:right="203"/>
              <w:spacing w:after="0"/>
              <w:rPr>
                <w:sz w:val="20"/>
                <w:szCs w:val="20"/>
                <w:color w:val="auto"/>
              </w:rPr>
            </w:pPr>
            <w:r>
              <w:rPr>
                <w:rFonts w:ascii="Arial" w:cs="Arial" w:eastAsia="Arial" w:hAnsi="Arial"/>
                <w:sz w:val="11"/>
                <w:szCs w:val="11"/>
                <w:color w:val="auto"/>
              </w:rPr>
              <w:t>$</w:t>
            </w:r>
          </w:p>
        </w:tc>
        <w:tc>
          <w:tcPr>
            <w:tcW w:w="112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543</w:t>
            </w:r>
          </w:p>
        </w:tc>
      </w:tr>
      <w:tr>
        <w:trPr>
          <w:trHeight w:val="206"/>
        </w:trPr>
        <w:tc>
          <w:tcPr>
            <w:tcW w:w="5140" w:type="dxa"/>
            <w:vAlign w:val="bottom"/>
          </w:tcPr>
          <w:p>
            <w:pPr>
              <w:ind w:left="40"/>
              <w:spacing w:after="0"/>
              <w:rPr>
                <w:sz w:val="20"/>
                <w:szCs w:val="20"/>
                <w:color w:val="auto"/>
              </w:rPr>
            </w:pPr>
            <w:r>
              <w:rPr>
                <w:rFonts w:ascii="Arial" w:cs="Arial" w:eastAsia="Arial" w:hAnsi="Arial"/>
                <w:sz w:val="11"/>
                <w:szCs w:val="11"/>
                <w:color w:val="auto"/>
              </w:rPr>
              <w:t>Affiliates of Vistra Energy Corp.</w:t>
            </w:r>
          </w:p>
        </w:tc>
        <w:tc>
          <w:tcPr>
            <w:tcW w:w="1040" w:type="dxa"/>
            <w:vAlign w:val="bottom"/>
          </w:tcPr>
          <w:p>
            <w:pPr>
              <w:spacing w:after="0"/>
              <w:rPr>
                <w:sz w:val="17"/>
                <w:szCs w:val="17"/>
                <w:color w:val="auto"/>
              </w:rPr>
            </w:pPr>
          </w:p>
        </w:tc>
        <w:tc>
          <w:tcPr>
            <w:tcW w:w="480" w:type="dxa"/>
            <w:vAlign w:val="bottom"/>
          </w:tcPr>
          <w:p>
            <w:pPr>
              <w:jc w:val="right"/>
              <w:ind w:right="83"/>
              <w:spacing w:after="0"/>
              <w:rPr>
                <w:sz w:val="20"/>
                <w:szCs w:val="20"/>
                <w:color w:val="auto"/>
              </w:rPr>
            </w:pPr>
            <w:r>
              <w:rPr>
                <w:rFonts w:ascii="Arial" w:cs="Arial" w:eastAsia="Arial" w:hAnsi="Arial"/>
                <w:sz w:val="11"/>
                <w:szCs w:val="11"/>
                <w:color w:val="auto"/>
              </w:rPr>
              <w:t>83</w:t>
            </w:r>
          </w:p>
        </w:tc>
        <w:tc>
          <w:tcPr>
            <w:tcW w:w="1140" w:type="dxa"/>
            <w:vAlign w:val="bottom"/>
          </w:tcPr>
          <w:p>
            <w:pPr>
              <w:spacing w:after="0"/>
              <w:rPr>
                <w:sz w:val="17"/>
                <w:szCs w:val="17"/>
                <w:color w:val="auto"/>
              </w:rPr>
            </w:pPr>
          </w:p>
        </w:tc>
        <w:tc>
          <w:tcPr>
            <w:tcW w:w="460" w:type="dxa"/>
            <w:vAlign w:val="bottom"/>
          </w:tcPr>
          <w:p>
            <w:pPr>
              <w:jc w:val="right"/>
              <w:ind w:right="63"/>
              <w:spacing w:after="0"/>
              <w:rPr>
                <w:sz w:val="20"/>
                <w:szCs w:val="20"/>
                <w:color w:val="auto"/>
              </w:rPr>
            </w:pPr>
            <w:r>
              <w:rPr>
                <w:rFonts w:ascii="Arial" w:cs="Arial" w:eastAsia="Arial" w:hAnsi="Arial"/>
                <w:sz w:val="11"/>
                <w:szCs w:val="11"/>
                <w:color w:val="auto"/>
              </w:rPr>
              <w:t>79</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60" w:type="dxa"/>
            <w:vAlign w:val="bottom"/>
          </w:tcPr>
          <w:p>
            <w:pPr>
              <w:jc w:val="right"/>
              <w:ind w:right="63"/>
              <w:spacing w:after="0"/>
              <w:rPr>
                <w:sz w:val="20"/>
                <w:szCs w:val="20"/>
                <w:color w:val="auto"/>
              </w:rPr>
            </w:pPr>
            <w:r>
              <w:rPr>
                <w:rFonts w:ascii="Arial" w:cs="Arial" w:eastAsia="Arial" w:hAnsi="Arial"/>
                <w:sz w:val="11"/>
                <w:szCs w:val="11"/>
                <w:color w:val="auto"/>
              </w:rPr>
              <w:t>196</w:t>
            </w:r>
          </w:p>
        </w:tc>
        <w:tc>
          <w:tcPr>
            <w:tcW w:w="440" w:type="dxa"/>
            <w:vAlign w:val="bottom"/>
          </w:tcPr>
          <w:p>
            <w:pPr>
              <w:spacing w:after="0"/>
              <w:rPr>
                <w:sz w:val="17"/>
                <w:szCs w:val="17"/>
                <w:color w:val="auto"/>
              </w:rPr>
            </w:pPr>
          </w:p>
        </w:tc>
        <w:tc>
          <w:tcPr>
            <w:tcW w:w="1120" w:type="dxa"/>
            <w:vAlign w:val="bottom"/>
          </w:tcPr>
          <w:p>
            <w:pPr>
              <w:jc w:val="right"/>
              <w:ind w:right="43"/>
              <w:spacing w:after="0"/>
              <w:rPr>
                <w:sz w:val="20"/>
                <w:szCs w:val="20"/>
                <w:color w:val="auto"/>
              </w:rPr>
            </w:pPr>
            <w:r>
              <w:rPr>
                <w:rFonts w:ascii="Arial" w:cs="Arial" w:eastAsia="Arial" w:hAnsi="Arial"/>
                <w:sz w:val="11"/>
                <w:szCs w:val="11"/>
                <w:color w:val="auto"/>
              </w:rPr>
              <w:t>192</w:t>
            </w:r>
          </w:p>
        </w:tc>
      </w:tr>
    </w:tbl>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57</w:t>
      </w:r>
    </w:p>
    <w:p>
      <w:pPr>
        <w:sectPr>
          <w:pgSz w:w="11900" w:h="16838" w:orient="portrait"/>
          <w:cols w:equalWidth="0" w:num="1">
            <w:col w:w="11460"/>
          </w:cols>
          <w:pgMar w:left="220" w:top="129" w:right="219" w:bottom="1440" w:gutter="0" w:footer="0" w:header="0"/>
        </w:sectPr>
      </w:pPr>
    </w:p>
    <w:bookmarkStart w:id="67" w:name="page68"/>
    <w:bookmarkEnd w:id="67"/>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CERC</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402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00" w:type="dxa"/>
            <w:vAlign w:val="bottom"/>
            <w:tcBorders>
              <w:bottom w:val="single" w:sz="8" w:color="auto"/>
            </w:tcBorders>
            <w:gridSpan w:val="6"/>
          </w:tcPr>
          <w:p>
            <w:pPr>
              <w:jc w:val="center"/>
              <w:ind w:right="224"/>
              <w:spacing w:after="0"/>
              <w:rPr>
                <w:sz w:val="20"/>
                <w:szCs w:val="20"/>
                <w:color w:val="auto"/>
              </w:rPr>
            </w:pPr>
            <w:r>
              <w:rPr>
                <w:rFonts w:ascii="Arial" w:cs="Arial" w:eastAsia="Arial" w:hAnsi="Arial"/>
                <w:sz w:val="10"/>
                <w:szCs w:val="10"/>
                <w:b w:val="1"/>
                <w:bCs w:val="1"/>
                <w:color w:val="auto"/>
                <w:w w:val="91"/>
              </w:rPr>
              <w:t>Three Months Ended September 30,</w:t>
            </w:r>
          </w:p>
        </w:tc>
        <w:tc>
          <w:tcPr>
            <w:tcW w:w="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06"/>
        </w:trPr>
        <w:tc>
          <w:tcPr>
            <w:tcW w:w="40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25"/>
              <w:spacing w:after="0"/>
              <w:rPr>
                <w:sz w:val="20"/>
                <w:szCs w:val="20"/>
                <w:color w:val="auto"/>
              </w:rPr>
            </w:pPr>
            <w:r>
              <w:rPr>
                <w:rFonts w:ascii="Arial" w:cs="Arial" w:eastAsia="Arial" w:hAnsi="Arial"/>
                <w:sz w:val="10"/>
                <w:szCs w:val="10"/>
                <w:b w:val="1"/>
                <w:bCs w:val="1"/>
                <w:color w:val="auto"/>
                <w:w w:val="89"/>
              </w:rPr>
              <w:t>2019</w:t>
            </w:r>
          </w:p>
        </w:tc>
        <w:tc>
          <w:tcPr>
            <w:tcW w:w="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center"/>
              <w:ind w:left="166"/>
              <w:spacing w:after="0"/>
              <w:rPr>
                <w:sz w:val="20"/>
                <w:szCs w:val="20"/>
                <w:color w:val="auto"/>
              </w:rPr>
            </w:pPr>
            <w:r>
              <w:rPr>
                <w:rFonts w:ascii="Arial" w:cs="Arial" w:eastAsia="Arial" w:hAnsi="Arial"/>
                <w:sz w:val="10"/>
                <w:szCs w:val="10"/>
                <w:b w:val="1"/>
                <w:bCs w:val="1"/>
                <w:color w:val="auto"/>
                <w:w w:val="89"/>
              </w:rPr>
              <w:t>2018</w:t>
            </w:r>
          </w:p>
        </w:tc>
        <w:tc>
          <w:tcPr>
            <w:tcW w:w="3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13"/>
        </w:trPr>
        <w:tc>
          <w:tcPr>
            <w:tcW w:w="40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gridSpan w:val="2"/>
          </w:tcPr>
          <w:p>
            <w:pPr>
              <w:jc w:val="center"/>
              <w:ind w:right="80"/>
              <w:spacing w:after="0" w:line="114" w:lineRule="exact"/>
              <w:rPr>
                <w:sz w:val="20"/>
                <w:szCs w:val="20"/>
                <w:color w:val="auto"/>
              </w:rPr>
            </w:pPr>
            <w:r>
              <w:rPr>
                <w:rFonts w:ascii="Arial" w:cs="Arial" w:eastAsia="Arial" w:hAnsi="Arial"/>
                <w:sz w:val="10"/>
                <w:szCs w:val="10"/>
                <w:b w:val="1"/>
                <w:bCs w:val="1"/>
                <w:color w:val="auto"/>
                <w:w w:val="88"/>
              </w:rPr>
              <w:t>Revenues from</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0" w:type="dxa"/>
            <w:vAlign w:val="bottom"/>
          </w:tcPr>
          <w:p>
            <w:pPr>
              <w:jc w:val="center"/>
              <w:ind w:right="45"/>
              <w:spacing w:after="0" w:line="114" w:lineRule="exact"/>
              <w:rPr>
                <w:sz w:val="20"/>
                <w:szCs w:val="20"/>
                <w:color w:val="auto"/>
              </w:rPr>
            </w:pPr>
            <w:r>
              <w:rPr>
                <w:rFonts w:ascii="Arial" w:cs="Arial" w:eastAsia="Arial" w:hAnsi="Arial"/>
                <w:sz w:val="10"/>
                <w:szCs w:val="10"/>
                <w:b w:val="1"/>
                <w:bCs w:val="1"/>
                <w:color w:val="auto"/>
                <w:w w:val="86"/>
              </w:rPr>
              <w:t>Net</w:t>
            </w: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gridSpan w:val="2"/>
          </w:tcPr>
          <w:p>
            <w:pPr>
              <w:jc w:val="center"/>
              <w:ind w:right="64"/>
              <w:spacing w:after="0" w:line="114" w:lineRule="exact"/>
              <w:rPr>
                <w:sz w:val="20"/>
                <w:szCs w:val="20"/>
                <w:color w:val="auto"/>
              </w:rPr>
            </w:pPr>
            <w:r>
              <w:rPr>
                <w:rFonts w:ascii="Arial" w:cs="Arial" w:eastAsia="Arial" w:hAnsi="Arial"/>
                <w:sz w:val="10"/>
                <w:szCs w:val="10"/>
                <w:b w:val="1"/>
                <w:bCs w:val="1"/>
                <w:color w:val="auto"/>
                <w:w w:val="88"/>
              </w:rPr>
              <w:t>Revenues from</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Pr>
          <w:p>
            <w:pPr>
              <w:jc w:val="center"/>
              <w:ind w:left="166"/>
              <w:spacing w:after="0" w:line="114" w:lineRule="exact"/>
              <w:rPr>
                <w:sz w:val="20"/>
                <w:szCs w:val="20"/>
                <w:color w:val="auto"/>
              </w:rPr>
            </w:pPr>
            <w:r>
              <w:rPr>
                <w:rFonts w:ascii="Arial" w:cs="Arial" w:eastAsia="Arial" w:hAnsi="Arial"/>
                <w:sz w:val="10"/>
                <w:szCs w:val="10"/>
                <w:b w:val="1"/>
                <w:bCs w:val="1"/>
                <w:color w:val="auto"/>
                <w:w w:val="99"/>
              </w:rPr>
              <w:t>Net</w:t>
            </w: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40" w:type="dxa"/>
            <w:vAlign w:val="bottom"/>
          </w:tcPr>
          <w:p>
            <w:pPr>
              <w:jc w:val="center"/>
              <w:ind w:right="124"/>
              <w:spacing w:after="0" w:line="114" w:lineRule="exact"/>
              <w:rPr>
                <w:sz w:val="20"/>
                <w:szCs w:val="20"/>
                <w:color w:val="auto"/>
              </w:rPr>
            </w:pPr>
            <w:r>
              <w:rPr>
                <w:rFonts w:ascii="Arial" w:cs="Arial" w:eastAsia="Arial" w:hAnsi="Arial"/>
                <w:sz w:val="10"/>
                <w:szCs w:val="10"/>
                <w:b w:val="1"/>
                <w:bCs w:val="1"/>
                <w:color w:val="auto"/>
                <w:w w:val="93"/>
              </w:rPr>
              <w:t>Operating</w:t>
            </w:r>
          </w:p>
        </w:tc>
        <w:tc>
          <w:tcPr>
            <w:tcW w:w="0" w:type="dxa"/>
            <w:vAlign w:val="bottom"/>
          </w:tcPr>
          <w:p>
            <w:pPr>
              <w:spacing w:after="0"/>
              <w:rPr>
                <w:sz w:val="1"/>
                <w:szCs w:val="1"/>
                <w:color w:val="auto"/>
              </w:rPr>
            </w:pPr>
          </w:p>
        </w:tc>
      </w:tr>
      <w:tr>
        <w:trPr>
          <w:trHeight w:val="108"/>
        </w:trPr>
        <w:tc>
          <w:tcPr>
            <w:tcW w:w="40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gridSpan w:val="2"/>
          </w:tcPr>
          <w:p>
            <w:pPr>
              <w:jc w:val="center"/>
              <w:ind w:right="60"/>
              <w:spacing w:after="0" w:line="108" w:lineRule="exact"/>
              <w:rPr>
                <w:sz w:val="20"/>
                <w:szCs w:val="20"/>
                <w:color w:val="auto"/>
              </w:rPr>
            </w:pPr>
            <w:r>
              <w:rPr>
                <w:rFonts w:ascii="Arial" w:cs="Arial" w:eastAsia="Arial" w:hAnsi="Arial"/>
                <w:sz w:val="10"/>
                <w:szCs w:val="10"/>
                <w:b w:val="1"/>
                <w:bCs w:val="1"/>
                <w:color w:val="auto"/>
                <w:w w:val="96"/>
              </w:rPr>
              <w:t>External</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0" w:type="dxa"/>
            <w:vAlign w:val="bottom"/>
          </w:tcPr>
          <w:p>
            <w:pPr>
              <w:jc w:val="center"/>
              <w:ind w:right="45"/>
              <w:spacing w:after="0" w:line="108" w:lineRule="exact"/>
              <w:rPr>
                <w:sz w:val="20"/>
                <w:szCs w:val="20"/>
                <w:color w:val="auto"/>
              </w:rPr>
            </w:pPr>
            <w:r>
              <w:rPr>
                <w:rFonts w:ascii="Arial" w:cs="Arial" w:eastAsia="Arial" w:hAnsi="Arial"/>
                <w:sz w:val="10"/>
                <w:szCs w:val="10"/>
                <w:b w:val="1"/>
                <w:bCs w:val="1"/>
                <w:color w:val="auto"/>
                <w:w w:val="92"/>
              </w:rPr>
              <w:t>Intersegment</w:t>
            </w: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jc w:val="center"/>
              <w:ind w:right="186"/>
              <w:spacing w:after="0" w:line="108" w:lineRule="exact"/>
              <w:rPr>
                <w:sz w:val="20"/>
                <w:szCs w:val="20"/>
                <w:color w:val="auto"/>
              </w:rPr>
            </w:pPr>
            <w:r>
              <w:rPr>
                <w:rFonts w:ascii="Arial" w:cs="Arial" w:eastAsia="Arial" w:hAnsi="Arial"/>
                <w:sz w:val="10"/>
                <w:szCs w:val="10"/>
                <w:b w:val="1"/>
                <w:bCs w:val="1"/>
                <w:color w:val="auto"/>
                <w:w w:val="93"/>
              </w:rPr>
              <w:t>Operating</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gridSpan w:val="2"/>
          </w:tcPr>
          <w:p>
            <w:pPr>
              <w:jc w:val="center"/>
              <w:ind w:right="64"/>
              <w:spacing w:after="0" w:line="108" w:lineRule="exact"/>
              <w:rPr>
                <w:sz w:val="20"/>
                <w:szCs w:val="20"/>
                <w:color w:val="auto"/>
              </w:rPr>
            </w:pPr>
            <w:r>
              <w:rPr>
                <w:rFonts w:ascii="Arial" w:cs="Arial" w:eastAsia="Arial" w:hAnsi="Arial"/>
                <w:sz w:val="10"/>
                <w:szCs w:val="10"/>
                <w:b w:val="1"/>
                <w:bCs w:val="1"/>
                <w:color w:val="auto"/>
                <w:w w:val="91"/>
              </w:rPr>
              <w:t>External</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780" w:type="dxa"/>
            <w:vAlign w:val="bottom"/>
            <w:gridSpan w:val="3"/>
          </w:tcPr>
          <w:p>
            <w:pPr>
              <w:jc w:val="center"/>
              <w:ind w:right="140"/>
              <w:spacing w:after="0" w:line="108" w:lineRule="exact"/>
              <w:rPr>
                <w:sz w:val="20"/>
                <w:szCs w:val="20"/>
                <w:color w:val="auto"/>
              </w:rPr>
            </w:pPr>
            <w:r>
              <w:rPr>
                <w:rFonts w:ascii="Arial" w:cs="Arial" w:eastAsia="Arial" w:hAnsi="Arial"/>
                <w:sz w:val="10"/>
                <w:szCs w:val="10"/>
                <w:b w:val="1"/>
                <w:bCs w:val="1"/>
                <w:color w:val="auto"/>
                <w:w w:val="89"/>
              </w:rPr>
              <w:t>Intersegment</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40" w:type="dxa"/>
            <w:vAlign w:val="bottom"/>
          </w:tcPr>
          <w:p>
            <w:pPr>
              <w:jc w:val="center"/>
              <w:ind w:right="124"/>
              <w:spacing w:after="0" w:line="108" w:lineRule="exact"/>
              <w:rPr>
                <w:sz w:val="20"/>
                <w:szCs w:val="20"/>
                <w:color w:val="auto"/>
              </w:rPr>
            </w:pPr>
            <w:r>
              <w:rPr>
                <w:rFonts w:ascii="Arial" w:cs="Arial" w:eastAsia="Arial" w:hAnsi="Arial"/>
                <w:sz w:val="10"/>
                <w:szCs w:val="10"/>
                <w:b w:val="1"/>
                <w:bCs w:val="1"/>
                <w:color w:val="auto"/>
                <w:w w:val="91"/>
              </w:rPr>
              <w:t>Income</w:t>
            </w:r>
          </w:p>
        </w:tc>
        <w:tc>
          <w:tcPr>
            <w:tcW w:w="0" w:type="dxa"/>
            <w:vAlign w:val="bottom"/>
          </w:tcPr>
          <w:p>
            <w:pPr>
              <w:spacing w:after="0"/>
              <w:rPr>
                <w:sz w:val="1"/>
                <w:szCs w:val="1"/>
                <w:color w:val="auto"/>
              </w:rPr>
            </w:pPr>
          </w:p>
        </w:tc>
      </w:tr>
      <w:tr>
        <w:trPr>
          <w:trHeight w:val="136"/>
        </w:trPr>
        <w:tc>
          <w:tcPr>
            <w:tcW w:w="402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gridSpan w:val="2"/>
          </w:tcPr>
          <w:p>
            <w:pPr>
              <w:jc w:val="center"/>
              <w:ind w:right="60"/>
              <w:spacing w:after="0"/>
              <w:rPr>
                <w:sz w:val="20"/>
                <w:szCs w:val="20"/>
                <w:color w:val="auto"/>
              </w:rPr>
            </w:pPr>
            <w:r>
              <w:rPr>
                <w:rFonts w:ascii="Arial" w:cs="Arial" w:eastAsia="Arial" w:hAnsi="Arial"/>
                <w:sz w:val="10"/>
                <w:szCs w:val="10"/>
                <w:b w:val="1"/>
                <w:bCs w:val="1"/>
                <w:color w:val="auto"/>
                <w:w w:val="87"/>
              </w:rPr>
              <w:t>Customers</w:t>
            </w:r>
          </w:p>
        </w:tc>
        <w:tc>
          <w:tcPr>
            <w:tcW w:w="1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center"/>
              <w:ind w:right="45"/>
              <w:spacing w:after="0"/>
              <w:rPr>
                <w:sz w:val="20"/>
                <w:szCs w:val="20"/>
                <w:color w:val="auto"/>
              </w:rPr>
            </w:pPr>
            <w:r>
              <w:rPr>
                <w:rFonts w:ascii="Arial" w:cs="Arial" w:eastAsia="Arial" w:hAnsi="Arial"/>
                <w:sz w:val="10"/>
                <w:szCs w:val="10"/>
                <w:b w:val="1"/>
                <w:bCs w:val="1"/>
                <w:color w:val="auto"/>
                <w:w w:val="88"/>
              </w:rPr>
              <w:t>Revenues</w:t>
            </w:r>
          </w:p>
        </w:tc>
        <w:tc>
          <w:tcPr>
            <w:tcW w:w="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center"/>
              <w:ind w:right="186"/>
              <w:spacing w:after="0"/>
              <w:rPr>
                <w:sz w:val="20"/>
                <w:szCs w:val="20"/>
                <w:color w:val="auto"/>
              </w:rPr>
            </w:pPr>
            <w:r>
              <w:rPr>
                <w:rFonts w:ascii="Arial" w:cs="Arial" w:eastAsia="Arial" w:hAnsi="Arial"/>
                <w:sz w:val="10"/>
                <w:szCs w:val="10"/>
                <w:b w:val="1"/>
                <w:bCs w:val="1"/>
                <w:color w:val="auto"/>
                <w:w w:val="91"/>
              </w:rPr>
              <w:t>Income</w:t>
            </w:r>
          </w:p>
        </w:tc>
        <w:tc>
          <w:tcPr>
            <w:tcW w:w="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gridSpan w:val="2"/>
          </w:tcPr>
          <w:p>
            <w:pPr>
              <w:jc w:val="center"/>
              <w:ind w:right="84"/>
              <w:spacing w:after="0"/>
              <w:rPr>
                <w:sz w:val="20"/>
                <w:szCs w:val="20"/>
                <w:color w:val="auto"/>
              </w:rPr>
            </w:pPr>
            <w:r>
              <w:rPr>
                <w:rFonts w:ascii="Arial" w:cs="Arial" w:eastAsia="Arial" w:hAnsi="Arial"/>
                <w:sz w:val="10"/>
                <w:szCs w:val="10"/>
                <w:b w:val="1"/>
                <w:bCs w:val="1"/>
                <w:color w:val="auto"/>
                <w:w w:val="87"/>
              </w:rPr>
              <w:t>Customers</w:t>
            </w:r>
          </w:p>
        </w:tc>
        <w:tc>
          <w:tcPr>
            <w:tcW w:w="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gridSpan w:val="3"/>
          </w:tcPr>
          <w:p>
            <w:pPr>
              <w:jc w:val="center"/>
              <w:ind w:right="140"/>
              <w:spacing w:after="0"/>
              <w:rPr>
                <w:sz w:val="20"/>
                <w:szCs w:val="20"/>
                <w:color w:val="auto"/>
              </w:rPr>
            </w:pPr>
            <w:r>
              <w:rPr>
                <w:rFonts w:ascii="Arial" w:cs="Arial" w:eastAsia="Arial" w:hAnsi="Arial"/>
                <w:sz w:val="10"/>
                <w:szCs w:val="10"/>
                <w:b w:val="1"/>
                <w:bCs w:val="1"/>
                <w:color w:val="auto"/>
                <w:w w:val="84"/>
              </w:rPr>
              <w:t>Revenues</w:t>
            </w:r>
          </w:p>
        </w:tc>
        <w:tc>
          <w:tcPr>
            <w:tcW w:w="1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center"/>
              <w:ind w:right="144"/>
              <w:spacing w:after="0"/>
              <w:rPr>
                <w:sz w:val="20"/>
                <w:szCs w:val="20"/>
                <w:color w:val="auto"/>
              </w:rPr>
            </w:pPr>
            <w:r>
              <w:rPr>
                <w:rFonts w:ascii="Arial" w:cs="Arial" w:eastAsia="Arial" w:hAnsi="Arial"/>
                <w:sz w:val="10"/>
                <w:szCs w:val="10"/>
                <w:b w:val="1"/>
                <w:bCs w:val="1"/>
                <w:color w:val="auto"/>
                <w:w w:val="86"/>
              </w:rPr>
              <w:t>(Loss)</w:t>
            </w:r>
          </w:p>
        </w:tc>
        <w:tc>
          <w:tcPr>
            <w:tcW w:w="0" w:type="dxa"/>
            <w:vAlign w:val="bottom"/>
          </w:tcPr>
          <w:p>
            <w:pPr>
              <w:spacing w:after="0"/>
              <w:rPr>
                <w:sz w:val="1"/>
                <w:szCs w:val="1"/>
                <w:color w:val="auto"/>
              </w:rPr>
            </w:pPr>
          </w:p>
        </w:tc>
      </w:tr>
      <w:tr>
        <w:trPr>
          <w:trHeight w:val="196"/>
        </w:trPr>
        <w:tc>
          <w:tcPr>
            <w:tcW w:w="4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4"/>
          </w:tcPr>
          <w:p>
            <w:pPr>
              <w:jc w:val="center"/>
              <w:ind w:left="506"/>
              <w:spacing w:after="0"/>
              <w:rPr>
                <w:sz w:val="20"/>
                <w:szCs w:val="20"/>
                <w:color w:val="auto"/>
              </w:rPr>
            </w:pPr>
            <w:r>
              <w:rPr>
                <w:rFonts w:ascii="Arial" w:cs="Arial" w:eastAsia="Arial" w:hAnsi="Arial"/>
                <w:sz w:val="10"/>
                <w:szCs w:val="10"/>
                <w:b w:val="1"/>
                <w:bCs w:val="1"/>
                <w:color w:val="auto"/>
                <w:w w:val="92"/>
              </w:rPr>
              <w:t>(in millions)</w:t>
            </w:r>
          </w:p>
        </w:tc>
        <w:tc>
          <w:tcPr>
            <w:tcW w:w="3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4020" w:type="dxa"/>
            <w:vAlign w:val="bottom"/>
            <w:shd w:val="clear" w:color="auto" w:fill="CCEEFF"/>
          </w:tcPr>
          <w:p>
            <w:pPr>
              <w:ind w:left="20"/>
              <w:spacing w:after="0"/>
              <w:rPr>
                <w:sz w:val="20"/>
                <w:szCs w:val="20"/>
                <w:color w:val="auto"/>
              </w:rPr>
            </w:pPr>
            <w:r>
              <w:rPr>
                <w:rFonts w:ascii="Arial" w:cs="Arial" w:eastAsia="Arial" w:hAnsi="Arial"/>
                <w:sz w:val="11"/>
                <w:szCs w:val="11"/>
                <w:color w:val="auto"/>
              </w:rPr>
              <w:t>Natural Gas Distribution</w:t>
            </w:r>
          </w:p>
        </w:tc>
        <w:tc>
          <w:tcPr>
            <w:tcW w:w="18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w w:val="97"/>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389</w:t>
            </w:r>
          </w:p>
        </w:tc>
        <w:tc>
          <w:tcPr>
            <w:tcW w:w="360" w:type="dxa"/>
            <w:vAlign w:val="bottom"/>
            <w:gridSpan w:val="3"/>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1000" w:type="dxa"/>
            <w:vAlign w:val="bottom"/>
            <w:shd w:val="clear" w:color="auto" w:fill="CCEEFF"/>
          </w:tcPr>
          <w:p>
            <w:pPr>
              <w:jc w:val="right"/>
              <w:ind w:right="25"/>
              <w:spacing w:after="0"/>
              <w:rPr>
                <w:sz w:val="20"/>
                <w:szCs w:val="20"/>
                <w:color w:val="auto"/>
              </w:rPr>
            </w:pPr>
            <w:r>
              <w:rPr>
                <w:rFonts w:ascii="Arial" w:cs="Arial" w:eastAsia="Arial" w:hAnsi="Arial"/>
                <w:sz w:val="11"/>
                <w:szCs w:val="11"/>
                <w:color w:val="auto"/>
              </w:rPr>
              <w:t>9</w:t>
            </w:r>
          </w:p>
        </w:tc>
        <w:tc>
          <w:tcPr>
            <w:tcW w:w="340" w:type="dxa"/>
            <w:vAlign w:val="bottom"/>
            <w:gridSpan w:val="3"/>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w:t>
            </w:r>
          </w:p>
        </w:tc>
        <w:tc>
          <w:tcPr>
            <w:tcW w:w="400" w:type="dxa"/>
            <w:vAlign w:val="bottom"/>
            <w:gridSpan w:val="3"/>
            <w:shd w:val="clear" w:color="auto" w:fill="CCEEFF"/>
          </w:tcPr>
          <w:p>
            <w:pPr>
              <w:jc w:val="right"/>
              <w:ind w:right="66"/>
              <w:spacing w:after="0"/>
              <w:rPr>
                <w:sz w:val="20"/>
                <w:szCs w:val="20"/>
                <w:color w:val="auto"/>
              </w:rPr>
            </w:pPr>
            <w:r>
              <w:rPr>
                <w:rFonts w:ascii="Arial" w:cs="Arial" w:eastAsia="Arial" w:hAnsi="Arial"/>
                <w:sz w:val="11"/>
                <w:szCs w:val="11"/>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402</w:t>
            </w:r>
          </w:p>
        </w:tc>
        <w:tc>
          <w:tcPr>
            <w:tcW w:w="440" w:type="dxa"/>
            <w:vAlign w:val="bottom"/>
            <w:gridSpan w:val="3"/>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42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8</w:t>
            </w:r>
          </w:p>
        </w:tc>
        <w:tc>
          <w:tcPr>
            <w:tcW w:w="400" w:type="dxa"/>
            <w:vAlign w:val="bottom"/>
            <w:gridSpan w:val="3"/>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940" w:type="dxa"/>
            <w:vAlign w:val="bottom"/>
            <w:shd w:val="clear" w:color="auto" w:fill="CCEEFF"/>
          </w:tcPr>
          <w:p>
            <w:pPr>
              <w:jc w:val="right"/>
              <w:ind w:right="44"/>
              <w:spacing w:after="0"/>
              <w:rPr>
                <w:sz w:val="20"/>
                <w:szCs w:val="20"/>
                <w:color w:val="auto"/>
              </w:rPr>
            </w:pPr>
            <w:r>
              <w:rPr>
                <w:rFonts w:ascii="Arial" w:cs="Arial" w:eastAsia="Arial" w:hAnsi="Arial"/>
                <w:sz w:val="11"/>
                <w:szCs w:val="11"/>
                <w:color w:val="auto"/>
              </w:rPr>
              <w:t>3</w:t>
            </w:r>
          </w:p>
        </w:tc>
        <w:tc>
          <w:tcPr>
            <w:tcW w:w="0" w:type="dxa"/>
            <w:vAlign w:val="bottom"/>
          </w:tcPr>
          <w:p>
            <w:pPr>
              <w:spacing w:after="0"/>
              <w:rPr>
                <w:sz w:val="1"/>
                <w:szCs w:val="1"/>
                <w:color w:val="auto"/>
              </w:rPr>
            </w:pPr>
          </w:p>
        </w:tc>
      </w:tr>
      <w:tr>
        <w:trPr>
          <w:trHeight w:val="211"/>
        </w:trPr>
        <w:tc>
          <w:tcPr>
            <w:tcW w:w="4020" w:type="dxa"/>
            <w:vAlign w:val="bottom"/>
          </w:tcPr>
          <w:p>
            <w:pPr>
              <w:ind w:left="20"/>
              <w:spacing w:after="0"/>
              <w:rPr>
                <w:sz w:val="20"/>
                <w:szCs w:val="20"/>
                <w:color w:val="auto"/>
              </w:rPr>
            </w:pPr>
            <w:r>
              <w:rPr>
                <w:rFonts w:ascii="Arial" w:cs="Arial" w:eastAsia="Arial" w:hAnsi="Arial"/>
                <w:sz w:val="11"/>
                <w:szCs w:val="11"/>
                <w:color w:val="auto"/>
              </w:rPr>
              <w:t>Energy Services</w:t>
            </w:r>
          </w:p>
        </w:tc>
        <w:tc>
          <w:tcPr>
            <w:tcW w:w="18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1"/>
                <w:szCs w:val="11"/>
                <w:color w:val="auto"/>
              </w:rPr>
              <w:t>734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ind w:right="25"/>
              <w:spacing w:after="0"/>
              <w:rPr>
                <w:sz w:val="20"/>
                <w:szCs w:val="20"/>
                <w:color w:val="auto"/>
              </w:rPr>
            </w:pPr>
            <w:r>
              <w:rPr>
                <w:rFonts w:ascii="Arial" w:cs="Arial" w:eastAsia="Arial" w:hAnsi="Arial"/>
                <w:sz w:val="11"/>
                <w:szCs w:val="11"/>
                <w:color w:val="auto"/>
              </w:rPr>
              <w:t>11</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1"/>
                <w:szCs w:val="11"/>
                <w:color w:val="auto"/>
              </w:rPr>
              <w:t>910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1"/>
                <w:szCs w:val="11"/>
                <w:color w:val="auto"/>
              </w:rPr>
              <w:t>10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ind w:right="4"/>
              <w:spacing w:after="0"/>
              <w:rPr>
                <w:sz w:val="20"/>
                <w:szCs w:val="20"/>
                <w:color w:val="auto"/>
              </w:rPr>
            </w:pPr>
            <w:r>
              <w:rPr>
                <w:rFonts w:ascii="Arial" w:cs="Arial" w:eastAsia="Arial" w:hAnsi="Arial"/>
                <w:sz w:val="11"/>
                <w:szCs w:val="11"/>
                <w:color w:val="auto"/>
              </w:rPr>
              <w:t>(9)</w:t>
            </w:r>
          </w:p>
        </w:tc>
        <w:tc>
          <w:tcPr>
            <w:tcW w:w="0" w:type="dxa"/>
            <w:vAlign w:val="bottom"/>
          </w:tcPr>
          <w:p>
            <w:pPr>
              <w:spacing w:after="0"/>
              <w:rPr>
                <w:sz w:val="1"/>
                <w:szCs w:val="1"/>
                <w:color w:val="auto"/>
              </w:rPr>
            </w:pPr>
          </w:p>
        </w:tc>
      </w:tr>
      <w:tr>
        <w:trPr>
          <w:trHeight w:val="220"/>
        </w:trPr>
        <w:tc>
          <w:tcPr>
            <w:tcW w:w="4020" w:type="dxa"/>
            <w:vAlign w:val="bottom"/>
            <w:shd w:val="clear" w:color="auto" w:fill="CCEEFF"/>
          </w:tcPr>
          <w:p>
            <w:pPr>
              <w:ind w:left="20"/>
              <w:spacing w:after="0"/>
              <w:rPr>
                <w:sz w:val="20"/>
                <w:szCs w:val="20"/>
                <w:color w:val="auto"/>
              </w:rPr>
            </w:pPr>
            <w:r>
              <w:rPr>
                <w:rFonts w:ascii="Arial" w:cs="Arial" w:eastAsia="Arial" w:hAnsi="Arial"/>
                <w:sz w:val="11"/>
                <w:szCs w:val="11"/>
                <w:color w:val="auto"/>
              </w:rPr>
              <w:t>Other Operations</w:t>
            </w:r>
          </w:p>
        </w:tc>
        <w:tc>
          <w:tcPr>
            <w:tcW w:w="1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25"/>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211"/>
        </w:trPr>
        <w:tc>
          <w:tcPr>
            <w:tcW w:w="402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Eliminations</w:t>
            </w: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(20)</w:t>
            </w: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gridSpan w:val="3"/>
          </w:tcPr>
          <w:p>
            <w:pPr>
              <w:jc w:val="right"/>
              <w:ind w:right="4"/>
              <w:spacing w:after="0"/>
              <w:rPr>
                <w:sz w:val="20"/>
                <w:szCs w:val="20"/>
                <w:color w:val="auto"/>
              </w:rPr>
            </w:pPr>
            <w:r>
              <w:rPr>
                <w:rFonts w:ascii="Arial" w:cs="Arial" w:eastAsia="Arial" w:hAnsi="Arial"/>
                <w:sz w:val="11"/>
                <w:szCs w:val="11"/>
                <w:color w:val="auto"/>
              </w:rPr>
              <w:t>(18)</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4"/>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89"/>
        </w:trPr>
        <w:tc>
          <w:tcPr>
            <w:tcW w:w="4020" w:type="dxa"/>
            <w:vAlign w:val="bottom"/>
            <w:shd w:val="clear" w:color="auto" w:fill="CCEEFF"/>
          </w:tcPr>
          <w:p>
            <w:pPr>
              <w:ind w:left="20"/>
              <w:spacing w:after="0"/>
              <w:rPr>
                <w:sz w:val="20"/>
                <w:szCs w:val="20"/>
                <w:color w:val="auto"/>
              </w:rPr>
            </w:pPr>
            <w:r>
              <w:rPr>
                <w:rFonts w:ascii="Arial" w:cs="Arial" w:eastAsia="Arial" w:hAnsi="Arial"/>
                <w:sz w:val="11"/>
                <w:szCs w:val="11"/>
                <w:color w:val="auto"/>
              </w:rPr>
              <w:t>Consolidated</w:t>
            </w:r>
          </w:p>
        </w:tc>
        <w:tc>
          <w:tcPr>
            <w:tcW w:w="18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w w:val="97"/>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1,126</w:t>
            </w:r>
          </w:p>
        </w:tc>
        <w:tc>
          <w:tcPr>
            <w:tcW w:w="360" w:type="dxa"/>
            <w:vAlign w:val="bottom"/>
            <w:gridSpan w:val="3"/>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1000" w:type="dxa"/>
            <w:vAlign w:val="bottom"/>
            <w:shd w:val="clear" w:color="auto" w:fill="CCEEFF"/>
          </w:tcPr>
          <w:p>
            <w:pPr>
              <w:jc w:val="right"/>
              <w:ind w:right="25"/>
              <w:spacing w:after="0"/>
              <w:rPr>
                <w:sz w:val="20"/>
                <w:szCs w:val="20"/>
                <w:color w:val="auto"/>
              </w:rPr>
            </w:pPr>
            <w:r>
              <w:rPr>
                <w:rFonts w:ascii="Arial" w:cs="Arial" w:eastAsia="Arial" w:hAnsi="Arial"/>
                <w:sz w:val="11"/>
                <w:szCs w:val="11"/>
                <w:color w:val="auto"/>
              </w:rPr>
              <w:t>—</w:t>
            </w:r>
          </w:p>
        </w:tc>
        <w:tc>
          <w:tcPr>
            <w:tcW w:w="340" w:type="dxa"/>
            <w:vAlign w:val="bottom"/>
            <w:gridSpan w:val="3"/>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23</w:t>
            </w:r>
          </w:p>
        </w:tc>
        <w:tc>
          <w:tcPr>
            <w:tcW w:w="400" w:type="dxa"/>
            <w:vAlign w:val="bottom"/>
            <w:gridSpan w:val="3"/>
            <w:shd w:val="clear" w:color="auto" w:fill="CCEEFF"/>
          </w:tcPr>
          <w:p>
            <w:pPr>
              <w:jc w:val="right"/>
              <w:ind w:right="66"/>
              <w:spacing w:after="0"/>
              <w:rPr>
                <w:sz w:val="20"/>
                <w:szCs w:val="20"/>
                <w:color w:val="auto"/>
              </w:rPr>
            </w:pPr>
            <w:r>
              <w:rPr>
                <w:rFonts w:ascii="Arial" w:cs="Arial" w:eastAsia="Arial" w:hAnsi="Arial"/>
                <w:sz w:val="11"/>
                <w:szCs w:val="11"/>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1,312</w:t>
            </w:r>
          </w:p>
        </w:tc>
        <w:tc>
          <w:tcPr>
            <w:tcW w:w="440" w:type="dxa"/>
            <w:vAlign w:val="bottom"/>
            <w:gridSpan w:val="3"/>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420" w:type="dxa"/>
            <w:vAlign w:val="bottom"/>
            <w:shd w:val="clear" w:color="auto" w:fill="CCEEFF"/>
          </w:tcPr>
          <w:p>
            <w:pPr>
              <w:spacing w:after="0"/>
              <w:rPr>
                <w:sz w:val="16"/>
                <w:szCs w:val="16"/>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00" w:type="dxa"/>
            <w:vAlign w:val="bottom"/>
            <w:gridSpan w:val="3"/>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94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(7)</w:t>
            </w: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gridSpan w:val="2"/>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40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6"/>
          </w:tcPr>
          <w:p>
            <w:pPr>
              <w:jc w:val="center"/>
              <w:ind w:right="244"/>
              <w:spacing w:after="0"/>
              <w:rPr>
                <w:sz w:val="20"/>
                <w:szCs w:val="20"/>
                <w:color w:val="auto"/>
              </w:rPr>
            </w:pPr>
            <w:r>
              <w:rPr>
                <w:rFonts w:ascii="Arial" w:cs="Arial" w:eastAsia="Arial" w:hAnsi="Arial"/>
                <w:sz w:val="10"/>
                <w:szCs w:val="10"/>
                <w:b w:val="1"/>
                <w:bCs w:val="1"/>
                <w:color w:val="auto"/>
                <w:w w:val="91"/>
              </w:rPr>
              <w:t>Nine Months Ended September 30,</w:t>
            </w: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40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25"/>
              <w:spacing w:after="0"/>
              <w:rPr>
                <w:sz w:val="20"/>
                <w:szCs w:val="20"/>
                <w:color w:val="auto"/>
              </w:rPr>
            </w:pPr>
            <w:r>
              <w:rPr>
                <w:rFonts w:ascii="Arial" w:cs="Arial" w:eastAsia="Arial" w:hAnsi="Arial"/>
                <w:sz w:val="10"/>
                <w:szCs w:val="10"/>
                <w:b w:val="1"/>
                <w:bCs w:val="1"/>
                <w:color w:val="auto"/>
                <w:w w:val="89"/>
              </w:rPr>
              <w:t>2019</w:t>
            </w:r>
          </w:p>
        </w:tc>
        <w:tc>
          <w:tcPr>
            <w:tcW w:w="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center"/>
              <w:ind w:left="166"/>
              <w:spacing w:after="0"/>
              <w:rPr>
                <w:sz w:val="20"/>
                <w:szCs w:val="20"/>
                <w:color w:val="auto"/>
              </w:rPr>
            </w:pPr>
            <w:r>
              <w:rPr>
                <w:rFonts w:ascii="Arial" w:cs="Arial" w:eastAsia="Arial" w:hAnsi="Arial"/>
                <w:sz w:val="10"/>
                <w:szCs w:val="10"/>
                <w:b w:val="1"/>
                <w:bCs w:val="1"/>
                <w:color w:val="auto"/>
                <w:w w:val="89"/>
              </w:rPr>
              <w:t>2018</w:t>
            </w:r>
          </w:p>
        </w:tc>
        <w:tc>
          <w:tcPr>
            <w:tcW w:w="3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13"/>
        </w:trPr>
        <w:tc>
          <w:tcPr>
            <w:tcW w:w="40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gridSpan w:val="2"/>
          </w:tcPr>
          <w:p>
            <w:pPr>
              <w:jc w:val="center"/>
              <w:ind w:right="80"/>
              <w:spacing w:after="0" w:line="114" w:lineRule="exact"/>
              <w:rPr>
                <w:sz w:val="20"/>
                <w:szCs w:val="20"/>
                <w:color w:val="auto"/>
              </w:rPr>
            </w:pPr>
            <w:r>
              <w:rPr>
                <w:rFonts w:ascii="Arial" w:cs="Arial" w:eastAsia="Arial" w:hAnsi="Arial"/>
                <w:sz w:val="10"/>
                <w:szCs w:val="10"/>
                <w:b w:val="1"/>
                <w:bCs w:val="1"/>
                <w:color w:val="auto"/>
                <w:w w:val="88"/>
              </w:rPr>
              <w:t>Revenues from</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0" w:type="dxa"/>
            <w:vAlign w:val="bottom"/>
          </w:tcPr>
          <w:p>
            <w:pPr>
              <w:jc w:val="center"/>
              <w:ind w:right="45"/>
              <w:spacing w:after="0" w:line="114" w:lineRule="exact"/>
              <w:rPr>
                <w:sz w:val="20"/>
                <w:szCs w:val="20"/>
                <w:color w:val="auto"/>
              </w:rPr>
            </w:pPr>
            <w:r>
              <w:rPr>
                <w:rFonts w:ascii="Arial" w:cs="Arial" w:eastAsia="Arial" w:hAnsi="Arial"/>
                <w:sz w:val="10"/>
                <w:szCs w:val="10"/>
                <w:b w:val="1"/>
                <w:bCs w:val="1"/>
                <w:color w:val="auto"/>
                <w:w w:val="86"/>
              </w:rPr>
              <w:t>Net</w:t>
            </w: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gridSpan w:val="2"/>
          </w:tcPr>
          <w:p>
            <w:pPr>
              <w:jc w:val="center"/>
              <w:ind w:right="64"/>
              <w:spacing w:after="0" w:line="114" w:lineRule="exact"/>
              <w:rPr>
                <w:sz w:val="20"/>
                <w:szCs w:val="20"/>
                <w:color w:val="auto"/>
              </w:rPr>
            </w:pPr>
            <w:r>
              <w:rPr>
                <w:rFonts w:ascii="Arial" w:cs="Arial" w:eastAsia="Arial" w:hAnsi="Arial"/>
                <w:sz w:val="10"/>
                <w:szCs w:val="10"/>
                <w:b w:val="1"/>
                <w:bCs w:val="1"/>
                <w:color w:val="auto"/>
                <w:w w:val="88"/>
              </w:rPr>
              <w:t>Revenues from</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Pr>
          <w:p>
            <w:pPr>
              <w:jc w:val="center"/>
              <w:ind w:left="166"/>
              <w:spacing w:after="0" w:line="114" w:lineRule="exact"/>
              <w:rPr>
                <w:sz w:val="20"/>
                <w:szCs w:val="20"/>
                <w:color w:val="auto"/>
              </w:rPr>
            </w:pPr>
            <w:r>
              <w:rPr>
                <w:rFonts w:ascii="Arial" w:cs="Arial" w:eastAsia="Arial" w:hAnsi="Arial"/>
                <w:sz w:val="10"/>
                <w:szCs w:val="10"/>
                <w:b w:val="1"/>
                <w:bCs w:val="1"/>
                <w:color w:val="auto"/>
                <w:w w:val="99"/>
              </w:rPr>
              <w:t>Net</w:t>
            </w: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40" w:type="dxa"/>
            <w:vAlign w:val="bottom"/>
          </w:tcPr>
          <w:p>
            <w:pPr>
              <w:jc w:val="center"/>
              <w:ind w:right="124"/>
              <w:spacing w:after="0" w:line="114" w:lineRule="exact"/>
              <w:rPr>
                <w:sz w:val="20"/>
                <w:szCs w:val="20"/>
                <w:color w:val="auto"/>
              </w:rPr>
            </w:pPr>
            <w:r>
              <w:rPr>
                <w:rFonts w:ascii="Arial" w:cs="Arial" w:eastAsia="Arial" w:hAnsi="Arial"/>
                <w:sz w:val="10"/>
                <w:szCs w:val="10"/>
                <w:b w:val="1"/>
                <w:bCs w:val="1"/>
                <w:color w:val="auto"/>
                <w:w w:val="93"/>
              </w:rPr>
              <w:t>Operating</w:t>
            </w:r>
          </w:p>
        </w:tc>
        <w:tc>
          <w:tcPr>
            <w:tcW w:w="0" w:type="dxa"/>
            <w:vAlign w:val="bottom"/>
          </w:tcPr>
          <w:p>
            <w:pPr>
              <w:spacing w:after="0"/>
              <w:rPr>
                <w:sz w:val="1"/>
                <w:szCs w:val="1"/>
                <w:color w:val="auto"/>
              </w:rPr>
            </w:pPr>
          </w:p>
        </w:tc>
      </w:tr>
      <w:tr>
        <w:trPr>
          <w:trHeight w:val="108"/>
        </w:trPr>
        <w:tc>
          <w:tcPr>
            <w:tcW w:w="40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gridSpan w:val="2"/>
          </w:tcPr>
          <w:p>
            <w:pPr>
              <w:jc w:val="center"/>
              <w:ind w:right="60"/>
              <w:spacing w:after="0" w:line="108" w:lineRule="exact"/>
              <w:rPr>
                <w:sz w:val="20"/>
                <w:szCs w:val="20"/>
                <w:color w:val="auto"/>
              </w:rPr>
            </w:pPr>
            <w:r>
              <w:rPr>
                <w:rFonts w:ascii="Arial" w:cs="Arial" w:eastAsia="Arial" w:hAnsi="Arial"/>
                <w:sz w:val="10"/>
                <w:szCs w:val="10"/>
                <w:b w:val="1"/>
                <w:bCs w:val="1"/>
                <w:color w:val="auto"/>
                <w:w w:val="96"/>
              </w:rPr>
              <w:t>External</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0" w:type="dxa"/>
            <w:vAlign w:val="bottom"/>
          </w:tcPr>
          <w:p>
            <w:pPr>
              <w:jc w:val="center"/>
              <w:ind w:right="45"/>
              <w:spacing w:after="0" w:line="108" w:lineRule="exact"/>
              <w:rPr>
                <w:sz w:val="20"/>
                <w:szCs w:val="20"/>
                <w:color w:val="auto"/>
              </w:rPr>
            </w:pPr>
            <w:r>
              <w:rPr>
                <w:rFonts w:ascii="Arial" w:cs="Arial" w:eastAsia="Arial" w:hAnsi="Arial"/>
                <w:sz w:val="10"/>
                <w:szCs w:val="10"/>
                <w:b w:val="1"/>
                <w:bCs w:val="1"/>
                <w:color w:val="auto"/>
                <w:w w:val="92"/>
              </w:rPr>
              <w:t>Intersegment</w:t>
            </w: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jc w:val="center"/>
              <w:ind w:right="186"/>
              <w:spacing w:after="0" w:line="108" w:lineRule="exact"/>
              <w:rPr>
                <w:sz w:val="20"/>
                <w:szCs w:val="20"/>
                <w:color w:val="auto"/>
              </w:rPr>
            </w:pPr>
            <w:r>
              <w:rPr>
                <w:rFonts w:ascii="Arial" w:cs="Arial" w:eastAsia="Arial" w:hAnsi="Arial"/>
                <w:sz w:val="10"/>
                <w:szCs w:val="10"/>
                <w:b w:val="1"/>
                <w:bCs w:val="1"/>
                <w:color w:val="auto"/>
                <w:w w:val="93"/>
              </w:rPr>
              <w:t>Operating</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gridSpan w:val="2"/>
          </w:tcPr>
          <w:p>
            <w:pPr>
              <w:jc w:val="center"/>
              <w:ind w:right="64"/>
              <w:spacing w:after="0" w:line="108" w:lineRule="exact"/>
              <w:rPr>
                <w:sz w:val="20"/>
                <w:szCs w:val="20"/>
                <w:color w:val="auto"/>
              </w:rPr>
            </w:pPr>
            <w:r>
              <w:rPr>
                <w:rFonts w:ascii="Arial" w:cs="Arial" w:eastAsia="Arial" w:hAnsi="Arial"/>
                <w:sz w:val="10"/>
                <w:szCs w:val="10"/>
                <w:b w:val="1"/>
                <w:bCs w:val="1"/>
                <w:color w:val="auto"/>
                <w:w w:val="91"/>
              </w:rPr>
              <w:t>External</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780" w:type="dxa"/>
            <w:vAlign w:val="bottom"/>
            <w:gridSpan w:val="3"/>
          </w:tcPr>
          <w:p>
            <w:pPr>
              <w:jc w:val="center"/>
              <w:ind w:right="140"/>
              <w:spacing w:after="0" w:line="108" w:lineRule="exact"/>
              <w:rPr>
                <w:sz w:val="20"/>
                <w:szCs w:val="20"/>
                <w:color w:val="auto"/>
              </w:rPr>
            </w:pPr>
            <w:r>
              <w:rPr>
                <w:rFonts w:ascii="Arial" w:cs="Arial" w:eastAsia="Arial" w:hAnsi="Arial"/>
                <w:sz w:val="10"/>
                <w:szCs w:val="10"/>
                <w:b w:val="1"/>
                <w:bCs w:val="1"/>
                <w:color w:val="auto"/>
                <w:w w:val="89"/>
              </w:rPr>
              <w:t>Intersegment</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40" w:type="dxa"/>
            <w:vAlign w:val="bottom"/>
          </w:tcPr>
          <w:p>
            <w:pPr>
              <w:jc w:val="center"/>
              <w:ind w:right="124"/>
              <w:spacing w:after="0" w:line="108" w:lineRule="exact"/>
              <w:rPr>
                <w:sz w:val="20"/>
                <w:szCs w:val="20"/>
                <w:color w:val="auto"/>
              </w:rPr>
            </w:pPr>
            <w:r>
              <w:rPr>
                <w:rFonts w:ascii="Arial" w:cs="Arial" w:eastAsia="Arial" w:hAnsi="Arial"/>
                <w:sz w:val="10"/>
                <w:szCs w:val="10"/>
                <w:b w:val="1"/>
                <w:bCs w:val="1"/>
                <w:color w:val="auto"/>
                <w:w w:val="91"/>
              </w:rPr>
              <w:t>Income</w:t>
            </w:r>
          </w:p>
        </w:tc>
        <w:tc>
          <w:tcPr>
            <w:tcW w:w="0" w:type="dxa"/>
            <w:vAlign w:val="bottom"/>
          </w:tcPr>
          <w:p>
            <w:pPr>
              <w:spacing w:after="0"/>
              <w:rPr>
                <w:sz w:val="1"/>
                <w:szCs w:val="1"/>
                <w:color w:val="auto"/>
              </w:rPr>
            </w:pPr>
          </w:p>
        </w:tc>
      </w:tr>
      <w:tr>
        <w:trPr>
          <w:trHeight w:val="136"/>
        </w:trPr>
        <w:tc>
          <w:tcPr>
            <w:tcW w:w="402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gridSpan w:val="2"/>
          </w:tcPr>
          <w:p>
            <w:pPr>
              <w:jc w:val="center"/>
              <w:ind w:right="60"/>
              <w:spacing w:after="0"/>
              <w:rPr>
                <w:sz w:val="20"/>
                <w:szCs w:val="20"/>
                <w:color w:val="auto"/>
              </w:rPr>
            </w:pPr>
            <w:r>
              <w:rPr>
                <w:rFonts w:ascii="Arial" w:cs="Arial" w:eastAsia="Arial" w:hAnsi="Arial"/>
                <w:sz w:val="10"/>
                <w:szCs w:val="10"/>
                <w:b w:val="1"/>
                <w:bCs w:val="1"/>
                <w:color w:val="auto"/>
                <w:w w:val="87"/>
              </w:rPr>
              <w:t>Customers</w:t>
            </w:r>
          </w:p>
        </w:tc>
        <w:tc>
          <w:tcPr>
            <w:tcW w:w="1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center"/>
              <w:ind w:right="45"/>
              <w:spacing w:after="0"/>
              <w:rPr>
                <w:sz w:val="20"/>
                <w:szCs w:val="20"/>
                <w:color w:val="auto"/>
              </w:rPr>
            </w:pPr>
            <w:r>
              <w:rPr>
                <w:rFonts w:ascii="Arial" w:cs="Arial" w:eastAsia="Arial" w:hAnsi="Arial"/>
                <w:sz w:val="10"/>
                <w:szCs w:val="10"/>
                <w:b w:val="1"/>
                <w:bCs w:val="1"/>
                <w:color w:val="auto"/>
                <w:w w:val="88"/>
              </w:rPr>
              <w:t>Revenues</w:t>
            </w:r>
          </w:p>
        </w:tc>
        <w:tc>
          <w:tcPr>
            <w:tcW w:w="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center"/>
              <w:ind w:right="186"/>
              <w:spacing w:after="0"/>
              <w:rPr>
                <w:sz w:val="20"/>
                <w:szCs w:val="20"/>
                <w:color w:val="auto"/>
              </w:rPr>
            </w:pPr>
            <w:r>
              <w:rPr>
                <w:rFonts w:ascii="Arial" w:cs="Arial" w:eastAsia="Arial" w:hAnsi="Arial"/>
                <w:sz w:val="10"/>
                <w:szCs w:val="10"/>
                <w:b w:val="1"/>
                <w:bCs w:val="1"/>
                <w:color w:val="auto"/>
                <w:w w:val="91"/>
              </w:rPr>
              <w:t>Income</w:t>
            </w:r>
          </w:p>
        </w:tc>
        <w:tc>
          <w:tcPr>
            <w:tcW w:w="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gridSpan w:val="2"/>
          </w:tcPr>
          <w:p>
            <w:pPr>
              <w:jc w:val="center"/>
              <w:ind w:right="84"/>
              <w:spacing w:after="0"/>
              <w:rPr>
                <w:sz w:val="20"/>
                <w:szCs w:val="20"/>
                <w:color w:val="auto"/>
              </w:rPr>
            </w:pPr>
            <w:r>
              <w:rPr>
                <w:rFonts w:ascii="Arial" w:cs="Arial" w:eastAsia="Arial" w:hAnsi="Arial"/>
                <w:sz w:val="10"/>
                <w:szCs w:val="10"/>
                <w:b w:val="1"/>
                <w:bCs w:val="1"/>
                <w:color w:val="auto"/>
                <w:w w:val="87"/>
              </w:rPr>
              <w:t>Customers</w:t>
            </w:r>
          </w:p>
        </w:tc>
        <w:tc>
          <w:tcPr>
            <w:tcW w:w="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gridSpan w:val="3"/>
          </w:tcPr>
          <w:p>
            <w:pPr>
              <w:jc w:val="center"/>
              <w:ind w:right="140"/>
              <w:spacing w:after="0"/>
              <w:rPr>
                <w:sz w:val="20"/>
                <w:szCs w:val="20"/>
                <w:color w:val="auto"/>
              </w:rPr>
            </w:pPr>
            <w:r>
              <w:rPr>
                <w:rFonts w:ascii="Arial" w:cs="Arial" w:eastAsia="Arial" w:hAnsi="Arial"/>
                <w:sz w:val="10"/>
                <w:szCs w:val="10"/>
                <w:b w:val="1"/>
                <w:bCs w:val="1"/>
                <w:color w:val="auto"/>
                <w:w w:val="84"/>
              </w:rPr>
              <w:t>Revenues</w:t>
            </w:r>
          </w:p>
        </w:tc>
        <w:tc>
          <w:tcPr>
            <w:tcW w:w="1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center"/>
              <w:ind w:right="104"/>
              <w:spacing w:after="0"/>
              <w:rPr>
                <w:sz w:val="20"/>
                <w:szCs w:val="20"/>
                <w:color w:val="auto"/>
              </w:rPr>
            </w:pPr>
            <w:r>
              <w:rPr>
                <w:rFonts w:ascii="Arial" w:cs="Arial" w:eastAsia="Arial" w:hAnsi="Arial"/>
                <w:sz w:val="10"/>
                <w:szCs w:val="10"/>
                <w:b w:val="1"/>
                <w:bCs w:val="1"/>
                <w:color w:val="auto"/>
                <w:w w:val="86"/>
              </w:rPr>
              <w:t>(Loss)</w:t>
            </w:r>
          </w:p>
        </w:tc>
        <w:tc>
          <w:tcPr>
            <w:tcW w:w="0" w:type="dxa"/>
            <w:vAlign w:val="bottom"/>
          </w:tcPr>
          <w:p>
            <w:pPr>
              <w:spacing w:after="0"/>
              <w:rPr>
                <w:sz w:val="1"/>
                <w:szCs w:val="1"/>
                <w:color w:val="auto"/>
              </w:rPr>
            </w:pPr>
          </w:p>
        </w:tc>
      </w:tr>
      <w:tr>
        <w:trPr>
          <w:trHeight w:val="196"/>
        </w:trPr>
        <w:tc>
          <w:tcPr>
            <w:tcW w:w="4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4"/>
          </w:tcPr>
          <w:p>
            <w:pPr>
              <w:jc w:val="center"/>
              <w:ind w:left="506"/>
              <w:spacing w:after="0"/>
              <w:rPr>
                <w:sz w:val="20"/>
                <w:szCs w:val="20"/>
                <w:color w:val="auto"/>
              </w:rPr>
            </w:pPr>
            <w:r>
              <w:rPr>
                <w:rFonts w:ascii="Arial" w:cs="Arial" w:eastAsia="Arial" w:hAnsi="Arial"/>
                <w:sz w:val="10"/>
                <w:szCs w:val="10"/>
                <w:b w:val="1"/>
                <w:bCs w:val="1"/>
                <w:color w:val="auto"/>
                <w:w w:val="92"/>
              </w:rPr>
              <w:t>(in millions)</w:t>
            </w:r>
          </w:p>
        </w:tc>
        <w:tc>
          <w:tcPr>
            <w:tcW w:w="3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4020" w:type="dxa"/>
            <w:vAlign w:val="bottom"/>
            <w:shd w:val="clear" w:color="auto" w:fill="CCEEFF"/>
          </w:tcPr>
          <w:p>
            <w:pPr>
              <w:ind w:left="20"/>
              <w:spacing w:after="0"/>
              <w:rPr>
                <w:sz w:val="20"/>
                <w:szCs w:val="20"/>
                <w:color w:val="auto"/>
              </w:rPr>
            </w:pPr>
            <w:r>
              <w:rPr>
                <w:rFonts w:ascii="Arial" w:cs="Arial" w:eastAsia="Arial" w:hAnsi="Arial"/>
                <w:sz w:val="11"/>
                <w:szCs w:val="11"/>
                <w:color w:val="auto"/>
              </w:rPr>
              <w:t>Natural Gas Distribution</w:t>
            </w:r>
          </w:p>
        </w:tc>
        <w:tc>
          <w:tcPr>
            <w:tcW w:w="18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w w:val="97"/>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2,077</w:t>
            </w:r>
          </w:p>
        </w:tc>
        <w:tc>
          <w:tcPr>
            <w:tcW w:w="360" w:type="dxa"/>
            <w:vAlign w:val="bottom"/>
            <w:gridSpan w:val="3"/>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1000" w:type="dxa"/>
            <w:vAlign w:val="bottom"/>
            <w:shd w:val="clear" w:color="auto" w:fill="CCEEFF"/>
          </w:tcPr>
          <w:p>
            <w:pPr>
              <w:jc w:val="right"/>
              <w:ind w:right="25"/>
              <w:spacing w:after="0"/>
              <w:rPr>
                <w:sz w:val="20"/>
                <w:szCs w:val="20"/>
                <w:color w:val="auto"/>
              </w:rPr>
            </w:pPr>
            <w:r>
              <w:rPr>
                <w:rFonts w:ascii="Arial" w:cs="Arial" w:eastAsia="Arial" w:hAnsi="Arial"/>
                <w:sz w:val="11"/>
                <w:szCs w:val="11"/>
                <w:color w:val="auto"/>
              </w:rPr>
              <w:t>29</w:t>
            </w:r>
          </w:p>
        </w:tc>
        <w:tc>
          <w:tcPr>
            <w:tcW w:w="340" w:type="dxa"/>
            <w:vAlign w:val="bottom"/>
            <w:gridSpan w:val="3"/>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212</w:t>
            </w:r>
          </w:p>
        </w:tc>
        <w:tc>
          <w:tcPr>
            <w:tcW w:w="400" w:type="dxa"/>
            <w:vAlign w:val="bottom"/>
            <w:gridSpan w:val="3"/>
            <w:shd w:val="clear" w:color="auto" w:fill="CCEEFF"/>
          </w:tcPr>
          <w:p>
            <w:pPr>
              <w:jc w:val="right"/>
              <w:ind w:right="66"/>
              <w:spacing w:after="0"/>
              <w:rPr>
                <w:sz w:val="20"/>
                <w:szCs w:val="20"/>
                <w:color w:val="auto"/>
              </w:rPr>
            </w:pPr>
            <w:r>
              <w:rPr>
                <w:rFonts w:ascii="Arial" w:cs="Arial" w:eastAsia="Arial" w:hAnsi="Arial"/>
                <w:sz w:val="11"/>
                <w:szCs w:val="11"/>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2,032</w:t>
            </w:r>
          </w:p>
        </w:tc>
        <w:tc>
          <w:tcPr>
            <w:tcW w:w="440" w:type="dxa"/>
            <w:vAlign w:val="bottom"/>
            <w:gridSpan w:val="3"/>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42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26</w:t>
            </w:r>
          </w:p>
        </w:tc>
        <w:tc>
          <w:tcPr>
            <w:tcW w:w="400" w:type="dxa"/>
            <w:vAlign w:val="bottom"/>
            <w:gridSpan w:val="3"/>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940" w:type="dxa"/>
            <w:vAlign w:val="bottom"/>
            <w:shd w:val="clear" w:color="auto" w:fill="CCEEFF"/>
          </w:tcPr>
          <w:p>
            <w:pPr>
              <w:jc w:val="right"/>
              <w:ind w:right="44"/>
              <w:spacing w:after="0"/>
              <w:rPr>
                <w:sz w:val="20"/>
                <w:szCs w:val="20"/>
                <w:color w:val="auto"/>
              </w:rPr>
            </w:pPr>
            <w:r>
              <w:rPr>
                <w:rFonts w:ascii="Arial" w:cs="Arial" w:eastAsia="Arial" w:hAnsi="Arial"/>
                <w:sz w:val="11"/>
                <w:szCs w:val="11"/>
                <w:color w:val="auto"/>
              </w:rPr>
              <w:t>166</w:t>
            </w:r>
          </w:p>
        </w:tc>
        <w:tc>
          <w:tcPr>
            <w:tcW w:w="0" w:type="dxa"/>
            <w:vAlign w:val="bottom"/>
          </w:tcPr>
          <w:p>
            <w:pPr>
              <w:spacing w:after="0"/>
              <w:rPr>
                <w:sz w:val="1"/>
                <w:szCs w:val="1"/>
                <w:color w:val="auto"/>
              </w:rPr>
            </w:pPr>
          </w:p>
        </w:tc>
      </w:tr>
      <w:tr>
        <w:trPr>
          <w:trHeight w:val="211"/>
        </w:trPr>
        <w:tc>
          <w:tcPr>
            <w:tcW w:w="4020" w:type="dxa"/>
            <w:vAlign w:val="bottom"/>
          </w:tcPr>
          <w:p>
            <w:pPr>
              <w:ind w:left="20"/>
              <w:spacing w:after="0"/>
              <w:rPr>
                <w:sz w:val="20"/>
                <w:szCs w:val="20"/>
                <w:color w:val="auto"/>
              </w:rPr>
            </w:pPr>
            <w:r>
              <w:rPr>
                <w:rFonts w:ascii="Arial" w:cs="Arial" w:eastAsia="Arial" w:hAnsi="Arial"/>
                <w:sz w:val="11"/>
                <w:szCs w:val="11"/>
                <w:color w:val="auto"/>
              </w:rPr>
              <w:t>Energy Services</w:t>
            </w:r>
          </w:p>
        </w:tc>
        <w:tc>
          <w:tcPr>
            <w:tcW w:w="18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1"/>
                <w:szCs w:val="11"/>
                <w:color w:val="auto"/>
              </w:rPr>
              <w:t>2,755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ind w:right="25"/>
              <w:spacing w:after="0"/>
              <w:rPr>
                <w:sz w:val="20"/>
                <w:szCs w:val="20"/>
                <w:color w:val="auto"/>
              </w:rPr>
            </w:pPr>
            <w:r>
              <w:rPr>
                <w:rFonts w:ascii="Arial" w:cs="Arial" w:eastAsia="Arial" w:hAnsi="Arial"/>
                <w:sz w:val="11"/>
                <w:szCs w:val="11"/>
                <w:color w:val="auto"/>
              </w:rPr>
              <w:t>91</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64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1"/>
                <w:szCs w:val="11"/>
                <w:color w:val="auto"/>
              </w:rPr>
              <w:t>3,008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1"/>
                <w:szCs w:val="11"/>
                <w:color w:val="auto"/>
              </w:rPr>
              <w:t>57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ind w:right="4"/>
              <w:spacing w:after="0"/>
              <w:rPr>
                <w:sz w:val="20"/>
                <w:szCs w:val="20"/>
                <w:color w:val="auto"/>
              </w:rPr>
            </w:pPr>
            <w:r>
              <w:rPr>
                <w:rFonts w:ascii="Arial" w:cs="Arial" w:eastAsia="Arial" w:hAnsi="Arial"/>
                <w:sz w:val="11"/>
                <w:szCs w:val="11"/>
                <w:color w:val="auto"/>
              </w:rPr>
              <w:t>(20)</w:t>
            </w:r>
          </w:p>
        </w:tc>
        <w:tc>
          <w:tcPr>
            <w:tcW w:w="0" w:type="dxa"/>
            <w:vAlign w:val="bottom"/>
          </w:tcPr>
          <w:p>
            <w:pPr>
              <w:spacing w:after="0"/>
              <w:rPr>
                <w:sz w:val="1"/>
                <w:szCs w:val="1"/>
                <w:color w:val="auto"/>
              </w:rPr>
            </w:pPr>
          </w:p>
        </w:tc>
      </w:tr>
      <w:tr>
        <w:trPr>
          <w:trHeight w:val="220"/>
        </w:trPr>
        <w:tc>
          <w:tcPr>
            <w:tcW w:w="4020" w:type="dxa"/>
            <w:vAlign w:val="bottom"/>
            <w:shd w:val="clear" w:color="auto" w:fill="CCEEFF"/>
          </w:tcPr>
          <w:p>
            <w:pPr>
              <w:ind w:left="20"/>
              <w:spacing w:after="0"/>
              <w:rPr>
                <w:sz w:val="20"/>
                <w:szCs w:val="20"/>
                <w:color w:val="auto"/>
              </w:rPr>
            </w:pPr>
            <w:r>
              <w:rPr>
                <w:rFonts w:ascii="Arial" w:cs="Arial" w:eastAsia="Arial" w:hAnsi="Arial"/>
                <w:sz w:val="11"/>
                <w:szCs w:val="11"/>
                <w:color w:val="auto"/>
              </w:rPr>
              <w:t>Corporate and Other</w:t>
            </w:r>
          </w:p>
        </w:tc>
        <w:tc>
          <w:tcPr>
            <w:tcW w:w="1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25"/>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44"/>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11"/>
        </w:trPr>
        <w:tc>
          <w:tcPr>
            <w:tcW w:w="402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Eliminations</w:t>
            </w: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(120)</w:t>
            </w: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gridSpan w:val="3"/>
          </w:tcPr>
          <w:p>
            <w:pPr>
              <w:jc w:val="right"/>
              <w:ind w:right="4"/>
              <w:spacing w:after="0"/>
              <w:rPr>
                <w:sz w:val="20"/>
                <w:szCs w:val="20"/>
                <w:color w:val="auto"/>
              </w:rPr>
            </w:pPr>
            <w:r>
              <w:rPr>
                <w:rFonts w:ascii="Arial" w:cs="Arial" w:eastAsia="Arial" w:hAnsi="Arial"/>
                <w:sz w:val="11"/>
                <w:szCs w:val="11"/>
                <w:color w:val="auto"/>
              </w:rPr>
              <w:t>(83)</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4"/>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89"/>
        </w:trPr>
        <w:tc>
          <w:tcPr>
            <w:tcW w:w="4020" w:type="dxa"/>
            <w:vAlign w:val="bottom"/>
            <w:shd w:val="clear" w:color="auto" w:fill="CCEEFF"/>
          </w:tcPr>
          <w:p>
            <w:pPr>
              <w:ind w:left="20"/>
              <w:spacing w:after="0"/>
              <w:rPr>
                <w:sz w:val="20"/>
                <w:szCs w:val="20"/>
                <w:color w:val="auto"/>
              </w:rPr>
            </w:pPr>
            <w:r>
              <w:rPr>
                <w:rFonts w:ascii="Arial" w:cs="Arial" w:eastAsia="Arial" w:hAnsi="Arial"/>
                <w:sz w:val="11"/>
                <w:szCs w:val="11"/>
                <w:color w:val="auto"/>
              </w:rPr>
              <w:t>Consolidated</w:t>
            </w:r>
          </w:p>
        </w:tc>
        <w:tc>
          <w:tcPr>
            <w:tcW w:w="18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w w:val="97"/>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4,836</w:t>
            </w:r>
          </w:p>
        </w:tc>
        <w:tc>
          <w:tcPr>
            <w:tcW w:w="360" w:type="dxa"/>
            <w:vAlign w:val="bottom"/>
            <w:gridSpan w:val="3"/>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1000" w:type="dxa"/>
            <w:vAlign w:val="bottom"/>
            <w:shd w:val="clear" w:color="auto" w:fill="CCEEFF"/>
          </w:tcPr>
          <w:p>
            <w:pPr>
              <w:jc w:val="right"/>
              <w:ind w:right="25"/>
              <w:spacing w:after="0"/>
              <w:rPr>
                <w:sz w:val="20"/>
                <w:szCs w:val="20"/>
                <w:color w:val="auto"/>
              </w:rPr>
            </w:pPr>
            <w:r>
              <w:rPr>
                <w:rFonts w:ascii="Arial" w:cs="Arial" w:eastAsia="Arial" w:hAnsi="Arial"/>
                <w:sz w:val="11"/>
                <w:szCs w:val="11"/>
                <w:color w:val="auto"/>
              </w:rPr>
              <w:t>—</w:t>
            </w:r>
          </w:p>
        </w:tc>
        <w:tc>
          <w:tcPr>
            <w:tcW w:w="340" w:type="dxa"/>
            <w:vAlign w:val="bottom"/>
            <w:gridSpan w:val="3"/>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277</w:t>
            </w:r>
          </w:p>
        </w:tc>
        <w:tc>
          <w:tcPr>
            <w:tcW w:w="400" w:type="dxa"/>
            <w:vAlign w:val="bottom"/>
            <w:gridSpan w:val="3"/>
            <w:shd w:val="clear" w:color="auto" w:fill="CCEEFF"/>
          </w:tcPr>
          <w:p>
            <w:pPr>
              <w:jc w:val="right"/>
              <w:ind w:right="66"/>
              <w:spacing w:after="0"/>
              <w:rPr>
                <w:sz w:val="20"/>
                <w:szCs w:val="20"/>
                <w:color w:val="auto"/>
              </w:rPr>
            </w:pPr>
            <w:r>
              <w:rPr>
                <w:rFonts w:ascii="Arial" w:cs="Arial" w:eastAsia="Arial" w:hAnsi="Arial"/>
                <w:sz w:val="11"/>
                <w:szCs w:val="11"/>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5,040</w:t>
            </w:r>
          </w:p>
        </w:tc>
        <w:tc>
          <w:tcPr>
            <w:tcW w:w="440" w:type="dxa"/>
            <w:vAlign w:val="bottom"/>
            <w:gridSpan w:val="3"/>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420" w:type="dxa"/>
            <w:vAlign w:val="bottom"/>
            <w:shd w:val="clear" w:color="auto" w:fill="CCEEFF"/>
          </w:tcPr>
          <w:p>
            <w:pPr>
              <w:spacing w:after="0"/>
              <w:rPr>
                <w:sz w:val="16"/>
                <w:szCs w:val="16"/>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00" w:type="dxa"/>
            <w:vAlign w:val="bottom"/>
            <w:gridSpan w:val="3"/>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940" w:type="dxa"/>
            <w:vAlign w:val="bottom"/>
            <w:shd w:val="clear" w:color="auto" w:fill="CCEEFF"/>
          </w:tcPr>
          <w:p>
            <w:pPr>
              <w:jc w:val="right"/>
              <w:ind w:right="44"/>
              <w:spacing w:after="0"/>
              <w:rPr>
                <w:sz w:val="20"/>
                <w:szCs w:val="20"/>
                <w:color w:val="auto"/>
              </w:rPr>
            </w:pPr>
            <w:r>
              <w:rPr>
                <w:rFonts w:ascii="Arial" w:cs="Arial" w:eastAsia="Arial" w:hAnsi="Arial"/>
                <w:sz w:val="11"/>
                <w:szCs w:val="11"/>
                <w:color w:val="auto"/>
              </w:rPr>
              <w:t>146</w:t>
            </w: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4"/>
                <w:szCs w:val="14"/>
                <w:b w:val="1"/>
                <w:bCs w:val="1"/>
                <w:color w:val="auto"/>
              </w:rPr>
              <w:t>CenterPoint Energy and CERC</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40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4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gridSpan w:val="3"/>
          </w:tcPr>
          <w:p>
            <w:pPr>
              <w:jc w:val="right"/>
              <w:ind w:right="324"/>
              <w:spacing w:after="0"/>
              <w:rPr>
                <w:sz w:val="20"/>
                <w:szCs w:val="20"/>
                <w:color w:val="auto"/>
              </w:rPr>
            </w:pPr>
            <w:r>
              <w:rPr>
                <w:rFonts w:ascii="Arial" w:cs="Arial" w:eastAsia="Arial" w:hAnsi="Arial"/>
                <w:sz w:val="10"/>
                <w:szCs w:val="10"/>
                <w:b w:val="1"/>
                <w:bCs w:val="1"/>
                <w:color w:val="auto"/>
              </w:rPr>
              <w:t>Total Assets</w:t>
            </w: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4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220" w:type="dxa"/>
            <w:vAlign w:val="bottom"/>
            <w:tcBorders>
              <w:bottom w:val="single" w:sz="8" w:color="auto"/>
            </w:tcBorders>
            <w:gridSpan w:val="6"/>
          </w:tcPr>
          <w:p>
            <w:pPr>
              <w:jc w:val="right"/>
              <w:ind w:right="626"/>
              <w:spacing w:after="0"/>
              <w:rPr>
                <w:sz w:val="20"/>
                <w:szCs w:val="20"/>
                <w:color w:val="auto"/>
              </w:rPr>
            </w:pPr>
            <w:r>
              <w:rPr>
                <w:rFonts w:ascii="Arial" w:cs="Arial" w:eastAsia="Arial" w:hAnsi="Arial"/>
                <w:sz w:val="10"/>
                <w:szCs w:val="10"/>
                <w:b w:val="1"/>
                <w:bCs w:val="1"/>
                <w:color w:val="auto"/>
              </w:rPr>
              <w:t>September 30, 2019</w:t>
            </w: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6"/>
          </w:tcPr>
          <w:p>
            <w:pPr>
              <w:jc w:val="right"/>
              <w:ind w:right="180"/>
              <w:spacing w:after="0"/>
              <w:rPr>
                <w:sz w:val="20"/>
                <w:szCs w:val="20"/>
                <w:color w:val="auto"/>
              </w:rPr>
            </w:pPr>
            <w:r>
              <w:rPr>
                <w:rFonts w:ascii="Arial" w:cs="Arial" w:eastAsia="Arial" w:hAnsi="Arial"/>
                <w:sz w:val="10"/>
                <w:szCs w:val="10"/>
                <w:b w:val="1"/>
                <w:bCs w:val="1"/>
                <w:color w:val="auto"/>
              </w:rPr>
              <w:t>December 31, 2018</w:t>
            </w:r>
          </w:p>
        </w:tc>
        <w:tc>
          <w:tcPr>
            <w:tcW w:w="9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13"/>
        </w:trPr>
        <w:tc>
          <w:tcPr>
            <w:tcW w:w="40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0" w:type="dxa"/>
            <w:vAlign w:val="bottom"/>
          </w:tcPr>
          <w:p>
            <w:pPr>
              <w:jc w:val="right"/>
              <w:ind w:right="385"/>
              <w:spacing w:after="0" w:line="114" w:lineRule="exact"/>
              <w:rPr>
                <w:sz w:val="20"/>
                <w:szCs w:val="20"/>
                <w:color w:val="auto"/>
              </w:rPr>
            </w:pPr>
            <w:r>
              <w:rPr>
                <w:rFonts w:ascii="Arial" w:cs="Arial" w:eastAsia="Arial" w:hAnsi="Arial"/>
                <w:sz w:val="10"/>
                <w:szCs w:val="10"/>
                <w:b w:val="1"/>
                <w:bCs w:val="1"/>
                <w:color w:val="auto"/>
                <w:w w:val="95"/>
              </w:rPr>
              <w:t>CenterPoint</w:t>
            </w: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940" w:type="dxa"/>
            <w:vAlign w:val="bottom"/>
            <w:gridSpan w:val="4"/>
          </w:tcPr>
          <w:p>
            <w:pPr>
              <w:jc w:val="right"/>
              <w:spacing w:after="0" w:line="114" w:lineRule="exact"/>
              <w:rPr>
                <w:sz w:val="20"/>
                <w:szCs w:val="20"/>
                <w:color w:val="auto"/>
              </w:rPr>
            </w:pPr>
            <w:r>
              <w:rPr>
                <w:rFonts w:ascii="Arial" w:cs="Arial" w:eastAsia="Arial" w:hAnsi="Arial"/>
                <w:sz w:val="10"/>
                <w:szCs w:val="10"/>
                <w:b w:val="1"/>
                <w:bCs w:val="1"/>
                <w:color w:val="auto"/>
              </w:rPr>
              <w:t>CenterPoint</w:t>
            </w: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6"/>
        </w:trPr>
        <w:tc>
          <w:tcPr>
            <w:tcW w:w="40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right"/>
              <w:ind w:right="465"/>
              <w:spacing w:after="0"/>
              <w:rPr>
                <w:sz w:val="20"/>
                <w:szCs w:val="20"/>
                <w:color w:val="auto"/>
              </w:rPr>
            </w:pPr>
            <w:r>
              <w:rPr>
                <w:rFonts w:ascii="Arial" w:cs="Arial" w:eastAsia="Arial" w:hAnsi="Arial"/>
                <w:sz w:val="10"/>
                <w:szCs w:val="10"/>
                <w:b w:val="1"/>
                <w:bCs w:val="1"/>
                <w:color w:val="auto"/>
              </w:rPr>
              <w:t>Energy</w:t>
            </w:r>
          </w:p>
        </w:tc>
        <w:tc>
          <w:tcPr>
            <w:tcW w:w="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ind w:right="46"/>
              <w:spacing w:after="0"/>
              <w:rPr>
                <w:sz w:val="20"/>
                <w:szCs w:val="20"/>
                <w:color w:val="auto"/>
              </w:rPr>
            </w:pPr>
            <w:r>
              <w:rPr>
                <w:rFonts w:ascii="Arial" w:cs="Arial" w:eastAsia="Arial" w:hAnsi="Arial"/>
                <w:sz w:val="10"/>
                <w:szCs w:val="10"/>
                <w:b w:val="1"/>
                <w:bCs w:val="1"/>
                <w:color w:val="auto"/>
              </w:rPr>
              <w:t>CERC</w:t>
            </w:r>
          </w:p>
        </w:tc>
        <w:tc>
          <w:tcPr>
            <w:tcW w:w="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0"/>
                <w:szCs w:val="10"/>
                <w:b w:val="1"/>
                <w:bCs w:val="1"/>
                <w:color w:val="auto"/>
                <w:w w:val="94"/>
              </w:rPr>
              <w:t>Energy</w:t>
            </w:r>
          </w:p>
        </w:tc>
        <w:tc>
          <w:tcPr>
            <w:tcW w:w="42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ind w:right="484"/>
              <w:spacing w:after="0"/>
              <w:rPr>
                <w:sz w:val="20"/>
                <w:szCs w:val="20"/>
                <w:color w:val="auto"/>
              </w:rPr>
            </w:pPr>
            <w:r>
              <w:rPr>
                <w:rFonts w:ascii="Arial" w:cs="Arial" w:eastAsia="Arial" w:hAnsi="Arial"/>
                <w:sz w:val="10"/>
                <w:szCs w:val="10"/>
                <w:b w:val="1"/>
                <w:bCs w:val="1"/>
                <w:color w:val="auto"/>
              </w:rPr>
              <w:t>CERC</w:t>
            </w:r>
          </w:p>
        </w:tc>
        <w:tc>
          <w:tcPr>
            <w:tcW w:w="0" w:type="dxa"/>
            <w:vAlign w:val="bottom"/>
          </w:tcPr>
          <w:p>
            <w:pPr>
              <w:spacing w:after="0"/>
              <w:rPr>
                <w:sz w:val="1"/>
                <w:szCs w:val="1"/>
                <w:color w:val="auto"/>
              </w:rPr>
            </w:pPr>
          </w:p>
        </w:tc>
      </w:tr>
      <w:tr>
        <w:trPr>
          <w:trHeight w:val="198"/>
        </w:trPr>
        <w:tc>
          <w:tcPr>
            <w:tcW w:w="4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3"/>
          </w:tcPr>
          <w:p>
            <w:pPr>
              <w:jc w:val="right"/>
              <w:ind w:right="284"/>
              <w:spacing w:after="0"/>
              <w:rPr>
                <w:sz w:val="20"/>
                <w:szCs w:val="20"/>
                <w:color w:val="auto"/>
              </w:rPr>
            </w:pPr>
            <w:r>
              <w:rPr>
                <w:rFonts w:ascii="Arial" w:cs="Arial" w:eastAsia="Arial" w:hAnsi="Arial"/>
                <w:sz w:val="11"/>
                <w:szCs w:val="11"/>
                <w:b w:val="1"/>
                <w:bCs w:val="1"/>
                <w:color w:val="auto"/>
              </w:rPr>
              <w:t>(in millions)</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4020" w:type="dxa"/>
            <w:vAlign w:val="bottom"/>
            <w:shd w:val="clear" w:color="auto" w:fill="CCEEFF"/>
          </w:tcPr>
          <w:p>
            <w:pPr>
              <w:ind w:left="20"/>
              <w:spacing w:after="0"/>
              <w:rPr>
                <w:sz w:val="20"/>
                <w:szCs w:val="20"/>
                <w:color w:val="auto"/>
              </w:rPr>
            </w:pPr>
            <w:r>
              <w:rPr>
                <w:rFonts w:ascii="Arial" w:cs="Arial" w:eastAsia="Arial" w:hAnsi="Arial"/>
                <w:sz w:val="11"/>
                <w:szCs w:val="11"/>
                <w:color w:val="auto"/>
              </w:rPr>
              <w:t>Houston Electric T&amp;D</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jc w:val="right"/>
              <w:ind w:right="14"/>
              <w:spacing w:after="0"/>
              <w:rPr>
                <w:sz w:val="20"/>
                <w:szCs w:val="20"/>
                <w:color w:val="auto"/>
              </w:rPr>
            </w:pPr>
            <w:r>
              <w:rPr>
                <w:rFonts w:ascii="Arial" w:cs="Arial" w:eastAsia="Arial" w:hAnsi="Arial"/>
                <w:sz w:val="5"/>
                <w:szCs w:val="5"/>
                <w:color w:val="auto"/>
                <w:w w:val="70"/>
              </w:rPr>
              <w:t>$</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65"/>
              <w:spacing w:after="0"/>
              <w:rPr>
                <w:sz w:val="20"/>
                <w:szCs w:val="20"/>
                <w:color w:val="auto"/>
              </w:rPr>
            </w:pPr>
            <w:r>
              <w:rPr>
                <w:rFonts w:ascii="Arial" w:cs="Arial" w:eastAsia="Arial" w:hAnsi="Arial"/>
                <w:sz w:val="11"/>
                <w:szCs w:val="11"/>
                <w:color w:val="auto"/>
              </w:rPr>
              <w:t>11,463</w:t>
            </w:r>
          </w:p>
        </w:tc>
        <w:tc>
          <w:tcPr>
            <w:tcW w:w="460" w:type="dxa"/>
            <w:vAlign w:val="bottom"/>
            <w:gridSpan w:val="4"/>
            <w:shd w:val="clear" w:color="auto" w:fill="CCEEFF"/>
          </w:tcPr>
          <w:p>
            <w:pPr>
              <w:jc w:val="right"/>
              <w:ind w:right="40"/>
              <w:spacing w:after="0"/>
              <w:rPr>
                <w:sz w:val="20"/>
                <w:szCs w:val="20"/>
                <w:color w:val="auto"/>
              </w:rPr>
            </w:pPr>
            <w:r>
              <w:rPr>
                <w:rFonts w:ascii="Arial" w:cs="Arial" w:eastAsia="Arial" w:hAnsi="Arial"/>
                <w:sz w:val="11"/>
                <w:szCs w:val="11"/>
                <w:color w:val="auto"/>
              </w:rPr>
              <w:t>$</w:t>
            </w: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gridSpan w:val="2"/>
            <w:shd w:val="clear" w:color="auto" w:fill="CCEEFF"/>
          </w:tcPr>
          <w:p>
            <w:pPr>
              <w:jc w:val="right"/>
              <w:ind w:right="66"/>
              <w:spacing w:after="0"/>
              <w:rPr>
                <w:sz w:val="20"/>
                <w:szCs w:val="20"/>
                <w:color w:val="auto"/>
              </w:rPr>
            </w:pPr>
            <w:r>
              <w:rPr>
                <w:rFonts w:ascii="Arial" w:cs="Arial" w:eastAsia="Arial" w:hAnsi="Arial"/>
                <w:sz w:val="11"/>
                <w:szCs w:val="11"/>
                <w:color w:val="auto"/>
              </w:rPr>
              <w:t>—</w:t>
            </w:r>
          </w:p>
        </w:tc>
        <w:tc>
          <w:tcPr>
            <w:tcW w:w="840" w:type="dxa"/>
            <w:vAlign w:val="bottom"/>
            <w:gridSpan w:val="2"/>
            <w:shd w:val="clear" w:color="auto" w:fill="CCEEFF"/>
          </w:tcPr>
          <w:p>
            <w:pPr>
              <w:jc w:val="right"/>
              <w:ind w:right="364"/>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w w:val="89"/>
              </w:rPr>
              <w:t>10,509</w:t>
            </w:r>
          </w:p>
        </w:tc>
        <w:tc>
          <w:tcPr>
            <w:tcW w:w="3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44"/>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11"/>
        </w:trPr>
        <w:tc>
          <w:tcPr>
            <w:tcW w:w="4020" w:type="dxa"/>
            <w:vAlign w:val="bottom"/>
          </w:tcPr>
          <w:p>
            <w:pPr>
              <w:ind w:left="20"/>
              <w:spacing w:after="0"/>
              <w:rPr>
                <w:sz w:val="20"/>
                <w:szCs w:val="20"/>
                <w:color w:val="auto"/>
              </w:rPr>
            </w:pPr>
            <w:r>
              <w:rPr>
                <w:rFonts w:ascii="Arial" w:cs="Arial" w:eastAsia="Arial" w:hAnsi="Arial"/>
                <w:sz w:val="11"/>
                <w:szCs w:val="11"/>
                <w:color w:val="auto"/>
              </w:rPr>
              <w:t xml:space="preserve">Indiana Electric Integrated </w:t>
            </w:r>
            <w:r>
              <w:rPr>
                <w:rFonts w:ascii="Arial" w:cs="Arial" w:eastAsia="Arial" w:hAnsi="Arial"/>
                <w:sz w:val="8"/>
                <w:szCs w:val="8"/>
                <w:color w:val="auto"/>
              </w:rPr>
              <w:t>(1)</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ind w:right="65"/>
              <w:spacing w:after="0"/>
              <w:rPr>
                <w:sz w:val="20"/>
                <w:szCs w:val="20"/>
                <w:color w:val="auto"/>
              </w:rPr>
            </w:pPr>
            <w:r>
              <w:rPr>
                <w:rFonts w:ascii="Arial" w:cs="Arial" w:eastAsia="Arial" w:hAnsi="Arial"/>
                <w:sz w:val="11"/>
                <w:szCs w:val="11"/>
                <w:color w:val="auto"/>
              </w:rPr>
              <w:t>3,009</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gridSpan w:val="2"/>
          </w:tcPr>
          <w:p>
            <w:pPr>
              <w:jc w:val="right"/>
              <w:ind w:right="66"/>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ind w:right="44"/>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20"/>
        </w:trPr>
        <w:tc>
          <w:tcPr>
            <w:tcW w:w="4020" w:type="dxa"/>
            <w:vAlign w:val="bottom"/>
            <w:shd w:val="clear" w:color="auto" w:fill="CCEEFF"/>
          </w:tcPr>
          <w:p>
            <w:pPr>
              <w:ind w:left="20"/>
              <w:spacing w:after="0"/>
              <w:rPr>
                <w:sz w:val="20"/>
                <w:szCs w:val="20"/>
                <w:color w:val="auto"/>
              </w:rPr>
            </w:pPr>
            <w:r>
              <w:rPr>
                <w:rFonts w:ascii="Arial" w:cs="Arial" w:eastAsia="Arial" w:hAnsi="Arial"/>
                <w:sz w:val="11"/>
                <w:szCs w:val="11"/>
                <w:color w:val="auto"/>
              </w:rPr>
              <w:t xml:space="preserve">Natural Gas Distribution </w:t>
            </w:r>
            <w:r>
              <w:rPr>
                <w:rFonts w:ascii="Arial" w:cs="Arial" w:eastAsia="Arial" w:hAnsi="Arial"/>
                <w:sz w:val="8"/>
                <w:szCs w:val="8"/>
                <w:color w:val="auto"/>
              </w:rPr>
              <w:t>(1)</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65"/>
              <w:spacing w:after="0"/>
              <w:rPr>
                <w:sz w:val="20"/>
                <w:szCs w:val="20"/>
                <w:color w:val="auto"/>
              </w:rPr>
            </w:pPr>
            <w:r>
              <w:rPr>
                <w:rFonts w:ascii="Arial" w:cs="Arial" w:eastAsia="Arial" w:hAnsi="Arial"/>
                <w:sz w:val="11"/>
                <w:szCs w:val="11"/>
                <w:color w:val="auto"/>
              </w:rPr>
              <w:t>13,235</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00" w:type="dxa"/>
            <w:vAlign w:val="bottom"/>
            <w:gridSpan w:val="3"/>
            <w:shd w:val="clear" w:color="auto" w:fill="CCEEFF"/>
          </w:tcPr>
          <w:p>
            <w:pPr>
              <w:jc w:val="right"/>
              <w:ind w:right="66"/>
              <w:spacing w:after="0"/>
              <w:rPr>
                <w:sz w:val="20"/>
                <w:szCs w:val="20"/>
                <w:color w:val="auto"/>
              </w:rPr>
            </w:pPr>
            <w:r>
              <w:rPr>
                <w:rFonts w:ascii="Arial" w:cs="Arial" w:eastAsia="Arial" w:hAnsi="Arial"/>
                <w:sz w:val="11"/>
                <w:szCs w:val="11"/>
                <w:color w:val="auto"/>
                <w:w w:val="94"/>
              </w:rPr>
              <w:t>7,018</w:t>
            </w:r>
          </w:p>
        </w:tc>
        <w:tc>
          <w:tcPr>
            <w:tcW w:w="3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6,956</w:t>
            </w:r>
          </w:p>
        </w:tc>
        <w:tc>
          <w:tcPr>
            <w:tcW w:w="3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44"/>
              <w:spacing w:after="0"/>
              <w:rPr>
                <w:sz w:val="20"/>
                <w:szCs w:val="20"/>
                <w:color w:val="auto"/>
              </w:rPr>
            </w:pPr>
            <w:r>
              <w:rPr>
                <w:rFonts w:ascii="Arial" w:cs="Arial" w:eastAsia="Arial" w:hAnsi="Arial"/>
                <w:sz w:val="11"/>
                <w:szCs w:val="11"/>
                <w:color w:val="auto"/>
              </w:rPr>
              <w:t>6,956</w:t>
            </w:r>
          </w:p>
        </w:tc>
        <w:tc>
          <w:tcPr>
            <w:tcW w:w="0" w:type="dxa"/>
            <w:vAlign w:val="bottom"/>
          </w:tcPr>
          <w:p>
            <w:pPr>
              <w:spacing w:after="0"/>
              <w:rPr>
                <w:sz w:val="1"/>
                <w:szCs w:val="1"/>
                <w:color w:val="auto"/>
              </w:rPr>
            </w:pPr>
          </w:p>
        </w:tc>
      </w:tr>
      <w:tr>
        <w:trPr>
          <w:trHeight w:val="211"/>
        </w:trPr>
        <w:tc>
          <w:tcPr>
            <w:tcW w:w="4020" w:type="dxa"/>
            <w:vAlign w:val="bottom"/>
          </w:tcPr>
          <w:p>
            <w:pPr>
              <w:ind w:left="20"/>
              <w:spacing w:after="0"/>
              <w:rPr>
                <w:sz w:val="20"/>
                <w:szCs w:val="20"/>
                <w:color w:val="auto"/>
              </w:rPr>
            </w:pPr>
            <w:r>
              <w:rPr>
                <w:rFonts w:ascii="Arial" w:cs="Arial" w:eastAsia="Arial" w:hAnsi="Arial"/>
                <w:sz w:val="11"/>
                <w:szCs w:val="11"/>
                <w:color w:val="auto"/>
              </w:rPr>
              <w:t>Energy Services</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ind w:right="65"/>
              <w:spacing w:after="0"/>
              <w:rPr>
                <w:sz w:val="20"/>
                <w:szCs w:val="20"/>
                <w:color w:val="auto"/>
              </w:rPr>
            </w:pPr>
            <w:r>
              <w:rPr>
                <w:rFonts w:ascii="Arial" w:cs="Arial" w:eastAsia="Arial" w:hAnsi="Arial"/>
                <w:sz w:val="11"/>
                <w:szCs w:val="11"/>
                <w:color w:val="auto"/>
              </w:rPr>
              <w:t>1,264</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gridSpan w:val="3"/>
          </w:tcPr>
          <w:p>
            <w:pPr>
              <w:jc w:val="right"/>
              <w:ind w:right="66"/>
              <w:spacing w:after="0"/>
              <w:rPr>
                <w:sz w:val="20"/>
                <w:szCs w:val="20"/>
                <w:color w:val="auto"/>
              </w:rPr>
            </w:pPr>
            <w:r>
              <w:rPr>
                <w:rFonts w:ascii="Arial" w:cs="Arial" w:eastAsia="Arial" w:hAnsi="Arial"/>
                <w:sz w:val="11"/>
                <w:szCs w:val="11"/>
                <w:color w:val="auto"/>
                <w:w w:val="94"/>
              </w:rPr>
              <w:t>1,264</w:t>
            </w: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jc w:val="right"/>
              <w:ind w:right="46"/>
              <w:spacing w:after="0"/>
              <w:rPr>
                <w:sz w:val="20"/>
                <w:szCs w:val="20"/>
                <w:color w:val="auto"/>
              </w:rPr>
            </w:pPr>
            <w:r>
              <w:rPr>
                <w:rFonts w:ascii="Arial" w:cs="Arial" w:eastAsia="Arial" w:hAnsi="Arial"/>
                <w:sz w:val="11"/>
                <w:szCs w:val="11"/>
                <w:color w:val="auto"/>
              </w:rPr>
              <w:t>1,558</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ind w:right="44"/>
              <w:spacing w:after="0"/>
              <w:rPr>
                <w:sz w:val="20"/>
                <w:szCs w:val="20"/>
                <w:color w:val="auto"/>
              </w:rPr>
            </w:pPr>
            <w:r>
              <w:rPr>
                <w:rFonts w:ascii="Arial" w:cs="Arial" w:eastAsia="Arial" w:hAnsi="Arial"/>
                <w:sz w:val="11"/>
                <w:szCs w:val="11"/>
                <w:color w:val="auto"/>
              </w:rPr>
              <w:t>1,558</w:t>
            </w:r>
          </w:p>
        </w:tc>
        <w:tc>
          <w:tcPr>
            <w:tcW w:w="0" w:type="dxa"/>
            <w:vAlign w:val="bottom"/>
          </w:tcPr>
          <w:p>
            <w:pPr>
              <w:spacing w:after="0"/>
              <w:rPr>
                <w:sz w:val="1"/>
                <w:szCs w:val="1"/>
                <w:color w:val="auto"/>
              </w:rPr>
            </w:pPr>
          </w:p>
        </w:tc>
      </w:tr>
      <w:tr>
        <w:trPr>
          <w:trHeight w:val="220"/>
        </w:trPr>
        <w:tc>
          <w:tcPr>
            <w:tcW w:w="4020" w:type="dxa"/>
            <w:vAlign w:val="bottom"/>
            <w:shd w:val="clear" w:color="auto" w:fill="CCEEFF"/>
          </w:tcPr>
          <w:p>
            <w:pPr>
              <w:ind w:left="20"/>
              <w:spacing w:after="0"/>
              <w:rPr>
                <w:sz w:val="20"/>
                <w:szCs w:val="20"/>
                <w:color w:val="auto"/>
              </w:rPr>
            </w:pPr>
            <w:r>
              <w:rPr>
                <w:rFonts w:ascii="Arial" w:cs="Arial" w:eastAsia="Arial" w:hAnsi="Arial"/>
                <w:sz w:val="11"/>
                <w:szCs w:val="11"/>
                <w:color w:val="auto"/>
              </w:rPr>
              <w:t xml:space="preserve">Infrastructure Services </w:t>
            </w:r>
            <w:r>
              <w:rPr>
                <w:rFonts w:ascii="Arial" w:cs="Arial" w:eastAsia="Arial" w:hAnsi="Arial"/>
                <w:sz w:val="8"/>
                <w:szCs w:val="8"/>
                <w:color w:val="auto"/>
              </w:rPr>
              <w:t>(1)</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65"/>
              <w:spacing w:after="0"/>
              <w:rPr>
                <w:sz w:val="20"/>
                <w:szCs w:val="20"/>
                <w:color w:val="auto"/>
              </w:rPr>
            </w:pPr>
            <w:r>
              <w:rPr>
                <w:rFonts w:ascii="Arial" w:cs="Arial" w:eastAsia="Arial" w:hAnsi="Arial"/>
                <w:sz w:val="11"/>
                <w:szCs w:val="11"/>
                <w:color w:val="auto"/>
              </w:rPr>
              <w:t>1,284</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gridSpan w:val="2"/>
            <w:shd w:val="clear" w:color="auto" w:fill="CCEEFF"/>
          </w:tcPr>
          <w:p>
            <w:pPr>
              <w:jc w:val="right"/>
              <w:ind w:right="66"/>
              <w:spacing w:after="0"/>
              <w:rPr>
                <w:sz w:val="20"/>
                <w:szCs w:val="20"/>
                <w:color w:val="auto"/>
              </w:rPr>
            </w:pPr>
            <w:r>
              <w:rPr>
                <w:rFonts w:ascii="Arial" w:cs="Arial" w:eastAsia="Arial" w:hAnsi="Arial"/>
                <w:sz w:val="11"/>
                <w:szCs w:val="11"/>
                <w:color w:val="auto"/>
              </w:rPr>
              <w:t>—</w:t>
            </w:r>
          </w:p>
        </w:tc>
        <w:tc>
          <w:tcPr>
            <w:tcW w:w="3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w:t>
            </w:r>
          </w:p>
        </w:tc>
        <w:tc>
          <w:tcPr>
            <w:tcW w:w="3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44"/>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11"/>
        </w:trPr>
        <w:tc>
          <w:tcPr>
            <w:tcW w:w="4020" w:type="dxa"/>
            <w:vAlign w:val="bottom"/>
          </w:tcPr>
          <w:p>
            <w:pPr>
              <w:ind w:left="20"/>
              <w:spacing w:after="0"/>
              <w:rPr>
                <w:sz w:val="20"/>
                <w:szCs w:val="20"/>
                <w:color w:val="auto"/>
              </w:rPr>
            </w:pPr>
            <w:r>
              <w:rPr>
                <w:rFonts w:ascii="Arial" w:cs="Arial" w:eastAsia="Arial" w:hAnsi="Arial"/>
                <w:sz w:val="11"/>
                <w:szCs w:val="11"/>
                <w:color w:val="auto"/>
              </w:rPr>
              <w:t>Midstream Investments</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ind w:right="65"/>
              <w:spacing w:after="0"/>
              <w:rPr>
                <w:sz w:val="20"/>
                <w:szCs w:val="20"/>
                <w:color w:val="auto"/>
              </w:rPr>
            </w:pPr>
            <w:r>
              <w:rPr>
                <w:rFonts w:ascii="Arial" w:cs="Arial" w:eastAsia="Arial" w:hAnsi="Arial"/>
                <w:sz w:val="11"/>
                <w:szCs w:val="11"/>
                <w:color w:val="auto"/>
              </w:rPr>
              <w:t>2,529</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gridSpan w:val="2"/>
          </w:tcPr>
          <w:p>
            <w:pPr>
              <w:jc w:val="right"/>
              <w:ind w:right="66"/>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jc w:val="right"/>
              <w:ind w:right="46"/>
              <w:spacing w:after="0"/>
              <w:rPr>
                <w:sz w:val="20"/>
                <w:szCs w:val="20"/>
                <w:color w:val="auto"/>
              </w:rPr>
            </w:pPr>
            <w:r>
              <w:rPr>
                <w:rFonts w:ascii="Arial" w:cs="Arial" w:eastAsia="Arial" w:hAnsi="Arial"/>
                <w:sz w:val="11"/>
                <w:szCs w:val="11"/>
                <w:color w:val="auto"/>
              </w:rPr>
              <w:t>2,482</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ind w:right="44"/>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20"/>
        </w:trPr>
        <w:tc>
          <w:tcPr>
            <w:tcW w:w="4020" w:type="dxa"/>
            <w:vAlign w:val="bottom"/>
            <w:shd w:val="clear" w:color="auto" w:fill="CCEEFF"/>
          </w:tcPr>
          <w:p>
            <w:pPr>
              <w:ind w:left="20"/>
              <w:spacing w:after="0"/>
              <w:rPr>
                <w:sz w:val="20"/>
                <w:szCs w:val="20"/>
                <w:color w:val="auto"/>
              </w:rPr>
            </w:pPr>
            <w:r>
              <w:rPr>
                <w:rFonts w:ascii="Arial" w:cs="Arial" w:eastAsia="Arial" w:hAnsi="Arial"/>
                <w:sz w:val="11"/>
                <w:szCs w:val="11"/>
                <w:color w:val="auto"/>
              </w:rPr>
              <w:t xml:space="preserve">Corporate and Other </w:t>
            </w:r>
            <w:r>
              <w:rPr>
                <w:rFonts w:ascii="Arial" w:cs="Arial" w:eastAsia="Arial" w:hAnsi="Arial"/>
                <w:sz w:val="8"/>
                <w:szCs w:val="8"/>
                <w:color w:val="auto"/>
              </w:rPr>
              <w:t>(1)</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65"/>
              <w:spacing w:after="0"/>
              <w:rPr>
                <w:sz w:val="20"/>
                <w:szCs w:val="20"/>
                <w:color w:val="auto"/>
              </w:rPr>
            </w:pPr>
            <w:r>
              <w:rPr>
                <w:rFonts w:ascii="Arial" w:cs="Arial" w:eastAsia="Arial" w:hAnsi="Arial"/>
                <w:sz w:val="11"/>
                <w:szCs w:val="11"/>
                <w:color w:val="auto"/>
              </w:rPr>
              <w:t>4,884</w:t>
            </w:r>
          </w:p>
        </w:tc>
        <w:tc>
          <w:tcPr>
            <w:tcW w:w="160" w:type="dxa"/>
            <w:vAlign w:val="bottom"/>
            <w:gridSpan w:val="2"/>
            <w:shd w:val="clear" w:color="auto" w:fill="CCEEFF"/>
          </w:tcPr>
          <w:p>
            <w:pPr>
              <w:jc w:val="right"/>
              <w:ind w:right="40"/>
              <w:spacing w:after="0"/>
              <w:rPr>
                <w:sz w:val="20"/>
                <w:szCs w:val="20"/>
                <w:color w:val="auto"/>
              </w:rPr>
            </w:pPr>
            <w:r>
              <w:rPr>
                <w:rFonts w:ascii="Arial" w:cs="Arial" w:eastAsia="Arial" w:hAnsi="Arial"/>
                <w:sz w:val="9"/>
                <w:szCs w:val="9"/>
                <w:color w:val="auto"/>
                <w:w w:val="90"/>
              </w:rPr>
              <w:t>(2)</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00" w:type="dxa"/>
            <w:vAlign w:val="bottom"/>
            <w:gridSpan w:val="3"/>
            <w:shd w:val="clear" w:color="auto" w:fill="CCEEFF"/>
          </w:tcPr>
          <w:p>
            <w:pPr>
              <w:jc w:val="right"/>
              <w:ind w:right="66"/>
              <w:spacing w:after="0"/>
              <w:rPr>
                <w:sz w:val="20"/>
                <w:szCs w:val="20"/>
                <w:color w:val="auto"/>
              </w:rPr>
            </w:pPr>
            <w:r>
              <w:rPr>
                <w:rFonts w:ascii="Arial" w:cs="Arial" w:eastAsia="Arial" w:hAnsi="Arial"/>
                <w:sz w:val="11"/>
                <w:szCs w:val="11"/>
                <w:color w:val="auto"/>
              </w:rPr>
              <w:t>121</w:t>
            </w:r>
          </w:p>
        </w:tc>
        <w:tc>
          <w:tcPr>
            <w:tcW w:w="3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6,156</w:t>
            </w:r>
          </w:p>
        </w:tc>
        <w:tc>
          <w:tcPr>
            <w:tcW w:w="340" w:type="dxa"/>
            <w:vAlign w:val="bottom"/>
            <w:shd w:val="clear" w:color="auto" w:fill="CCEEFF"/>
          </w:tcPr>
          <w:p>
            <w:pPr>
              <w:jc w:val="right"/>
              <w:ind w:right="144"/>
              <w:spacing w:after="0"/>
              <w:rPr>
                <w:sz w:val="20"/>
                <w:szCs w:val="20"/>
                <w:color w:val="auto"/>
              </w:rPr>
            </w:pPr>
            <w:r>
              <w:rPr>
                <w:rFonts w:ascii="Arial" w:cs="Arial" w:eastAsia="Arial" w:hAnsi="Arial"/>
                <w:sz w:val="9"/>
                <w:szCs w:val="9"/>
                <w:color w:val="auto"/>
              </w:rPr>
              <w:t>(2)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44"/>
              <w:spacing w:after="0"/>
              <w:rPr>
                <w:sz w:val="20"/>
                <w:szCs w:val="20"/>
                <w:color w:val="auto"/>
              </w:rPr>
            </w:pPr>
            <w:r>
              <w:rPr>
                <w:rFonts w:ascii="Arial" w:cs="Arial" w:eastAsia="Arial" w:hAnsi="Arial"/>
                <w:sz w:val="11"/>
                <w:szCs w:val="11"/>
                <w:color w:val="auto"/>
              </w:rPr>
              <w:t>66</w:t>
            </w:r>
          </w:p>
        </w:tc>
        <w:tc>
          <w:tcPr>
            <w:tcW w:w="0" w:type="dxa"/>
            <w:vAlign w:val="bottom"/>
          </w:tcPr>
          <w:p>
            <w:pPr>
              <w:spacing w:after="0"/>
              <w:rPr>
                <w:sz w:val="1"/>
                <w:szCs w:val="1"/>
                <w:color w:val="auto"/>
              </w:rPr>
            </w:pPr>
          </w:p>
        </w:tc>
      </w:tr>
      <w:tr>
        <w:trPr>
          <w:trHeight w:val="211"/>
        </w:trPr>
        <w:tc>
          <w:tcPr>
            <w:tcW w:w="402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Eliminations</w:t>
            </w:r>
          </w:p>
        </w:tc>
        <w:tc>
          <w:tcPr>
            <w:tcW w:w="18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5"/>
              <w:spacing w:after="0"/>
              <w:rPr>
                <w:sz w:val="20"/>
                <w:szCs w:val="20"/>
                <w:color w:val="auto"/>
              </w:rPr>
            </w:pPr>
            <w:r>
              <w:rPr>
                <w:rFonts w:ascii="Arial" w:cs="Arial" w:eastAsia="Arial" w:hAnsi="Arial"/>
                <w:sz w:val="11"/>
                <w:szCs w:val="11"/>
                <w:color w:val="auto"/>
              </w:rPr>
              <w:t>(3,026)</w:t>
            </w: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gridSpan w:val="3"/>
          </w:tcPr>
          <w:p>
            <w:pPr>
              <w:jc w:val="right"/>
              <w:ind w:right="26"/>
              <w:spacing w:after="0"/>
              <w:rPr>
                <w:sz w:val="20"/>
                <w:szCs w:val="20"/>
                <w:color w:val="auto"/>
              </w:rPr>
            </w:pPr>
            <w:r>
              <w:rPr>
                <w:rFonts w:ascii="Arial" w:cs="Arial" w:eastAsia="Arial" w:hAnsi="Arial"/>
                <w:sz w:val="11"/>
                <w:szCs w:val="11"/>
                <w:color w:val="auto"/>
              </w:rPr>
              <w:t>(474)</w:t>
            </w:r>
          </w:p>
        </w:tc>
        <w:tc>
          <w:tcPr>
            <w:tcW w:w="34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(652)</w:t>
            </w:r>
          </w:p>
        </w:tc>
        <w:tc>
          <w:tcPr>
            <w:tcW w:w="34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(366)</w:t>
            </w:r>
          </w:p>
        </w:tc>
        <w:tc>
          <w:tcPr>
            <w:tcW w:w="0" w:type="dxa"/>
            <w:vAlign w:val="bottom"/>
          </w:tcPr>
          <w:p>
            <w:pPr>
              <w:spacing w:after="0"/>
              <w:rPr>
                <w:sz w:val="1"/>
                <w:szCs w:val="1"/>
                <w:color w:val="auto"/>
              </w:rPr>
            </w:pPr>
          </w:p>
        </w:tc>
      </w:tr>
      <w:tr>
        <w:trPr>
          <w:trHeight w:val="189"/>
        </w:trPr>
        <w:tc>
          <w:tcPr>
            <w:tcW w:w="4020" w:type="dxa"/>
            <w:vAlign w:val="bottom"/>
            <w:shd w:val="clear" w:color="auto" w:fill="CCEEFF"/>
          </w:tcPr>
          <w:p>
            <w:pPr>
              <w:ind w:left="20"/>
              <w:spacing w:after="0"/>
              <w:rPr>
                <w:sz w:val="20"/>
                <w:szCs w:val="20"/>
                <w:color w:val="auto"/>
              </w:rPr>
            </w:pPr>
            <w:r>
              <w:rPr>
                <w:rFonts w:ascii="Arial" w:cs="Arial" w:eastAsia="Arial" w:hAnsi="Arial"/>
                <w:sz w:val="11"/>
                <w:szCs w:val="11"/>
                <w:color w:val="auto"/>
              </w:rPr>
              <w:t>Consolidated</w:t>
            </w: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jc w:val="right"/>
              <w:ind w:right="14"/>
              <w:spacing w:after="0"/>
              <w:rPr>
                <w:sz w:val="20"/>
                <w:szCs w:val="20"/>
                <w:color w:val="auto"/>
              </w:rPr>
            </w:pPr>
            <w:r>
              <w:rPr>
                <w:rFonts w:ascii="Arial" w:cs="Arial" w:eastAsia="Arial" w:hAnsi="Arial"/>
                <w:sz w:val="5"/>
                <w:szCs w:val="5"/>
                <w:color w:val="auto"/>
                <w:w w:val="70"/>
              </w:rPr>
              <w:t>$</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65"/>
              <w:spacing w:after="0"/>
              <w:rPr>
                <w:sz w:val="20"/>
                <w:szCs w:val="20"/>
                <w:color w:val="auto"/>
              </w:rPr>
            </w:pPr>
            <w:r>
              <w:rPr>
                <w:rFonts w:ascii="Arial" w:cs="Arial" w:eastAsia="Arial" w:hAnsi="Arial"/>
                <w:sz w:val="11"/>
                <w:szCs w:val="11"/>
                <w:color w:val="auto"/>
              </w:rPr>
              <w:t>34,642</w:t>
            </w:r>
          </w:p>
        </w:tc>
        <w:tc>
          <w:tcPr>
            <w:tcW w:w="460" w:type="dxa"/>
            <w:vAlign w:val="bottom"/>
            <w:gridSpan w:val="4"/>
            <w:shd w:val="clear" w:color="auto" w:fill="CCEEFF"/>
          </w:tcPr>
          <w:p>
            <w:pPr>
              <w:jc w:val="right"/>
              <w:ind w:right="40"/>
              <w:spacing w:after="0"/>
              <w:rPr>
                <w:sz w:val="20"/>
                <w:szCs w:val="20"/>
                <w:color w:val="auto"/>
              </w:rPr>
            </w:pPr>
            <w:r>
              <w:rPr>
                <w:rFonts w:ascii="Arial" w:cs="Arial" w:eastAsia="Arial" w:hAnsi="Arial"/>
                <w:sz w:val="11"/>
                <w:szCs w:val="11"/>
                <w:color w:val="auto"/>
              </w:rPr>
              <w:t>$</w:t>
            </w:r>
          </w:p>
        </w:tc>
        <w:tc>
          <w:tcPr>
            <w:tcW w:w="760" w:type="dxa"/>
            <w:vAlign w:val="bottom"/>
            <w:shd w:val="clear" w:color="auto" w:fill="CCEEFF"/>
          </w:tcPr>
          <w:p>
            <w:pPr>
              <w:spacing w:after="0"/>
              <w:rPr>
                <w:sz w:val="16"/>
                <w:szCs w:val="16"/>
                <w:color w:val="auto"/>
              </w:rPr>
            </w:pPr>
          </w:p>
        </w:tc>
        <w:tc>
          <w:tcPr>
            <w:tcW w:w="400" w:type="dxa"/>
            <w:vAlign w:val="bottom"/>
            <w:gridSpan w:val="3"/>
            <w:shd w:val="clear" w:color="auto" w:fill="CCEEFF"/>
          </w:tcPr>
          <w:p>
            <w:pPr>
              <w:jc w:val="right"/>
              <w:ind w:right="66"/>
              <w:spacing w:after="0"/>
              <w:rPr>
                <w:sz w:val="20"/>
                <w:szCs w:val="20"/>
                <w:color w:val="auto"/>
              </w:rPr>
            </w:pPr>
            <w:r>
              <w:rPr>
                <w:rFonts w:ascii="Arial" w:cs="Arial" w:eastAsia="Arial" w:hAnsi="Arial"/>
                <w:sz w:val="11"/>
                <w:szCs w:val="11"/>
                <w:color w:val="auto"/>
                <w:w w:val="94"/>
              </w:rPr>
              <w:t>7,929</w:t>
            </w:r>
          </w:p>
        </w:tc>
        <w:tc>
          <w:tcPr>
            <w:tcW w:w="840" w:type="dxa"/>
            <w:vAlign w:val="bottom"/>
            <w:gridSpan w:val="2"/>
            <w:shd w:val="clear" w:color="auto" w:fill="CCEEFF"/>
          </w:tcPr>
          <w:p>
            <w:pPr>
              <w:jc w:val="right"/>
              <w:ind w:right="364"/>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2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w w:val="89"/>
              </w:rPr>
              <w:t>27,009</w:t>
            </w:r>
          </w:p>
        </w:tc>
        <w:tc>
          <w:tcPr>
            <w:tcW w:w="3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44"/>
              <w:spacing w:after="0"/>
              <w:rPr>
                <w:sz w:val="20"/>
                <w:szCs w:val="20"/>
                <w:color w:val="auto"/>
              </w:rPr>
            </w:pPr>
            <w:r>
              <w:rPr>
                <w:rFonts w:ascii="Arial" w:cs="Arial" w:eastAsia="Arial" w:hAnsi="Arial"/>
                <w:sz w:val="11"/>
                <w:szCs w:val="11"/>
                <w:color w:val="auto"/>
              </w:rPr>
              <w:t>8,214</w:t>
            </w: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4" w:lineRule="exact"/>
        <w:rPr>
          <w:sz w:val="20"/>
          <w:szCs w:val="20"/>
          <w:color w:val="auto"/>
        </w:rPr>
      </w:pPr>
    </w:p>
    <w:p>
      <w:pPr>
        <w:ind w:left="520" w:hanging="255"/>
        <w:spacing w:after="0" w:line="288" w:lineRule="auto"/>
        <w:tabs>
          <w:tab w:leader="none" w:pos="520" w:val="left"/>
        </w:tabs>
        <w:numPr>
          <w:ilvl w:val="0"/>
          <w:numId w:val="48"/>
        </w:numPr>
        <w:rPr>
          <w:rFonts w:ascii="Arial" w:cs="Arial" w:eastAsia="Arial" w:hAnsi="Arial"/>
          <w:sz w:val="14"/>
          <w:szCs w:val="14"/>
          <w:color w:val="auto"/>
        </w:rPr>
      </w:pPr>
      <w:r>
        <w:rPr>
          <w:rFonts w:ascii="Arial" w:cs="Arial" w:eastAsia="Arial" w:hAnsi="Arial"/>
          <w:sz w:val="14"/>
          <w:szCs w:val="14"/>
          <w:color w:val="auto"/>
        </w:rPr>
        <w:t>Total assets by reportable segment include assets acquired in the Merger, which are based on preliminary fair value estimates and allocations on the acquisition date and are subject to change. See Note 3.</w:t>
      </w:r>
    </w:p>
    <w:p>
      <w:pPr>
        <w:spacing w:after="0" w:line="130" w:lineRule="exact"/>
        <w:rPr>
          <w:rFonts w:ascii="Arial" w:cs="Arial" w:eastAsia="Arial" w:hAnsi="Arial"/>
          <w:sz w:val="14"/>
          <w:szCs w:val="14"/>
          <w:color w:val="auto"/>
        </w:rPr>
      </w:pPr>
    </w:p>
    <w:p>
      <w:pPr>
        <w:ind w:left="520" w:hanging="255"/>
        <w:spacing w:after="0" w:line="328" w:lineRule="auto"/>
        <w:tabs>
          <w:tab w:leader="none" w:pos="520" w:val="left"/>
        </w:tabs>
        <w:numPr>
          <w:ilvl w:val="0"/>
          <w:numId w:val="48"/>
        </w:numPr>
        <w:rPr>
          <w:rFonts w:ascii="Arial" w:cs="Arial" w:eastAsia="Arial" w:hAnsi="Arial"/>
          <w:sz w:val="13"/>
          <w:szCs w:val="13"/>
          <w:color w:val="auto"/>
        </w:rPr>
      </w:pPr>
      <w:r>
        <w:rPr>
          <w:rFonts w:ascii="Arial" w:cs="Arial" w:eastAsia="Arial" w:hAnsi="Arial"/>
          <w:sz w:val="13"/>
          <w:szCs w:val="13"/>
          <w:color w:val="auto"/>
        </w:rPr>
        <w:t>Includes pension and other postemployment-related regulatory assets of $625 million and $665 million, respectively, as of September 30, 2019 and December 31, 2018. Additionally, total assets as of December 31, 2018 included $3.9 billion of temporary investments included in Cash and cash equivalents on CenterPoint Energy’s Consolidated Balance Sheets.</w:t>
      </w: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58</w:t>
      </w:r>
    </w:p>
    <w:p>
      <w:pPr>
        <w:sectPr>
          <w:pgSz w:w="11900" w:h="16838" w:orient="portrait"/>
          <w:cols w:equalWidth="0" w:num="1">
            <w:col w:w="11460"/>
          </w:cols>
          <w:pgMar w:left="220" w:top="129" w:right="219" w:bottom="1440" w:gutter="0" w:footer="0" w:header="0"/>
        </w:sectPr>
      </w:pPr>
    </w:p>
    <w:bookmarkStart w:id="68" w:name="page69"/>
    <w:bookmarkEnd w:id="68"/>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201" w:lineRule="exact"/>
        <w:rPr>
          <w:sz w:val="20"/>
          <w:szCs w:val="20"/>
          <w:color w:val="auto"/>
        </w:rPr>
      </w:pPr>
    </w:p>
    <w:p>
      <w:pPr>
        <w:ind w:left="280" w:hanging="274"/>
        <w:spacing w:after="0"/>
        <w:tabs>
          <w:tab w:leader="none" w:pos="280" w:val="left"/>
        </w:tabs>
        <w:numPr>
          <w:ilvl w:val="0"/>
          <w:numId w:val="49"/>
        </w:numPr>
        <w:rPr>
          <w:rFonts w:ascii="Arial" w:cs="Arial" w:eastAsia="Arial" w:hAnsi="Arial"/>
          <w:sz w:val="14"/>
          <w:szCs w:val="14"/>
          <w:b w:val="1"/>
          <w:bCs w:val="1"/>
          <w:color w:val="auto"/>
        </w:rPr>
      </w:pPr>
      <w:r>
        <w:rPr>
          <w:rFonts w:ascii="Arial" w:cs="Arial" w:eastAsia="Arial" w:hAnsi="Arial"/>
          <w:sz w:val="14"/>
          <w:szCs w:val="14"/>
          <w:b w:val="1"/>
          <w:bCs w:val="1"/>
          <w:color w:val="auto"/>
        </w:rPr>
        <w:t>Supplemental Disclosure of Cash Flow Information</w:t>
      </w:r>
    </w:p>
    <w:p>
      <w:pPr>
        <w:spacing w:after="0" w:line="187" w:lineRule="exact"/>
        <w:rPr>
          <w:rFonts w:ascii="Arial" w:cs="Arial" w:eastAsia="Arial" w:hAnsi="Arial"/>
          <w:sz w:val="14"/>
          <w:szCs w:val="14"/>
          <w:b w:val="1"/>
          <w:bCs w:val="1"/>
          <w:color w:val="auto"/>
        </w:rPr>
      </w:pPr>
    </w:p>
    <w:p>
      <w:pPr>
        <w:ind w:left="260"/>
        <w:spacing w:after="0"/>
        <w:rPr>
          <w:rFonts w:ascii="Arial" w:cs="Arial" w:eastAsia="Arial" w:hAnsi="Arial"/>
          <w:sz w:val="14"/>
          <w:szCs w:val="14"/>
          <w:b w:val="1"/>
          <w:bCs w:val="1"/>
          <w:color w:val="auto"/>
        </w:rPr>
      </w:pPr>
      <w:r>
        <w:rPr>
          <w:rFonts w:ascii="Arial" w:cs="Arial" w:eastAsia="Arial" w:hAnsi="Arial"/>
          <w:sz w:val="14"/>
          <w:szCs w:val="14"/>
          <w:color w:val="auto"/>
        </w:rPr>
        <w:t>The table below provides supplemental disclosure of cash flow information:</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44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820" w:type="dxa"/>
            <w:vAlign w:val="bottom"/>
            <w:tcBorders>
              <w:bottom w:val="single" w:sz="8" w:color="auto"/>
            </w:tcBorders>
            <w:gridSpan w:val="3"/>
          </w:tcPr>
          <w:p>
            <w:pPr>
              <w:jc w:val="center"/>
              <w:spacing w:after="0"/>
              <w:rPr>
                <w:sz w:val="20"/>
                <w:szCs w:val="20"/>
                <w:color w:val="auto"/>
              </w:rPr>
            </w:pPr>
            <w:r>
              <w:rPr>
                <w:rFonts w:ascii="Arial" w:cs="Arial" w:eastAsia="Arial" w:hAnsi="Arial"/>
                <w:sz w:val="11"/>
                <w:szCs w:val="11"/>
                <w:b w:val="1"/>
                <w:bCs w:val="1"/>
                <w:color w:val="auto"/>
                <w:w w:val="95"/>
              </w:rPr>
              <w:t>Nine Months Ended September 30,</w:t>
            </w:r>
          </w:p>
        </w:tc>
        <w:tc>
          <w:tcPr>
            <w:tcW w:w="3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r>
      <w:tr>
        <w:trPr>
          <w:trHeight w:val="206"/>
        </w:trPr>
        <w:tc>
          <w:tcPr>
            <w:tcW w:w="448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03"/>
              <w:spacing w:after="0"/>
              <w:rPr>
                <w:sz w:val="20"/>
                <w:szCs w:val="20"/>
                <w:color w:val="auto"/>
              </w:rPr>
            </w:pPr>
            <w:r>
              <w:rPr>
                <w:rFonts w:ascii="Arial" w:cs="Arial" w:eastAsia="Arial" w:hAnsi="Arial"/>
                <w:sz w:val="11"/>
                <w:szCs w:val="11"/>
                <w:b w:val="1"/>
                <w:bCs w:val="1"/>
                <w:color w:val="auto"/>
              </w:rPr>
              <w:t>2019</w:t>
            </w: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03"/>
              <w:spacing w:after="0"/>
              <w:rPr>
                <w:sz w:val="20"/>
                <w:szCs w:val="20"/>
                <w:color w:val="auto"/>
              </w:rPr>
            </w:pPr>
            <w:r>
              <w:rPr>
                <w:rFonts w:ascii="Arial" w:cs="Arial" w:eastAsia="Arial" w:hAnsi="Arial"/>
                <w:sz w:val="11"/>
                <w:szCs w:val="11"/>
                <w:b w:val="1"/>
                <w:bCs w:val="1"/>
                <w:color w:val="auto"/>
              </w:rPr>
              <w:t>2018</w:t>
            </w:r>
          </w:p>
        </w:tc>
        <w:tc>
          <w:tcPr>
            <w:tcW w:w="3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r>
      <w:tr>
        <w:trPr>
          <w:trHeight w:val="206"/>
        </w:trPr>
        <w:tc>
          <w:tcPr>
            <w:tcW w:w="448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b w:val="1"/>
                <w:bCs w:val="1"/>
                <w:color w:val="auto"/>
                <w:w w:val="95"/>
              </w:rPr>
              <w:t>CenterPoint Energy</w:t>
            </w: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b w:val="1"/>
                <w:bCs w:val="1"/>
                <w:color w:val="auto"/>
                <w:w w:val="93"/>
              </w:rPr>
              <w:t>Houston Electric</w:t>
            </w:r>
          </w:p>
        </w:tc>
        <w:tc>
          <w:tcPr>
            <w:tcW w:w="2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2"/>
          </w:tcPr>
          <w:p>
            <w:pPr>
              <w:ind w:left="220"/>
              <w:spacing w:after="0"/>
              <w:rPr>
                <w:sz w:val="20"/>
                <w:szCs w:val="20"/>
                <w:color w:val="auto"/>
              </w:rPr>
            </w:pPr>
            <w:r>
              <w:rPr>
                <w:rFonts w:ascii="Arial" w:cs="Arial" w:eastAsia="Arial" w:hAnsi="Arial"/>
                <w:sz w:val="11"/>
                <w:szCs w:val="11"/>
                <w:b w:val="1"/>
                <w:bCs w:val="1"/>
                <w:color w:val="auto"/>
              </w:rPr>
              <w:t>CERC</w:t>
            </w:r>
          </w:p>
        </w:tc>
        <w:tc>
          <w:tcPr>
            <w:tcW w:w="1160" w:type="dxa"/>
            <w:vAlign w:val="bottom"/>
            <w:tcBorders>
              <w:bottom w:val="single" w:sz="8" w:color="auto"/>
            </w:tcBorders>
            <w:gridSpan w:val="2"/>
          </w:tcPr>
          <w:p>
            <w:pPr>
              <w:jc w:val="right"/>
              <w:ind w:right="43"/>
              <w:spacing w:after="0"/>
              <w:rPr>
                <w:sz w:val="20"/>
                <w:szCs w:val="20"/>
                <w:color w:val="auto"/>
              </w:rPr>
            </w:pPr>
            <w:r>
              <w:rPr>
                <w:rFonts w:ascii="Arial" w:cs="Arial" w:eastAsia="Arial" w:hAnsi="Arial"/>
                <w:sz w:val="11"/>
                <w:szCs w:val="11"/>
                <w:b w:val="1"/>
                <w:bCs w:val="1"/>
                <w:color w:val="auto"/>
              </w:rPr>
              <w:t>CenterPoint Energy</w:t>
            </w: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b w:val="1"/>
                <w:bCs w:val="1"/>
                <w:color w:val="auto"/>
                <w:w w:val="91"/>
              </w:rPr>
              <w:t>Houston Electric</w:t>
            </w:r>
          </w:p>
        </w:tc>
        <w:tc>
          <w:tcPr>
            <w:tcW w:w="3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83"/>
              <w:spacing w:after="0"/>
              <w:rPr>
                <w:sz w:val="20"/>
                <w:szCs w:val="20"/>
                <w:color w:val="auto"/>
              </w:rPr>
            </w:pPr>
            <w:r>
              <w:rPr>
                <w:rFonts w:ascii="Arial" w:cs="Arial" w:eastAsia="Arial" w:hAnsi="Arial"/>
                <w:sz w:val="11"/>
                <w:szCs w:val="11"/>
                <w:b w:val="1"/>
                <w:bCs w:val="1"/>
                <w:color w:val="auto"/>
              </w:rPr>
              <w:t>CERC</w:t>
            </w:r>
          </w:p>
        </w:tc>
      </w:tr>
      <w:tr>
        <w:trPr>
          <w:trHeight w:val="191"/>
        </w:trPr>
        <w:tc>
          <w:tcPr>
            <w:tcW w:w="4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20" w:type="dxa"/>
            <w:vAlign w:val="bottom"/>
            <w:gridSpan w:val="3"/>
          </w:tcPr>
          <w:p>
            <w:pPr>
              <w:jc w:val="center"/>
              <w:spacing w:after="0"/>
              <w:rPr>
                <w:sz w:val="20"/>
                <w:szCs w:val="20"/>
                <w:color w:val="auto"/>
              </w:rPr>
            </w:pPr>
            <w:r>
              <w:rPr>
                <w:rFonts w:ascii="Arial" w:cs="Arial" w:eastAsia="Arial" w:hAnsi="Arial"/>
                <w:sz w:val="11"/>
                <w:szCs w:val="11"/>
                <w:b w:val="1"/>
                <w:bCs w:val="1"/>
                <w:color w:val="auto"/>
                <w:w w:val="97"/>
              </w:rPr>
              <w:t>(in millions)</w:t>
            </w: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220"/>
        </w:trPr>
        <w:tc>
          <w:tcPr>
            <w:tcW w:w="4480" w:type="dxa"/>
            <w:vAlign w:val="bottom"/>
          </w:tcPr>
          <w:p>
            <w:pPr>
              <w:ind w:left="140"/>
              <w:spacing w:after="0"/>
              <w:rPr>
                <w:sz w:val="20"/>
                <w:szCs w:val="20"/>
                <w:color w:val="auto"/>
              </w:rPr>
            </w:pPr>
            <w:r>
              <w:rPr>
                <w:rFonts w:ascii="Arial" w:cs="Arial" w:eastAsia="Arial" w:hAnsi="Arial"/>
                <w:sz w:val="11"/>
                <w:szCs w:val="11"/>
                <w:b w:val="1"/>
                <w:bCs w:val="1"/>
                <w:color w:val="auto"/>
              </w:rPr>
              <w:t>Cash Payments/Receipts:</w:t>
            </w:r>
          </w:p>
        </w:tc>
        <w:tc>
          <w:tcPr>
            <w:tcW w:w="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20"/>
        </w:trPr>
        <w:tc>
          <w:tcPr>
            <w:tcW w:w="4480" w:type="dxa"/>
            <w:vAlign w:val="bottom"/>
            <w:shd w:val="clear" w:color="auto" w:fill="CCEEFF"/>
          </w:tcPr>
          <w:p>
            <w:pPr>
              <w:ind w:left="220"/>
              <w:spacing w:after="0"/>
              <w:rPr>
                <w:sz w:val="20"/>
                <w:szCs w:val="20"/>
                <w:color w:val="auto"/>
              </w:rPr>
            </w:pPr>
            <w:r>
              <w:rPr>
                <w:rFonts w:ascii="Arial" w:cs="Arial" w:eastAsia="Arial" w:hAnsi="Arial"/>
                <w:sz w:val="11"/>
                <w:szCs w:val="11"/>
                <w:color w:val="auto"/>
              </w:rPr>
              <w:t>Interest, net of capitalized interest</w:t>
            </w:r>
          </w:p>
        </w:tc>
        <w:tc>
          <w:tcPr>
            <w:tcW w:w="8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10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364</w:t>
            </w:r>
          </w:p>
        </w:tc>
        <w:tc>
          <w:tcPr>
            <w:tcW w:w="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96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203</w:t>
            </w:r>
          </w:p>
        </w:tc>
        <w:tc>
          <w:tcPr>
            <w:tcW w:w="2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92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88</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663"/>
              <w:spacing w:after="0"/>
              <w:rPr>
                <w:sz w:val="20"/>
                <w:szCs w:val="20"/>
                <w:color w:val="auto"/>
              </w:rPr>
            </w:pPr>
            <w:r>
              <w:rPr>
                <w:rFonts w:ascii="Arial" w:cs="Arial" w:eastAsia="Arial" w:hAnsi="Arial"/>
                <w:sz w:val="11"/>
                <w:szCs w:val="11"/>
                <w:color w:val="auto"/>
                <w:w w:val="97"/>
              </w:rPr>
              <w:t>$</w:t>
            </w:r>
          </w:p>
        </w:tc>
        <w:tc>
          <w:tcPr>
            <w:tcW w:w="36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301</w:t>
            </w:r>
          </w:p>
        </w:tc>
        <w:tc>
          <w:tcPr>
            <w:tcW w:w="1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94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173</w:t>
            </w:r>
          </w:p>
        </w:tc>
        <w:tc>
          <w:tcPr>
            <w:tcW w:w="30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w:t>
            </w:r>
          </w:p>
        </w:tc>
        <w:tc>
          <w:tcPr>
            <w:tcW w:w="80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85</w:t>
            </w:r>
          </w:p>
        </w:tc>
      </w:tr>
      <w:tr>
        <w:trPr>
          <w:trHeight w:val="211"/>
        </w:trPr>
        <w:tc>
          <w:tcPr>
            <w:tcW w:w="4480" w:type="dxa"/>
            <w:vAlign w:val="bottom"/>
          </w:tcPr>
          <w:p>
            <w:pPr>
              <w:ind w:left="220"/>
              <w:spacing w:after="0"/>
              <w:rPr>
                <w:sz w:val="20"/>
                <w:szCs w:val="20"/>
                <w:color w:val="auto"/>
              </w:rPr>
            </w:pPr>
            <w:r>
              <w:rPr>
                <w:rFonts w:ascii="Arial" w:cs="Arial" w:eastAsia="Arial" w:hAnsi="Arial"/>
                <w:sz w:val="11"/>
                <w:szCs w:val="11"/>
                <w:color w:val="auto"/>
              </w:rPr>
              <w:t>Income taxes, net</w:t>
            </w:r>
          </w:p>
        </w:tc>
        <w:tc>
          <w:tcPr>
            <w:tcW w:w="80" w:type="dxa"/>
            <w:vAlign w:val="bottom"/>
          </w:tcPr>
          <w:p>
            <w:pPr>
              <w:spacing w:after="0"/>
              <w:rPr>
                <w:sz w:val="18"/>
                <w:szCs w:val="18"/>
                <w:color w:val="auto"/>
              </w:rPr>
            </w:pPr>
          </w:p>
        </w:tc>
        <w:tc>
          <w:tcPr>
            <w:tcW w:w="1100" w:type="dxa"/>
            <w:vAlign w:val="bottom"/>
          </w:tcPr>
          <w:p>
            <w:pPr>
              <w:jc w:val="right"/>
              <w:ind w:right="83"/>
              <w:spacing w:after="0"/>
              <w:rPr>
                <w:sz w:val="20"/>
                <w:szCs w:val="20"/>
                <w:color w:val="auto"/>
              </w:rPr>
            </w:pPr>
            <w:r>
              <w:rPr>
                <w:rFonts w:ascii="Arial" w:cs="Arial" w:eastAsia="Arial" w:hAnsi="Arial"/>
                <w:sz w:val="11"/>
                <w:szCs w:val="11"/>
                <w:color w:val="auto"/>
              </w:rPr>
              <w:t>174</w:t>
            </w:r>
          </w:p>
        </w:tc>
        <w:tc>
          <w:tcPr>
            <w:tcW w:w="200" w:type="dxa"/>
            <w:vAlign w:val="bottom"/>
          </w:tcPr>
          <w:p>
            <w:pPr>
              <w:spacing w:after="0"/>
              <w:rPr>
                <w:sz w:val="18"/>
                <w:szCs w:val="18"/>
                <w:color w:val="auto"/>
              </w:rPr>
            </w:pPr>
          </w:p>
        </w:tc>
        <w:tc>
          <w:tcPr>
            <w:tcW w:w="960" w:type="dxa"/>
            <w:vAlign w:val="bottom"/>
          </w:tcPr>
          <w:p>
            <w:pPr>
              <w:jc w:val="right"/>
              <w:ind w:right="83"/>
              <w:spacing w:after="0"/>
              <w:rPr>
                <w:sz w:val="20"/>
                <w:szCs w:val="20"/>
                <w:color w:val="auto"/>
              </w:rPr>
            </w:pPr>
            <w:r>
              <w:rPr>
                <w:rFonts w:ascii="Arial" w:cs="Arial" w:eastAsia="Arial" w:hAnsi="Arial"/>
                <w:sz w:val="11"/>
                <w:szCs w:val="11"/>
                <w:color w:val="auto"/>
              </w:rPr>
              <w:t>93</w:t>
            </w:r>
          </w:p>
        </w:tc>
        <w:tc>
          <w:tcPr>
            <w:tcW w:w="240" w:type="dxa"/>
            <w:vAlign w:val="bottom"/>
          </w:tcPr>
          <w:p>
            <w:pPr>
              <w:spacing w:after="0"/>
              <w:rPr>
                <w:sz w:val="18"/>
                <w:szCs w:val="18"/>
                <w:color w:val="auto"/>
              </w:rPr>
            </w:pPr>
          </w:p>
        </w:tc>
        <w:tc>
          <w:tcPr>
            <w:tcW w:w="920" w:type="dxa"/>
            <w:vAlign w:val="bottom"/>
          </w:tcPr>
          <w:p>
            <w:pPr>
              <w:jc w:val="right"/>
              <w:ind w:right="63"/>
              <w:spacing w:after="0"/>
              <w:rPr>
                <w:sz w:val="20"/>
                <w:szCs w:val="20"/>
                <w:color w:val="auto"/>
              </w:rPr>
            </w:pPr>
            <w:r>
              <w:rPr>
                <w:rFonts w:ascii="Arial" w:cs="Arial" w:eastAsia="Arial" w:hAnsi="Arial"/>
                <w:sz w:val="11"/>
                <w:szCs w:val="11"/>
                <w:color w:val="auto"/>
              </w:rPr>
              <w:t>3</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jc w:val="right"/>
              <w:ind w:right="63"/>
              <w:spacing w:after="0"/>
              <w:rPr>
                <w:sz w:val="20"/>
                <w:szCs w:val="20"/>
                <w:color w:val="auto"/>
              </w:rPr>
            </w:pPr>
            <w:r>
              <w:rPr>
                <w:rFonts w:ascii="Arial" w:cs="Arial" w:eastAsia="Arial" w:hAnsi="Arial"/>
                <w:sz w:val="11"/>
                <w:szCs w:val="11"/>
                <w:color w:val="auto"/>
              </w:rPr>
              <w:t>89</w:t>
            </w:r>
          </w:p>
        </w:tc>
        <w:tc>
          <w:tcPr>
            <w:tcW w:w="180" w:type="dxa"/>
            <w:vAlign w:val="bottom"/>
          </w:tcPr>
          <w:p>
            <w:pPr>
              <w:spacing w:after="0"/>
              <w:rPr>
                <w:sz w:val="18"/>
                <w:szCs w:val="18"/>
                <w:color w:val="auto"/>
              </w:rPr>
            </w:pPr>
          </w:p>
        </w:tc>
        <w:tc>
          <w:tcPr>
            <w:tcW w:w="940" w:type="dxa"/>
            <w:vAlign w:val="bottom"/>
          </w:tcPr>
          <w:p>
            <w:pPr>
              <w:jc w:val="right"/>
              <w:ind w:right="63"/>
              <w:spacing w:after="0"/>
              <w:rPr>
                <w:sz w:val="20"/>
                <w:szCs w:val="20"/>
                <w:color w:val="auto"/>
              </w:rPr>
            </w:pPr>
            <w:r>
              <w:rPr>
                <w:rFonts w:ascii="Arial" w:cs="Arial" w:eastAsia="Arial" w:hAnsi="Arial"/>
                <w:sz w:val="11"/>
                <w:szCs w:val="11"/>
                <w:color w:val="auto"/>
              </w:rPr>
              <w:t>122</w:t>
            </w:r>
          </w:p>
        </w:tc>
        <w:tc>
          <w:tcPr>
            <w:tcW w:w="300" w:type="dxa"/>
            <w:vAlign w:val="bottom"/>
          </w:tcPr>
          <w:p>
            <w:pPr>
              <w:spacing w:after="0"/>
              <w:rPr>
                <w:sz w:val="18"/>
                <w:szCs w:val="18"/>
                <w:color w:val="auto"/>
              </w:rPr>
            </w:pPr>
          </w:p>
        </w:tc>
        <w:tc>
          <w:tcPr>
            <w:tcW w:w="800" w:type="dxa"/>
            <w:vAlign w:val="bottom"/>
          </w:tcPr>
          <w:p>
            <w:pPr>
              <w:jc w:val="right"/>
              <w:ind w:right="43"/>
              <w:spacing w:after="0"/>
              <w:rPr>
                <w:sz w:val="20"/>
                <w:szCs w:val="20"/>
                <w:color w:val="auto"/>
              </w:rPr>
            </w:pPr>
            <w:r>
              <w:rPr>
                <w:rFonts w:ascii="Arial" w:cs="Arial" w:eastAsia="Arial" w:hAnsi="Arial"/>
                <w:sz w:val="11"/>
                <w:szCs w:val="11"/>
                <w:color w:val="auto"/>
              </w:rPr>
              <w:t>3</w:t>
            </w:r>
          </w:p>
        </w:tc>
      </w:tr>
      <w:tr>
        <w:trPr>
          <w:trHeight w:val="220"/>
        </w:trPr>
        <w:tc>
          <w:tcPr>
            <w:tcW w:w="4480" w:type="dxa"/>
            <w:vAlign w:val="bottom"/>
            <w:shd w:val="clear" w:color="auto" w:fill="CCEEFF"/>
          </w:tcPr>
          <w:p>
            <w:pPr>
              <w:ind w:left="140"/>
              <w:spacing w:after="0"/>
              <w:rPr>
                <w:sz w:val="20"/>
                <w:szCs w:val="20"/>
                <w:color w:val="auto"/>
              </w:rPr>
            </w:pPr>
            <w:r>
              <w:rPr>
                <w:rFonts w:ascii="Arial" w:cs="Arial" w:eastAsia="Arial" w:hAnsi="Arial"/>
                <w:sz w:val="11"/>
                <w:szCs w:val="11"/>
                <w:b w:val="1"/>
                <w:bCs w:val="1"/>
                <w:color w:val="auto"/>
              </w:rPr>
              <w:t>Non-cash transactions:</w:t>
            </w: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11"/>
        </w:trPr>
        <w:tc>
          <w:tcPr>
            <w:tcW w:w="4480" w:type="dxa"/>
            <w:vAlign w:val="bottom"/>
          </w:tcPr>
          <w:p>
            <w:pPr>
              <w:ind w:left="220"/>
              <w:spacing w:after="0"/>
              <w:rPr>
                <w:sz w:val="20"/>
                <w:szCs w:val="20"/>
                <w:color w:val="auto"/>
              </w:rPr>
            </w:pPr>
            <w:r>
              <w:rPr>
                <w:rFonts w:ascii="Arial" w:cs="Arial" w:eastAsia="Arial" w:hAnsi="Arial"/>
                <w:sz w:val="11"/>
                <w:szCs w:val="11"/>
                <w:color w:val="auto"/>
              </w:rPr>
              <w:t>Accounts payable related to capital expenditures</w:t>
            </w:r>
          </w:p>
        </w:tc>
        <w:tc>
          <w:tcPr>
            <w:tcW w:w="80" w:type="dxa"/>
            <w:vAlign w:val="bottom"/>
          </w:tcPr>
          <w:p>
            <w:pPr>
              <w:spacing w:after="0"/>
              <w:rPr>
                <w:sz w:val="18"/>
                <w:szCs w:val="18"/>
                <w:color w:val="auto"/>
              </w:rPr>
            </w:pPr>
          </w:p>
        </w:tc>
        <w:tc>
          <w:tcPr>
            <w:tcW w:w="1100" w:type="dxa"/>
            <w:vAlign w:val="bottom"/>
          </w:tcPr>
          <w:p>
            <w:pPr>
              <w:jc w:val="right"/>
              <w:ind w:right="83"/>
              <w:spacing w:after="0"/>
              <w:rPr>
                <w:sz w:val="20"/>
                <w:szCs w:val="20"/>
                <w:color w:val="auto"/>
              </w:rPr>
            </w:pPr>
            <w:r>
              <w:rPr>
                <w:rFonts w:ascii="Arial" w:cs="Arial" w:eastAsia="Arial" w:hAnsi="Arial"/>
                <w:sz w:val="11"/>
                <w:szCs w:val="11"/>
                <w:color w:val="auto"/>
              </w:rPr>
              <w:t>178</w:t>
            </w:r>
          </w:p>
        </w:tc>
        <w:tc>
          <w:tcPr>
            <w:tcW w:w="200" w:type="dxa"/>
            <w:vAlign w:val="bottom"/>
          </w:tcPr>
          <w:p>
            <w:pPr>
              <w:spacing w:after="0"/>
              <w:rPr>
                <w:sz w:val="18"/>
                <w:szCs w:val="18"/>
                <w:color w:val="auto"/>
              </w:rPr>
            </w:pPr>
          </w:p>
        </w:tc>
        <w:tc>
          <w:tcPr>
            <w:tcW w:w="960" w:type="dxa"/>
            <w:vAlign w:val="bottom"/>
          </w:tcPr>
          <w:p>
            <w:pPr>
              <w:jc w:val="right"/>
              <w:ind w:right="83"/>
              <w:spacing w:after="0"/>
              <w:rPr>
                <w:sz w:val="20"/>
                <w:szCs w:val="20"/>
                <w:color w:val="auto"/>
              </w:rPr>
            </w:pPr>
            <w:r>
              <w:rPr>
                <w:rFonts w:ascii="Arial" w:cs="Arial" w:eastAsia="Arial" w:hAnsi="Arial"/>
                <w:sz w:val="11"/>
                <w:szCs w:val="11"/>
                <w:color w:val="auto"/>
              </w:rPr>
              <w:t>91</w:t>
            </w:r>
          </w:p>
        </w:tc>
        <w:tc>
          <w:tcPr>
            <w:tcW w:w="240" w:type="dxa"/>
            <w:vAlign w:val="bottom"/>
          </w:tcPr>
          <w:p>
            <w:pPr>
              <w:spacing w:after="0"/>
              <w:rPr>
                <w:sz w:val="18"/>
                <w:szCs w:val="18"/>
                <w:color w:val="auto"/>
              </w:rPr>
            </w:pPr>
          </w:p>
        </w:tc>
        <w:tc>
          <w:tcPr>
            <w:tcW w:w="920" w:type="dxa"/>
            <w:vAlign w:val="bottom"/>
          </w:tcPr>
          <w:p>
            <w:pPr>
              <w:jc w:val="right"/>
              <w:ind w:right="63"/>
              <w:spacing w:after="0"/>
              <w:rPr>
                <w:sz w:val="20"/>
                <w:szCs w:val="20"/>
                <w:color w:val="auto"/>
              </w:rPr>
            </w:pPr>
            <w:r>
              <w:rPr>
                <w:rFonts w:ascii="Arial" w:cs="Arial" w:eastAsia="Arial" w:hAnsi="Arial"/>
                <w:sz w:val="11"/>
                <w:szCs w:val="11"/>
                <w:color w:val="auto"/>
              </w:rPr>
              <w:t>75</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jc w:val="right"/>
              <w:ind w:right="63"/>
              <w:spacing w:after="0"/>
              <w:rPr>
                <w:sz w:val="20"/>
                <w:szCs w:val="20"/>
                <w:color w:val="auto"/>
              </w:rPr>
            </w:pPr>
            <w:r>
              <w:rPr>
                <w:rFonts w:ascii="Arial" w:cs="Arial" w:eastAsia="Arial" w:hAnsi="Arial"/>
                <w:sz w:val="11"/>
                <w:szCs w:val="11"/>
                <w:color w:val="auto"/>
              </w:rPr>
              <w:t>140</w:t>
            </w:r>
          </w:p>
        </w:tc>
        <w:tc>
          <w:tcPr>
            <w:tcW w:w="180" w:type="dxa"/>
            <w:vAlign w:val="bottom"/>
          </w:tcPr>
          <w:p>
            <w:pPr>
              <w:spacing w:after="0"/>
              <w:rPr>
                <w:sz w:val="18"/>
                <w:szCs w:val="18"/>
                <w:color w:val="auto"/>
              </w:rPr>
            </w:pPr>
          </w:p>
        </w:tc>
        <w:tc>
          <w:tcPr>
            <w:tcW w:w="940" w:type="dxa"/>
            <w:vAlign w:val="bottom"/>
          </w:tcPr>
          <w:p>
            <w:pPr>
              <w:jc w:val="right"/>
              <w:ind w:right="63"/>
              <w:spacing w:after="0"/>
              <w:rPr>
                <w:sz w:val="20"/>
                <w:szCs w:val="20"/>
                <w:color w:val="auto"/>
              </w:rPr>
            </w:pPr>
            <w:r>
              <w:rPr>
                <w:rFonts w:ascii="Arial" w:cs="Arial" w:eastAsia="Arial" w:hAnsi="Arial"/>
                <w:sz w:val="11"/>
                <w:szCs w:val="11"/>
                <w:color w:val="auto"/>
              </w:rPr>
              <w:t>87</w:t>
            </w:r>
          </w:p>
        </w:tc>
        <w:tc>
          <w:tcPr>
            <w:tcW w:w="300" w:type="dxa"/>
            <w:vAlign w:val="bottom"/>
          </w:tcPr>
          <w:p>
            <w:pPr>
              <w:spacing w:after="0"/>
              <w:rPr>
                <w:sz w:val="18"/>
                <w:szCs w:val="18"/>
                <w:color w:val="auto"/>
              </w:rPr>
            </w:pPr>
          </w:p>
        </w:tc>
        <w:tc>
          <w:tcPr>
            <w:tcW w:w="800" w:type="dxa"/>
            <w:vAlign w:val="bottom"/>
          </w:tcPr>
          <w:p>
            <w:pPr>
              <w:jc w:val="right"/>
              <w:ind w:right="43"/>
              <w:spacing w:after="0"/>
              <w:rPr>
                <w:sz w:val="20"/>
                <w:szCs w:val="20"/>
                <w:color w:val="auto"/>
              </w:rPr>
            </w:pPr>
            <w:r>
              <w:rPr>
                <w:rFonts w:ascii="Arial" w:cs="Arial" w:eastAsia="Arial" w:hAnsi="Arial"/>
                <w:sz w:val="11"/>
                <w:szCs w:val="11"/>
                <w:color w:val="auto"/>
              </w:rPr>
              <w:t>66</w:t>
            </w:r>
          </w:p>
        </w:tc>
      </w:tr>
      <w:tr>
        <w:trPr>
          <w:trHeight w:val="220"/>
        </w:trPr>
        <w:tc>
          <w:tcPr>
            <w:tcW w:w="4480" w:type="dxa"/>
            <w:vAlign w:val="bottom"/>
            <w:shd w:val="clear" w:color="auto" w:fill="CCEEFF"/>
          </w:tcPr>
          <w:p>
            <w:pPr>
              <w:ind w:left="220"/>
              <w:spacing w:after="0"/>
              <w:rPr>
                <w:sz w:val="20"/>
                <w:szCs w:val="20"/>
                <w:color w:val="auto"/>
              </w:rPr>
            </w:pPr>
            <w:r>
              <w:rPr>
                <w:rFonts w:ascii="Arial" w:cs="Arial" w:eastAsia="Arial" w:hAnsi="Arial"/>
                <w:sz w:val="11"/>
                <w:szCs w:val="11"/>
                <w:color w:val="auto"/>
              </w:rPr>
              <w:t>Capital distribution associated with the Internal Spin</w:t>
            </w: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w:t>
            </w: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1,460</w:t>
            </w:r>
          </w:p>
        </w:tc>
      </w:tr>
      <w:tr>
        <w:trPr>
          <w:trHeight w:val="206"/>
        </w:trPr>
        <w:tc>
          <w:tcPr>
            <w:tcW w:w="4480" w:type="dxa"/>
            <w:vAlign w:val="bottom"/>
          </w:tcPr>
          <w:p>
            <w:pPr>
              <w:ind w:left="220"/>
              <w:spacing w:after="0"/>
              <w:rPr>
                <w:sz w:val="20"/>
                <w:szCs w:val="20"/>
                <w:color w:val="auto"/>
              </w:rPr>
            </w:pPr>
            <w:r>
              <w:rPr>
                <w:rFonts w:ascii="Arial" w:cs="Arial" w:eastAsia="Arial" w:hAnsi="Arial"/>
                <w:sz w:val="11"/>
                <w:szCs w:val="11"/>
                <w:color w:val="auto"/>
              </w:rPr>
              <w:t xml:space="preserve">ROU assets obtained in exchange for lease liabilities </w:t>
            </w:r>
            <w:r>
              <w:rPr>
                <w:rFonts w:ascii="Arial" w:cs="Arial" w:eastAsia="Arial" w:hAnsi="Arial"/>
                <w:sz w:val="8"/>
                <w:szCs w:val="8"/>
                <w:color w:val="auto"/>
              </w:rPr>
              <w:t>(1)</w:t>
            </w:r>
          </w:p>
        </w:tc>
        <w:tc>
          <w:tcPr>
            <w:tcW w:w="80" w:type="dxa"/>
            <w:vAlign w:val="bottom"/>
          </w:tcPr>
          <w:p>
            <w:pPr>
              <w:spacing w:after="0"/>
              <w:rPr>
                <w:sz w:val="17"/>
                <w:szCs w:val="17"/>
                <w:color w:val="auto"/>
              </w:rPr>
            </w:pPr>
          </w:p>
        </w:tc>
        <w:tc>
          <w:tcPr>
            <w:tcW w:w="1100" w:type="dxa"/>
            <w:vAlign w:val="bottom"/>
          </w:tcPr>
          <w:p>
            <w:pPr>
              <w:jc w:val="right"/>
              <w:ind w:right="83"/>
              <w:spacing w:after="0"/>
              <w:rPr>
                <w:sz w:val="20"/>
                <w:szCs w:val="20"/>
                <w:color w:val="auto"/>
              </w:rPr>
            </w:pPr>
            <w:r>
              <w:rPr>
                <w:rFonts w:ascii="Arial" w:cs="Arial" w:eastAsia="Arial" w:hAnsi="Arial"/>
                <w:sz w:val="11"/>
                <w:szCs w:val="11"/>
                <w:color w:val="auto"/>
              </w:rPr>
              <w:t>43</w:t>
            </w:r>
          </w:p>
        </w:tc>
        <w:tc>
          <w:tcPr>
            <w:tcW w:w="200" w:type="dxa"/>
            <w:vAlign w:val="bottom"/>
          </w:tcPr>
          <w:p>
            <w:pPr>
              <w:spacing w:after="0"/>
              <w:rPr>
                <w:sz w:val="17"/>
                <w:szCs w:val="17"/>
                <w:color w:val="auto"/>
              </w:rPr>
            </w:pPr>
          </w:p>
        </w:tc>
        <w:tc>
          <w:tcPr>
            <w:tcW w:w="960" w:type="dxa"/>
            <w:vAlign w:val="bottom"/>
          </w:tcPr>
          <w:p>
            <w:pPr>
              <w:jc w:val="right"/>
              <w:ind w:right="83"/>
              <w:spacing w:after="0"/>
              <w:rPr>
                <w:sz w:val="20"/>
                <w:szCs w:val="20"/>
                <w:color w:val="auto"/>
              </w:rPr>
            </w:pPr>
            <w:r>
              <w:rPr>
                <w:rFonts w:ascii="Arial" w:cs="Arial" w:eastAsia="Arial" w:hAnsi="Arial"/>
                <w:sz w:val="11"/>
                <w:szCs w:val="11"/>
                <w:color w:val="auto"/>
              </w:rPr>
              <w:t>1</w:t>
            </w:r>
          </w:p>
        </w:tc>
        <w:tc>
          <w:tcPr>
            <w:tcW w:w="240" w:type="dxa"/>
            <w:vAlign w:val="bottom"/>
          </w:tcPr>
          <w:p>
            <w:pPr>
              <w:spacing w:after="0"/>
              <w:rPr>
                <w:sz w:val="17"/>
                <w:szCs w:val="17"/>
                <w:color w:val="auto"/>
              </w:rPr>
            </w:pPr>
          </w:p>
        </w:tc>
        <w:tc>
          <w:tcPr>
            <w:tcW w:w="920" w:type="dxa"/>
            <w:vAlign w:val="bottom"/>
          </w:tcPr>
          <w:p>
            <w:pPr>
              <w:jc w:val="right"/>
              <w:ind w:right="63"/>
              <w:spacing w:after="0"/>
              <w:rPr>
                <w:sz w:val="20"/>
                <w:szCs w:val="20"/>
                <w:color w:val="auto"/>
              </w:rPr>
            </w:pPr>
            <w:r>
              <w:rPr>
                <w:rFonts w:ascii="Arial" w:cs="Arial" w:eastAsia="Arial" w:hAnsi="Arial"/>
                <w:sz w:val="11"/>
                <w:szCs w:val="11"/>
                <w:color w:val="auto"/>
              </w:rPr>
              <w:t>28</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60" w:type="dxa"/>
            <w:vAlign w:val="bottom"/>
          </w:tcPr>
          <w:p>
            <w:pPr>
              <w:jc w:val="right"/>
              <w:ind w:right="63"/>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7"/>
                <w:szCs w:val="17"/>
                <w:color w:val="auto"/>
              </w:rPr>
            </w:pPr>
          </w:p>
        </w:tc>
        <w:tc>
          <w:tcPr>
            <w:tcW w:w="940" w:type="dxa"/>
            <w:vAlign w:val="bottom"/>
          </w:tcPr>
          <w:p>
            <w:pPr>
              <w:jc w:val="right"/>
              <w:ind w:right="63"/>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7"/>
                <w:szCs w:val="17"/>
                <w:color w:val="auto"/>
              </w:rPr>
            </w:pPr>
          </w:p>
        </w:tc>
        <w:tc>
          <w:tcPr>
            <w:tcW w:w="800" w:type="dxa"/>
            <w:vAlign w:val="bottom"/>
          </w:tcPr>
          <w:p>
            <w:pPr>
              <w:jc w:val="right"/>
              <w:ind w:right="43"/>
              <w:spacing w:after="0"/>
              <w:rPr>
                <w:sz w:val="20"/>
                <w:szCs w:val="20"/>
                <w:color w:val="auto"/>
              </w:rPr>
            </w:pPr>
            <w:r>
              <w:rPr>
                <w:rFonts w:ascii="Arial" w:cs="Arial" w:eastAsia="Arial" w:hAnsi="Arial"/>
                <w:sz w:val="11"/>
                <w:szCs w:val="11"/>
                <w:color w:val="auto"/>
              </w:rPr>
              <w:t>—</w:t>
            </w:r>
          </w:p>
        </w:tc>
      </w:tr>
    </w:tbl>
    <w:p>
      <w:pPr>
        <w:spacing w:after="0" w:line="171" w:lineRule="exact"/>
        <w:rPr>
          <w:sz w:val="20"/>
          <w:szCs w:val="20"/>
          <w:color w:val="auto"/>
        </w:rPr>
      </w:pPr>
    </w:p>
    <w:p>
      <w:pPr>
        <w:ind w:left="260"/>
        <w:spacing w:after="0"/>
        <w:rPr>
          <w:sz w:val="20"/>
          <w:szCs w:val="20"/>
          <w:color w:val="auto"/>
        </w:rPr>
      </w:pPr>
      <w:r>
        <w:rPr>
          <w:rFonts w:ascii="Arial" w:cs="Arial" w:eastAsia="Arial" w:hAnsi="Arial"/>
          <w:sz w:val="14"/>
          <w:szCs w:val="14"/>
          <w:color w:val="auto"/>
        </w:rPr>
        <w:t>(1)  Includes the transition impact of adoption of ASU 2016-02 Leases.</w:t>
      </w:r>
    </w:p>
    <w:p>
      <w:pPr>
        <w:spacing w:after="0" w:line="184" w:lineRule="exact"/>
        <w:rPr>
          <w:sz w:val="20"/>
          <w:szCs w:val="20"/>
          <w:color w:val="auto"/>
        </w:rPr>
      </w:pPr>
    </w:p>
    <w:p>
      <w:pPr>
        <w:jc w:val="both"/>
        <w:ind w:firstLine="259"/>
        <w:spacing w:after="0" w:line="288" w:lineRule="auto"/>
        <w:rPr>
          <w:sz w:val="20"/>
          <w:szCs w:val="20"/>
          <w:color w:val="auto"/>
        </w:rPr>
      </w:pPr>
      <w:r>
        <w:rPr>
          <w:rFonts w:ascii="Arial" w:cs="Arial" w:eastAsia="Arial" w:hAnsi="Arial"/>
          <w:sz w:val="14"/>
          <w:szCs w:val="14"/>
          <w:color w:val="auto"/>
        </w:rPr>
        <w:t>The table below provides a reconciliation of cash, cash equivalents and restricted cash reported in the Condensed Consolidated Balance Sheets to the amount reported in the Condensed Statements of Consolidated Cash Flows: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35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1"/>
                <w:szCs w:val="11"/>
                <w:b w:val="1"/>
                <w:bCs w:val="1"/>
                <w:color w:val="auto"/>
                <w:w w:val="93"/>
              </w:rPr>
              <w:t>September 30, 2019</w:t>
            </w:r>
          </w:p>
        </w:tc>
        <w:tc>
          <w:tcPr>
            <w:tcW w:w="2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1"/>
                <w:szCs w:val="11"/>
                <w:b w:val="1"/>
                <w:bCs w:val="1"/>
                <w:color w:val="auto"/>
                <w:w w:val="92"/>
              </w:rPr>
              <w:t>December 31, 2018</w:t>
            </w:r>
          </w:p>
        </w:tc>
        <w:tc>
          <w:tcPr>
            <w:tcW w:w="2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35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2"/>
          </w:tcPr>
          <w:p>
            <w:pPr>
              <w:ind w:left="20"/>
              <w:spacing w:after="0"/>
              <w:rPr>
                <w:sz w:val="20"/>
                <w:szCs w:val="20"/>
                <w:color w:val="auto"/>
              </w:rPr>
            </w:pPr>
            <w:r>
              <w:rPr>
                <w:rFonts w:ascii="Arial" w:cs="Arial" w:eastAsia="Arial" w:hAnsi="Arial"/>
                <w:sz w:val="11"/>
                <w:szCs w:val="11"/>
                <w:b w:val="1"/>
                <w:bCs w:val="1"/>
                <w:color w:val="auto"/>
              </w:rPr>
              <w:t>CenterPoint Energy</w:t>
            </w:r>
          </w:p>
        </w:tc>
        <w:tc>
          <w:tcPr>
            <w:tcW w:w="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1"/>
                <w:szCs w:val="11"/>
                <w:b w:val="1"/>
                <w:bCs w:val="1"/>
                <w:color w:val="auto"/>
                <w:w w:val="93"/>
              </w:rPr>
              <w:t>Houston Electric</w:t>
            </w:r>
          </w:p>
        </w:tc>
        <w:tc>
          <w:tcPr>
            <w:tcW w:w="2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gridSpan w:val="2"/>
          </w:tcPr>
          <w:p>
            <w:pPr>
              <w:ind w:left="180"/>
              <w:spacing w:after="0"/>
              <w:rPr>
                <w:sz w:val="20"/>
                <w:szCs w:val="20"/>
                <w:color w:val="auto"/>
              </w:rPr>
            </w:pPr>
            <w:r>
              <w:rPr>
                <w:rFonts w:ascii="Arial" w:cs="Arial" w:eastAsia="Arial" w:hAnsi="Arial"/>
                <w:sz w:val="11"/>
                <w:szCs w:val="11"/>
                <w:b w:val="1"/>
                <w:bCs w:val="1"/>
                <w:color w:val="auto"/>
              </w:rPr>
              <w:t>CERC</w:t>
            </w:r>
          </w:p>
        </w:tc>
        <w:tc>
          <w:tcPr>
            <w:tcW w:w="1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2"/>
          </w:tcPr>
          <w:p>
            <w:pPr>
              <w:ind w:left="20"/>
              <w:spacing w:after="0"/>
              <w:rPr>
                <w:sz w:val="20"/>
                <w:szCs w:val="20"/>
                <w:color w:val="auto"/>
              </w:rPr>
            </w:pPr>
            <w:r>
              <w:rPr>
                <w:rFonts w:ascii="Arial" w:cs="Arial" w:eastAsia="Arial" w:hAnsi="Arial"/>
                <w:sz w:val="11"/>
                <w:szCs w:val="11"/>
                <w:b w:val="1"/>
                <w:bCs w:val="1"/>
                <w:color w:val="auto"/>
              </w:rPr>
              <w:t>CenterPoint Energy</w:t>
            </w:r>
          </w:p>
        </w:tc>
        <w:tc>
          <w:tcPr>
            <w:tcW w:w="1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1"/>
                <w:szCs w:val="11"/>
                <w:b w:val="1"/>
                <w:bCs w:val="1"/>
                <w:color w:val="auto"/>
                <w:w w:val="93"/>
              </w:rPr>
              <w:t>Houston Electric</w:t>
            </w: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03"/>
              <w:spacing w:after="0"/>
              <w:rPr>
                <w:sz w:val="20"/>
                <w:szCs w:val="20"/>
                <w:color w:val="auto"/>
              </w:rPr>
            </w:pPr>
            <w:r>
              <w:rPr>
                <w:rFonts w:ascii="Arial" w:cs="Arial" w:eastAsia="Arial" w:hAnsi="Arial"/>
                <w:sz w:val="11"/>
                <w:szCs w:val="11"/>
                <w:b w:val="1"/>
                <w:bCs w:val="1"/>
                <w:color w:val="auto"/>
              </w:rPr>
              <w:t>CERC</w:t>
            </w:r>
          </w:p>
        </w:tc>
        <w:tc>
          <w:tcPr>
            <w:tcW w:w="0" w:type="dxa"/>
            <w:vAlign w:val="bottom"/>
          </w:tcPr>
          <w:p>
            <w:pPr>
              <w:spacing w:after="0"/>
              <w:rPr>
                <w:sz w:val="1"/>
                <w:szCs w:val="1"/>
                <w:color w:val="auto"/>
              </w:rPr>
            </w:pPr>
          </w:p>
        </w:tc>
      </w:tr>
      <w:tr>
        <w:trPr>
          <w:trHeight w:val="196"/>
        </w:trPr>
        <w:tc>
          <w:tcPr>
            <w:tcW w:w="3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60" w:type="dxa"/>
            <w:vAlign w:val="bottom"/>
            <w:gridSpan w:val="5"/>
          </w:tcPr>
          <w:p>
            <w:pPr>
              <w:ind w:left="700"/>
              <w:spacing w:after="0"/>
              <w:rPr>
                <w:sz w:val="20"/>
                <w:szCs w:val="20"/>
                <w:color w:val="auto"/>
              </w:rPr>
            </w:pPr>
            <w:r>
              <w:rPr>
                <w:rFonts w:ascii="Arial" w:cs="Arial" w:eastAsia="Arial" w:hAnsi="Arial"/>
                <w:sz w:val="11"/>
                <w:szCs w:val="11"/>
                <w:b w:val="1"/>
                <w:bCs w:val="1"/>
                <w:color w:val="auto"/>
              </w:rPr>
              <w:t>(in millions)</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3560" w:type="dxa"/>
            <w:vAlign w:val="bottom"/>
            <w:shd w:val="clear" w:color="auto" w:fill="CCEEFF"/>
          </w:tcPr>
          <w:p>
            <w:pPr>
              <w:ind w:left="140"/>
              <w:spacing w:after="0"/>
              <w:rPr>
                <w:sz w:val="20"/>
                <w:szCs w:val="20"/>
                <w:color w:val="auto"/>
              </w:rPr>
            </w:pPr>
            <w:r>
              <w:rPr>
                <w:rFonts w:ascii="Arial" w:cs="Arial" w:eastAsia="Arial" w:hAnsi="Arial"/>
                <w:sz w:val="11"/>
                <w:szCs w:val="11"/>
                <w:color w:val="auto"/>
              </w:rPr>
              <w:t>Cash and cash equivalents</w:t>
            </w: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16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259</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08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228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143"/>
              <w:spacing w:after="0"/>
              <w:rPr>
                <w:sz w:val="20"/>
                <w:szCs w:val="20"/>
                <w:color w:val="auto"/>
              </w:rPr>
            </w:pPr>
            <w:r>
              <w:rPr>
                <w:rFonts w:ascii="Arial" w:cs="Arial" w:eastAsia="Arial" w:hAnsi="Arial"/>
                <w:sz w:val="11"/>
                <w:szCs w:val="11"/>
                <w:color w:val="auto"/>
                <w:w w:val="97"/>
              </w:rPr>
              <w:t>$</w:t>
            </w:r>
          </w:p>
        </w:tc>
        <w:tc>
          <w:tcPr>
            <w:tcW w:w="98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14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4,231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04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335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143"/>
              <w:spacing w:after="0"/>
              <w:rPr>
                <w:sz w:val="20"/>
                <w:szCs w:val="20"/>
                <w:color w:val="auto"/>
              </w:rPr>
            </w:pPr>
            <w:r>
              <w:rPr>
                <w:rFonts w:ascii="Arial" w:cs="Arial" w:eastAsia="Arial" w:hAnsi="Arial"/>
                <w:sz w:val="11"/>
                <w:szCs w:val="11"/>
                <w:color w:val="auto"/>
                <w:w w:val="97"/>
              </w:rPr>
              <w:t>$</w:t>
            </w:r>
          </w:p>
        </w:tc>
        <w:tc>
          <w:tcPr>
            <w:tcW w:w="96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14</w:t>
            </w:r>
          </w:p>
        </w:tc>
        <w:tc>
          <w:tcPr>
            <w:tcW w:w="0" w:type="dxa"/>
            <w:vAlign w:val="bottom"/>
          </w:tcPr>
          <w:p>
            <w:pPr>
              <w:spacing w:after="0"/>
              <w:rPr>
                <w:sz w:val="1"/>
                <w:szCs w:val="1"/>
                <w:color w:val="auto"/>
              </w:rPr>
            </w:pPr>
          </w:p>
        </w:tc>
      </w:tr>
      <w:tr>
        <w:trPr>
          <w:trHeight w:val="211"/>
        </w:trPr>
        <w:tc>
          <w:tcPr>
            <w:tcW w:w="3560" w:type="dxa"/>
            <w:vAlign w:val="bottom"/>
          </w:tcPr>
          <w:p>
            <w:pPr>
              <w:ind w:left="140"/>
              <w:spacing w:after="0"/>
              <w:rPr>
                <w:sz w:val="20"/>
                <w:szCs w:val="20"/>
                <w:color w:val="auto"/>
              </w:rPr>
            </w:pPr>
            <w:r>
              <w:rPr>
                <w:rFonts w:ascii="Arial" w:cs="Arial" w:eastAsia="Arial" w:hAnsi="Arial"/>
                <w:sz w:val="11"/>
                <w:szCs w:val="11"/>
                <w:color w:val="auto"/>
                <w:w w:val="98"/>
              </w:rPr>
              <w:t>Restricted cash included in Prepaid expenses and other current assets</w:t>
            </w:r>
          </w:p>
        </w:tc>
        <w:tc>
          <w:tcPr>
            <w:tcW w:w="120" w:type="dxa"/>
            <w:vAlign w:val="bottom"/>
          </w:tcPr>
          <w:p>
            <w:pPr>
              <w:spacing w:after="0"/>
              <w:rPr>
                <w:sz w:val="18"/>
                <w:szCs w:val="18"/>
                <w:color w:val="auto"/>
              </w:rPr>
            </w:pPr>
          </w:p>
        </w:tc>
        <w:tc>
          <w:tcPr>
            <w:tcW w:w="1160" w:type="dxa"/>
            <w:vAlign w:val="bottom"/>
          </w:tcPr>
          <w:p>
            <w:pPr>
              <w:jc w:val="right"/>
              <w:ind w:right="63"/>
              <w:spacing w:after="0"/>
              <w:rPr>
                <w:sz w:val="20"/>
                <w:szCs w:val="20"/>
                <w:color w:val="auto"/>
              </w:rPr>
            </w:pPr>
            <w:r>
              <w:rPr>
                <w:rFonts w:ascii="Arial" w:cs="Arial" w:eastAsia="Arial" w:hAnsi="Arial"/>
                <w:sz w:val="11"/>
                <w:szCs w:val="11"/>
                <w:color w:val="auto"/>
              </w:rPr>
              <w:t>38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jc w:val="right"/>
              <w:ind w:right="63"/>
              <w:spacing w:after="0"/>
              <w:rPr>
                <w:sz w:val="20"/>
                <w:szCs w:val="20"/>
                <w:color w:val="auto"/>
              </w:rPr>
            </w:pPr>
            <w:r>
              <w:rPr>
                <w:rFonts w:ascii="Arial" w:cs="Arial" w:eastAsia="Arial" w:hAnsi="Arial"/>
                <w:sz w:val="11"/>
                <w:szCs w:val="11"/>
                <w:color w:val="auto"/>
              </w:rPr>
              <w:t>19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8"/>
                <w:szCs w:val="18"/>
                <w:color w:val="auto"/>
              </w:rPr>
            </w:pPr>
          </w:p>
        </w:tc>
        <w:tc>
          <w:tcPr>
            <w:tcW w:w="1140" w:type="dxa"/>
            <w:vAlign w:val="bottom"/>
          </w:tcPr>
          <w:p>
            <w:pPr>
              <w:jc w:val="right"/>
              <w:ind w:right="63"/>
              <w:spacing w:after="0"/>
              <w:rPr>
                <w:sz w:val="20"/>
                <w:szCs w:val="20"/>
                <w:color w:val="auto"/>
              </w:rPr>
            </w:pPr>
            <w:r>
              <w:rPr>
                <w:rFonts w:ascii="Arial" w:cs="Arial" w:eastAsia="Arial" w:hAnsi="Arial"/>
                <w:sz w:val="11"/>
                <w:szCs w:val="11"/>
                <w:color w:val="auto"/>
              </w:rPr>
              <w:t>46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ind w:right="63"/>
              <w:spacing w:after="0"/>
              <w:rPr>
                <w:sz w:val="20"/>
                <w:szCs w:val="20"/>
                <w:color w:val="auto"/>
              </w:rPr>
            </w:pPr>
            <w:r>
              <w:rPr>
                <w:rFonts w:ascii="Arial" w:cs="Arial" w:eastAsia="Arial" w:hAnsi="Arial"/>
                <w:sz w:val="11"/>
                <w:szCs w:val="11"/>
                <w:color w:val="auto"/>
              </w:rPr>
              <w:t>34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43"/>
              <w:spacing w:after="0"/>
              <w:rPr>
                <w:sz w:val="20"/>
                <w:szCs w:val="20"/>
                <w:color w:val="auto"/>
              </w:rPr>
            </w:pPr>
            <w:r>
              <w:rPr>
                <w:rFonts w:ascii="Arial" w:cs="Arial" w:eastAsia="Arial" w:hAnsi="Arial"/>
                <w:sz w:val="11"/>
                <w:szCs w:val="11"/>
                <w:color w:val="auto"/>
              </w:rPr>
              <w:t>11</w:t>
            </w:r>
          </w:p>
        </w:tc>
        <w:tc>
          <w:tcPr>
            <w:tcW w:w="0" w:type="dxa"/>
            <w:vAlign w:val="bottom"/>
          </w:tcPr>
          <w:p>
            <w:pPr>
              <w:spacing w:after="0"/>
              <w:rPr>
                <w:sz w:val="1"/>
                <w:szCs w:val="1"/>
                <w:color w:val="auto"/>
              </w:rPr>
            </w:pPr>
          </w:p>
        </w:tc>
      </w:tr>
      <w:tr>
        <w:trPr>
          <w:trHeight w:val="220"/>
        </w:trPr>
        <w:tc>
          <w:tcPr>
            <w:tcW w:w="3560" w:type="dxa"/>
            <w:vAlign w:val="bottom"/>
            <w:shd w:val="clear" w:color="auto" w:fill="CCEEFF"/>
          </w:tcPr>
          <w:p>
            <w:pPr>
              <w:ind w:left="140"/>
              <w:spacing w:after="0"/>
              <w:rPr>
                <w:sz w:val="20"/>
                <w:szCs w:val="20"/>
                <w:color w:val="auto"/>
              </w:rPr>
            </w:pPr>
            <w:r>
              <w:rPr>
                <w:rFonts w:ascii="Arial" w:cs="Arial" w:eastAsia="Arial" w:hAnsi="Arial"/>
                <w:sz w:val="11"/>
                <w:szCs w:val="11"/>
                <w:color w:val="auto"/>
              </w:rPr>
              <w:t>Restricted cash included in Other</w:t>
            </w:r>
          </w:p>
        </w:tc>
        <w:tc>
          <w:tcPr>
            <w:tcW w:w="1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05"/>
        </w:trPr>
        <w:tc>
          <w:tcPr>
            <w:tcW w:w="3560" w:type="dxa"/>
            <w:vAlign w:val="bottom"/>
          </w:tcPr>
          <w:p>
            <w:pPr>
              <w:ind w:left="280"/>
              <w:spacing w:after="0" w:line="105" w:lineRule="exact"/>
              <w:rPr>
                <w:sz w:val="20"/>
                <w:szCs w:val="20"/>
                <w:color w:val="auto"/>
              </w:rPr>
            </w:pPr>
            <w:r>
              <w:rPr>
                <w:rFonts w:ascii="Arial" w:cs="Arial" w:eastAsia="Arial" w:hAnsi="Arial"/>
                <w:sz w:val="11"/>
                <w:szCs w:val="11"/>
                <w:color w:val="auto"/>
                <w:w w:val="95"/>
              </w:rPr>
              <w:t>Total cash, cash equivalents and restricted cash shown in Condensed</w:t>
            </w: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1"/>
                <w:szCs w:val="11"/>
                <w:color w:val="auto"/>
                <w:w w:val="97"/>
              </w:rPr>
              <w:t>$</w:t>
            </w:r>
          </w:p>
        </w:tc>
        <w:tc>
          <w:tcPr>
            <w:tcW w:w="1160" w:type="dxa"/>
            <w:vAlign w:val="bottom"/>
            <w:tcBorders>
              <w:top w:val="single" w:sz="8" w:color="auto"/>
            </w:tcBorders>
            <w:vMerge w:val="restart"/>
          </w:tcPr>
          <w:p>
            <w:pPr>
              <w:jc w:val="right"/>
              <w:ind w:right="63"/>
              <w:spacing w:after="0"/>
              <w:rPr>
                <w:sz w:val="20"/>
                <w:szCs w:val="20"/>
                <w:color w:val="auto"/>
              </w:rPr>
            </w:pPr>
            <w:r>
              <w:rPr>
                <w:rFonts w:ascii="Arial" w:cs="Arial" w:eastAsia="Arial" w:hAnsi="Arial"/>
                <w:sz w:val="11"/>
                <w:szCs w:val="11"/>
                <w:color w:val="auto"/>
              </w:rPr>
              <w:t>297</w:t>
            </w:r>
          </w:p>
        </w:tc>
        <w:tc>
          <w:tcPr>
            <w:tcW w:w="120" w:type="dxa"/>
            <w:vAlign w:val="bottom"/>
          </w:tcPr>
          <w:p>
            <w:pPr>
              <w:spacing w:after="0"/>
              <w:rPr>
                <w:sz w:val="9"/>
                <w:szCs w:val="9"/>
                <w:color w:val="auto"/>
              </w:rPr>
            </w:pPr>
          </w:p>
        </w:tc>
        <w:tc>
          <w:tcPr>
            <w:tcW w:w="80" w:type="dxa"/>
            <w:vAlign w:val="bottom"/>
            <w:tcBorders>
              <w:top w:val="single" w:sz="8" w:color="auto"/>
            </w:tcBorders>
            <w:vMerge w:val="restart"/>
          </w:tcPr>
          <w:p>
            <w:pPr>
              <w:jc w:val="right"/>
              <w:spacing w:after="0"/>
              <w:rPr>
                <w:sz w:val="20"/>
                <w:szCs w:val="20"/>
                <w:color w:val="auto"/>
              </w:rPr>
            </w:pPr>
            <w:r>
              <w:rPr>
                <w:rFonts w:ascii="Arial" w:cs="Arial" w:eastAsia="Arial" w:hAnsi="Arial"/>
                <w:sz w:val="11"/>
                <w:szCs w:val="11"/>
                <w:color w:val="auto"/>
                <w:w w:val="97"/>
              </w:rPr>
              <w:t>$</w:t>
            </w:r>
          </w:p>
        </w:tc>
        <w:tc>
          <w:tcPr>
            <w:tcW w:w="1080" w:type="dxa"/>
            <w:vAlign w:val="bottom"/>
            <w:tcBorders>
              <w:top w:val="single" w:sz="8" w:color="auto"/>
            </w:tcBorders>
            <w:vMerge w:val="restart"/>
          </w:tcPr>
          <w:p>
            <w:pPr>
              <w:jc w:val="right"/>
              <w:ind w:right="63"/>
              <w:spacing w:after="0"/>
              <w:rPr>
                <w:sz w:val="20"/>
                <w:szCs w:val="20"/>
                <w:color w:val="auto"/>
              </w:rPr>
            </w:pPr>
            <w:r>
              <w:rPr>
                <w:rFonts w:ascii="Arial" w:cs="Arial" w:eastAsia="Arial" w:hAnsi="Arial"/>
                <w:sz w:val="11"/>
                <w:szCs w:val="11"/>
                <w:color w:val="auto"/>
              </w:rPr>
              <w:t>247</w:t>
            </w:r>
          </w:p>
        </w:tc>
        <w:tc>
          <w:tcPr>
            <w:tcW w:w="120" w:type="dxa"/>
            <w:vAlign w:val="bottom"/>
          </w:tcPr>
          <w:p>
            <w:pPr>
              <w:spacing w:after="0"/>
              <w:rPr>
                <w:sz w:val="9"/>
                <w:szCs w:val="9"/>
                <w:color w:val="auto"/>
              </w:rPr>
            </w:pPr>
          </w:p>
        </w:tc>
        <w:tc>
          <w:tcPr>
            <w:tcW w:w="280" w:type="dxa"/>
            <w:vAlign w:val="bottom"/>
            <w:tcBorders>
              <w:top w:val="single" w:sz="8" w:color="auto"/>
            </w:tcBorders>
            <w:vMerge w:val="restart"/>
          </w:tcPr>
          <w:p>
            <w:pPr>
              <w:jc w:val="right"/>
              <w:ind w:right="143"/>
              <w:spacing w:after="0"/>
              <w:rPr>
                <w:sz w:val="20"/>
                <w:szCs w:val="20"/>
                <w:color w:val="auto"/>
              </w:rPr>
            </w:pPr>
            <w:r>
              <w:rPr>
                <w:rFonts w:ascii="Arial" w:cs="Arial" w:eastAsia="Arial" w:hAnsi="Arial"/>
                <w:sz w:val="11"/>
                <w:szCs w:val="11"/>
                <w:color w:val="auto"/>
                <w:w w:val="97"/>
              </w:rPr>
              <w:t>$</w:t>
            </w:r>
          </w:p>
        </w:tc>
        <w:tc>
          <w:tcPr>
            <w:tcW w:w="980" w:type="dxa"/>
            <w:vAlign w:val="bottom"/>
            <w:tcBorders>
              <w:top w:val="single" w:sz="8" w:color="auto"/>
            </w:tcBorders>
            <w:vMerge w:val="restart"/>
          </w:tcPr>
          <w:p>
            <w:pPr>
              <w:jc w:val="right"/>
              <w:ind w:right="63"/>
              <w:spacing w:after="0"/>
              <w:rPr>
                <w:sz w:val="20"/>
                <w:szCs w:val="20"/>
                <w:color w:val="auto"/>
              </w:rPr>
            </w:pPr>
            <w:r>
              <w:rPr>
                <w:rFonts w:ascii="Arial" w:cs="Arial" w:eastAsia="Arial" w:hAnsi="Arial"/>
                <w:sz w:val="11"/>
                <w:szCs w:val="11"/>
                <w:color w:val="auto"/>
              </w:rPr>
              <w:t>2</w:t>
            </w:r>
          </w:p>
        </w:tc>
        <w:tc>
          <w:tcPr>
            <w:tcW w:w="120" w:type="dxa"/>
            <w:vAlign w:val="bottom"/>
          </w:tcPr>
          <w:p>
            <w:pPr>
              <w:spacing w:after="0"/>
              <w:rPr>
                <w:sz w:val="9"/>
                <w:szCs w:val="9"/>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1"/>
                <w:szCs w:val="11"/>
                <w:color w:val="auto"/>
                <w:w w:val="97"/>
              </w:rPr>
              <w:t>$</w:t>
            </w:r>
          </w:p>
        </w:tc>
        <w:tc>
          <w:tcPr>
            <w:tcW w:w="1140" w:type="dxa"/>
            <w:vAlign w:val="bottom"/>
            <w:tcBorders>
              <w:top w:val="single" w:sz="8" w:color="auto"/>
            </w:tcBorders>
            <w:vMerge w:val="restart"/>
          </w:tcPr>
          <w:p>
            <w:pPr>
              <w:jc w:val="right"/>
              <w:ind w:right="63"/>
              <w:spacing w:after="0"/>
              <w:rPr>
                <w:sz w:val="20"/>
                <w:szCs w:val="20"/>
                <w:color w:val="auto"/>
              </w:rPr>
            </w:pPr>
            <w:r>
              <w:rPr>
                <w:rFonts w:ascii="Arial" w:cs="Arial" w:eastAsia="Arial" w:hAnsi="Arial"/>
                <w:sz w:val="11"/>
                <w:szCs w:val="11"/>
                <w:color w:val="auto"/>
              </w:rPr>
              <w:t>4,278</w:t>
            </w:r>
          </w:p>
        </w:tc>
        <w:tc>
          <w:tcPr>
            <w:tcW w:w="100" w:type="dxa"/>
            <w:vAlign w:val="bottom"/>
          </w:tcPr>
          <w:p>
            <w:pPr>
              <w:spacing w:after="0"/>
              <w:rPr>
                <w:sz w:val="9"/>
                <w:szCs w:val="9"/>
                <w:color w:val="auto"/>
              </w:rPr>
            </w:pPr>
          </w:p>
        </w:tc>
        <w:tc>
          <w:tcPr>
            <w:tcW w:w="100" w:type="dxa"/>
            <w:vAlign w:val="bottom"/>
            <w:tcBorders>
              <w:top w:val="single" w:sz="8" w:color="auto"/>
            </w:tcBorders>
            <w:vMerge w:val="restart"/>
          </w:tcPr>
          <w:p>
            <w:pPr>
              <w:jc w:val="right"/>
              <w:spacing w:after="0"/>
              <w:rPr>
                <w:sz w:val="20"/>
                <w:szCs w:val="20"/>
                <w:color w:val="auto"/>
              </w:rPr>
            </w:pPr>
            <w:r>
              <w:rPr>
                <w:rFonts w:ascii="Arial" w:cs="Arial" w:eastAsia="Arial" w:hAnsi="Arial"/>
                <w:sz w:val="11"/>
                <w:szCs w:val="11"/>
                <w:color w:val="auto"/>
                <w:w w:val="97"/>
              </w:rPr>
              <w:t>$</w:t>
            </w:r>
          </w:p>
        </w:tc>
        <w:tc>
          <w:tcPr>
            <w:tcW w:w="1040" w:type="dxa"/>
            <w:vAlign w:val="bottom"/>
            <w:tcBorders>
              <w:top w:val="single" w:sz="8" w:color="auto"/>
            </w:tcBorders>
            <w:vMerge w:val="restart"/>
          </w:tcPr>
          <w:p>
            <w:pPr>
              <w:jc w:val="right"/>
              <w:ind w:right="63"/>
              <w:spacing w:after="0"/>
              <w:rPr>
                <w:sz w:val="20"/>
                <w:szCs w:val="20"/>
                <w:color w:val="auto"/>
              </w:rPr>
            </w:pPr>
            <w:r>
              <w:rPr>
                <w:rFonts w:ascii="Arial" w:cs="Arial" w:eastAsia="Arial" w:hAnsi="Arial"/>
                <w:sz w:val="11"/>
                <w:szCs w:val="11"/>
                <w:color w:val="auto"/>
              </w:rPr>
              <w:t>370</w:t>
            </w:r>
          </w:p>
        </w:tc>
        <w:tc>
          <w:tcPr>
            <w:tcW w:w="100" w:type="dxa"/>
            <w:vAlign w:val="bottom"/>
          </w:tcPr>
          <w:p>
            <w:pPr>
              <w:spacing w:after="0"/>
              <w:rPr>
                <w:sz w:val="9"/>
                <w:szCs w:val="9"/>
                <w:color w:val="auto"/>
              </w:rPr>
            </w:pPr>
          </w:p>
        </w:tc>
        <w:tc>
          <w:tcPr>
            <w:tcW w:w="280" w:type="dxa"/>
            <w:vAlign w:val="bottom"/>
            <w:tcBorders>
              <w:top w:val="single" w:sz="8" w:color="auto"/>
            </w:tcBorders>
            <w:vMerge w:val="restart"/>
          </w:tcPr>
          <w:p>
            <w:pPr>
              <w:jc w:val="right"/>
              <w:ind w:right="143"/>
              <w:spacing w:after="0"/>
              <w:rPr>
                <w:sz w:val="20"/>
                <w:szCs w:val="20"/>
                <w:color w:val="auto"/>
              </w:rPr>
            </w:pPr>
            <w:r>
              <w:rPr>
                <w:rFonts w:ascii="Arial" w:cs="Arial" w:eastAsia="Arial" w:hAnsi="Arial"/>
                <w:sz w:val="11"/>
                <w:szCs w:val="11"/>
                <w:color w:val="auto"/>
                <w:w w:val="97"/>
              </w:rPr>
              <w:t>$</w:t>
            </w:r>
          </w:p>
        </w:tc>
        <w:tc>
          <w:tcPr>
            <w:tcW w:w="960" w:type="dxa"/>
            <w:vAlign w:val="bottom"/>
            <w:tcBorders>
              <w:top w:val="single" w:sz="8" w:color="auto"/>
            </w:tcBorders>
            <w:vMerge w:val="restart"/>
          </w:tcPr>
          <w:p>
            <w:pPr>
              <w:jc w:val="right"/>
              <w:ind w:right="43"/>
              <w:spacing w:after="0"/>
              <w:rPr>
                <w:sz w:val="20"/>
                <w:szCs w:val="20"/>
                <w:color w:val="auto"/>
              </w:rPr>
            </w:pPr>
            <w:r>
              <w:rPr>
                <w:rFonts w:ascii="Arial" w:cs="Arial" w:eastAsia="Arial" w:hAnsi="Arial"/>
                <w:sz w:val="11"/>
                <w:szCs w:val="11"/>
                <w:color w:val="auto"/>
              </w:rPr>
              <w:t>25</w:t>
            </w:r>
          </w:p>
        </w:tc>
        <w:tc>
          <w:tcPr>
            <w:tcW w:w="0" w:type="dxa"/>
            <w:vAlign w:val="bottom"/>
          </w:tcPr>
          <w:p>
            <w:pPr>
              <w:spacing w:after="0"/>
              <w:rPr>
                <w:sz w:val="1"/>
                <w:szCs w:val="1"/>
                <w:color w:val="auto"/>
              </w:rPr>
            </w:pPr>
          </w:p>
        </w:tc>
      </w:tr>
      <w:tr>
        <w:trPr>
          <w:trHeight w:val="150"/>
        </w:trPr>
        <w:tc>
          <w:tcPr>
            <w:tcW w:w="3560" w:type="dxa"/>
            <w:vAlign w:val="bottom"/>
          </w:tcPr>
          <w:p>
            <w:pPr>
              <w:ind w:left="420"/>
              <w:spacing w:after="0"/>
              <w:rPr>
                <w:sz w:val="20"/>
                <w:szCs w:val="20"/>
                <w:color w:val="auto"/>
              </w:rPr>
            </w:pPr>
            <w:r>
              <w:rPr>
                <w:rFonts w:ascii="Arial" w:cs="Arial" w:eastAsia="Arial" w:hAnsi="Arial"/>
                <w:sz w:val="11"/>
                <w:szCs w:val="11"/>
                <w:color w:val="auto"/>
              </w:rPr>
              <w:t>Statements of Consolidated Cash Flows</w:t>
            </w:r>
          </w:p>
        </w:tc>
        <w:tc>
          <w:tcPr>
            <w:tcW w:w="120" w:type="dxa"/>
            <w:vAlign w:val="bottom"/>
            <w:tcBorders>
              <w:bottom w:val="single" w:sz="8" w:color="auto"/>
            </w:tcBorders>
            <w:vMerge w:val="continue"/>
          </w:tcPr>
          <w:p>
            <w:pPr>
              <w:spacing w:after="0"/>
              <w:rPr>
                <w:sz w:val="12"/>
                <w:szCs w:val="12"/>
                <w:color w:val="auto"/>
              </w:rPr>
            </w:pPr>
          </w:p>
        </w:tc>
        <w:tc>
          <w:tcPr>
            <w:tcW w:w="1160" w:type="dxa"/>
            <w:vAlign w:val="bottom"/>
            <w:tcBorders>
              <w:bottom w:val="single" w:sz="8" w:color="auto"/>
            </w:tcBorders>
            <w:vMerge w:val="continue"/>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bottom w:val="single" w:sz="8" w:color="auto"/>
            </w:tcBorders>
            <w:vMerge w:val="continue"/>
          </w:tcPr>
          <w:p>
            <w:pPr>
              <w:spacing w:after="0"/>
              <w:rPr>
                <w:sz w:val="12"/>
                <w:szCs w:val="12"/>
                <w:color w:val="auto"/>
              </w:rPr>
            </w:pPr>
          </w:p>
        </w:tc>
        <w:tc>
          <w:tcPr>
            <w:tcW w:w="1080" w:type="dxa"/>
            <w:vAlign w:val="bottom"/>
            <w:tcBorders>
              <w:bottom w:val="single" w:sz="8" w:color="auto"/>
            </w:tcBorders>
            <w:vMerge w:val="continue"/>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Borders>
              <w:bottom w:val="single" w:sz="8" w:color="auto"/>
            </w:tcBorders>
            <w:vMerge w:val="continue"/>
          </w:tcPr>
          <w:p>
            <w:pPr>
              <w:spacing w:after="0"/>
              <w:rPr>
                <w:sz w:val="12"/>
                <w:szCs w:val="12"/>
                <w:color w:val="auto"/>
              </w:rPr>
            </w:pPr>
          </w:p>
        </w:tc>
        <w:tc>
          <w:tcPr>
            <w:tcW w:w="980" w:type="dxa"/>
            <w:vAlign w:val="bottom"/>
            <w:tcBorders>
              <w:bottom w:val="single" w:sz="8" w:color="auto"/>
            </w:tcBorders>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bottom w:val="single" w:sz="8" w:color="auto"/>
            </w:tcBorders>
            <w:vMerge w:val="continue"/>
          </w:tcPr>
          <w:p>
            <w:pPr>
              <w:spacing w:after="0"/>
              <w:rPr>
                <w:sz w:val="12"/>
                <w:szCs w:val="12"/>
                <w:color w:val="auto"/>
              </w:rPr>
            </w:pPr>
          </w:p>
        </w:tc>
        <w:tc>
          <w:tcPr>
            <w:tcW w:w="1140" w:type="dxa"/>
            <w:vAlign w:val="bottom"/>
            <w:tcBorders>
              <w:bottom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bottom w:val="single" w:sz="8" w:color="auto"/>
            </w:tcBorders>
            <w:vMerge w:val="continue"/>
          </w:tcPr>
          <w:p>
            <w:pPr>
              <w:spacing w:after="0"/>
              <w:rPr>
                <w:sz w:val="12"/>
                <w:szCs w:val="12"/>
                <w:color w:val="auto"/>
              </w:rPr>
            </w:pPr>
          </w:p>
        </w:tc>
        <w:tc>
          <w:tcPr>
            <w:tcW w:w="1040" w:type="dxa"/>
            <w:vAlign w:val="bottom"/>
            <w:tcBorders>
              <w:bottom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Borders>
              <w:bottom w:val="single" w:sz="8" w:color="auto"/>
            </w:tcBorders>
            <w:vMerge w:val="continue"/>
          </w:tcPr>
          <w:p>
            <w:pPr>
              <w:spacing w:after="0"/>
              <w:rPr>
                <w:sz w:val="12"/>
                <w:szCs w:val="12"/>
                <w:color w:val="auto"/>
              </w:rPr>
            </w:pPr>
          </w:p>
        </w:tc>
        <w:tc>
          <w:tcPr>
            <w:tcW w:w="96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(18) Related Party Transactions (Houston Electric and CERC)</w:t>
      </w:r>
    </w:p>
    <w:p>
      <w:pPr>
        <w:spacing w:after="0" w:line="188" w:lineRule="exact"/>
        <w:rPr>
          <w:sz w:val="20"/>
          <w:szCs w:val="20"/>
          <w:color w:val="auto"/>
        </w:rPr>
      </w:pPr>
    </w:p>
    <w:p>
      <w:pPr>
        <w:jc w:val="both"/>
        <w:ind w:firstLine="259"/>
        <w:spacing w:after="0" w:line="272" w:lineRule="auto"/>
        <w:rPr>
          <w:sz w:val="20"/>
          <w:szCs w:val="20"/>
          <w:color w:val="auto"/>
        </w:rPr>
      </w:pPr>
      <w:r>
        <w:rPr>
          <w:rFonts w:ascii="Arial" w:cs="Arial" w:eastAsia="Arial" w:hAnsi="Arial"/>
          <w:sz w:val="14"/>
          <w:szCs w:val="14"/>
          <w:color w:val="auto"/>
        </w:rPr>
        <w:t>Houston Electric and CERC participate in a money pool through which they can borrow or invest on a short-term basis. Funding needs are aggregated and external borrowing or investing is based on the net cash position. The net funding requirements of the money pool are expected to be met with borrowings under CenterPoint Energy’s revolving credit facility or the sale of CenterPoint Energy’s commercial paper.</w:t>
      </w:r>
    </w:p>
    <w:p>
      <w:pPr>
        <w:spacing w:after="0" w:line="142"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table below summarizes money pool activity:</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516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920" w:type="dxa"/>
            <w:vAlign w:val="bottom"/>
            <w:tcBorders>
              <w:bottom w:val="single" w:sz="8" w:color="auto"/>
            </w:tcBorders>
            <w:gridSpan w:val="2"/>
          </w:tcPr>
          <w:p>
            <w:pPr>
              <w:jc w:val="right"/>
              <w:ind w:right="23"/>
              <w:spacing w:after="0"/>
              <w:rPr>
                <w:sz w:val="20"/>
                <w:szCs w:val="20"/>
                <w:color w:val="auto"/>
              </w:rPr>
            </w:pPr>
            <w:r>
              <w:rPr>
                <w:rFonts w:ascii="Arial" w:cs="Arial" w:eastAsia="Arial" w:hAnsi="Arial"/>
                <w:sz w:val="11"/>
                <w:szCs w:val="11"/>
                <w:b w:val="1"/>
                <w:bCs w:val="1"/>
                <w:color w:val="auto"/>
              </w:rPr>
              <w:t>September 30, 2019</w:t>
            </w:r>
          </w:p>
        </w:tc>
        <w:tc>
          <w:tcPr>
            <w:tcW w:w="10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880" w:type="dxa"/>
            <w:vAlign w:val="bottom"/>
            <w:tcBorders>
              <w:bottom w:val="single" w:sz="8" w:color="auto"/>
            </w:tcBorders>
            <w:gridSpan w:val="2"/>
          </w:tcPr>
          <w:p>
            <w:pPr>
              <w:jc w:val="right"/>
              <w:ind w:right="23"/>
              <w:spacing w:after="0"/>
              <w:rPr>
                <w:sz w:val="20"/>
                <w:szCs w:val="20"/>
                <w:color w:val="auto"/>
              </w:rPr>
            </w:pPr>
            <w:r>
              <w:rPr>
                <w:rFonts w:ascii="Arial" w:cs="Arial" w:eastAsia="Arial" w:hAnsi="Arial"/>
                <w:sz w:val="11"/>
                <w:szCs w:val="11"/>
                <w:b w:val="1"/>
                <w:bCs w:val="1"/>
                <w:color w:val="auto"/>
              </w:rPr>
              <w:t>December 31, 2018</w:t>
            </w:r>
          </w:p>
        </w:tc>
        <w:tc>
          <w:tcPr>
            <w:tcW w:w="980" w:type="dxa"/>
            <w:vAlign w:val="bottom"/>
            <w:tcBorders>
              <w:bottom w:val="single" w:sz="8" w:color="auto"/>
            </w:tcBorders>
          </w:tcPr>
          <w:p>
            <w:pPr>
              <w:spacing w:after="0"/>
              <w:rPr>
                <w:sz w:val="13"/>
                <w:szCs w:val="13"/>
                <w:color w:val="auto"/>
              </w:rPr>
            </w:pPr>
          </w:p>
        </w:tc>
      </w:tr>
      <w:tr>
        <w:trPr>
          <w:trHeight w:val="196"/>
        </w:trPr>
        <w:tc>
          <w:tcPr>
            <w:tcW w:w="51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343"/>
              <w:spacing w:after="0"/>
              <w:rPr>
                <w:sz w:val="20"/>
                <w:szCs w:val="20"/>
                <w:color w:val="auto"/>
              </w:rPr>
            </w:pPr>
            <w:r>
              <w:rPr>
                <w:rFonts w:ascii="Arial" w:cs="Arial" w:eastAsia="Arial" w:hAnsi="Arial"/>
                <w:sz w:val="11"/>
                <w:szCs w:val="11"/>
                <w:b w:val="1"/>
                <w:bCs w:val="1"/>
                <w:color w:val="auto"/>
              </w:rPr>
              <w:t>Houston Electric</w:t>
            </w:r>
          </w:p>
        </w:tc>
        <w:tc>
          <w:tcPr>
            <w:tcW w:w="5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gridSpan w:val="2"/>
          </w:tcPr>
          <w:p>
            <w:pPr>
              <w:ind w:left="80"/>
              <w:spacing w:after="0"/>
              <w:rPr>
                <w:sz w:val="20"/>
                <w:szCs w:val="20"/>
                <w:color w:val="auto"/>
              </w:rPr>
            </w:pPr>
            <w:r>
              <w:rPr>
                <w:rFonts w:ascii="Arial" w:cs="Arial" w:eastAsia="Arial" w:hAnsi="Arial"/>
                <w:sz w:val="11"/>
                <w:szCs w:val="11"/>
                <w:b w:val="1"/>
                <w:bCs w:val="1"/>
                <w:color w:val="auto"/>
              </w:rPr>
              <w:t>CERC</w:t>
            </w:r>
          </w:p>
        </w:tc>
        <w:tc>
          <w:tcPr>
            <w:tcW w:w="2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323"/>
              <w:spacing w:after="0"/>
              <w:rPr>
                <w:sz w:val="20"/>
                <w:szCs w:val="20"/>
                <w:color w:val="auto"/>
              </w:rPr>
            </w:pPr>
            <w:r>
              <w:rPr>
                <w:rFonts w:ascii="Arial" w:cs="Arial" w:eastAsia="Arial" w:hAnsi="Arial"/>
                <w:sz w:val="11"/>
                <w:szCs w:val="11"/>
                <w:b w:val="1"/>
                <w:bCs w:val="1"/>
                <w:color w:val="auto"/>
              </w:rPr>
              <w:t>Houston Electric</w:t>
            </w:r>
          </w:p>
        </w:tc>
        <w:tc>
          <w:tcPr>
            <w:tcW w:w="5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523"/>
              <w:spacing w:after="0"/>
              <w:rPr>
                <w:sz w:val="20"/>
                <w:szCs w:val="20"/>
                <w:color w:val="auto"/>
              </w:rPr>
            </w:pPr>
            <w:r>
              <w:rPr>
                <w:rFonts w:ascii="Arial" w:cs="Arial" w:eastAsia="Arial" w:hAnsi="Arial"/>
                <w:sz w:val="11"/>
                <w:szCs w:val="11"/>
                <w:b w:val="1"/>
                <w:bCs w:val="1"/>
                <w:color w:val="auto"/>
              </w:rPr>
              <w:t>CERC</w:t>
            </w:r>
          </w:p>
        </w:tc>
      </w:tr>
      <w:tr>
        <w:trPr>
          <w:trHeight w:val="152"/>
        </w:trPr>
        <w:tc>
          <w:tcPr>
            <w:tcW w:w="5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40" w:type="dxa"/>
            <w:vAlign w:val="bottom"/>
            <w:gridSpan w:val="4"/>
          </w:tcPr>
          <w:p>
            <w:pPr>
              <w:jc w:val="right"/>
              <w:ind w:right="743"/>
              <w:spacing w:after="0"/>
              <w:rPr>
                <w:sz w:val="20"/>
                <w:szCs w:val="20"/>
                <w:color w:val="auto"/>
              </w:rPr>
            </w:pPr>
            <w:r>
              <w:rPr>
                <w:rFonts w:ascii="Arial" w:cs="Arial" w:eastAsia="Arial" w:hAnsi="Arial"/>
                <w:sz w:val="11"/>
                <w:szCs w:val="11"/>
                <w:b w:val="1"/>
                <w:bCs w:val="1"/>
                <w:color w:val="auto"/>
              </w:rPr>
              <w:t>(in millions, except interest rates)</w:t>
            </w:r>
          </w:p>
        </w:tc>
        <w:tc>
          <w:tcPr>
            <w:tcW w:w="54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220"/>
        </w:trPr>
        <w:tc>
          <w:tcPr>
            <w:tcW w:w="5160" w:type="dxa"/>
            <w:vAlign w:val="bottom"/>
            <w:shd w:val="clear" w:color="auto" w:fill="CCEEFF"/>
          </w:tcPr>
          <w:p>
            <w:pPr>
              <w:ind w:left="20"/>
              <w:spacing w:after="0"/>
              <w:rPr>
                <w:sz w:val="20"/>
                <w:szCs w:val="20"/>
                <w:color w:val="auto"/>
              </w:rPr>
            </w:pPr>
            <w:r>
              <w:rPr>
                <w:rFonts w:ascii="Arial" w:cs="Arial" w:eastAsia="Arial" w:hAnsi="Arial"/>
                <w:sz w:val="11"/>
                <w:szCs w:val="11"/>
                <w:color w:val="auto"/>
              </w:rPr>
              <w:t xml:space="preserve">Money pool investments (borrowings) </w:t>
            </w:r>
            <w:r>
              <w:rPr>
                <w:rFonts w:ascii="Arial" w:cs="Arial" w:eastAsia="Arial" w:hAnsi="Arial"/>
                <w:sz w:val="10"/>
                <w:szCs w:val="10"/>
                <w:color w:val="auto"/>
              </w:rPr>
              <w:t>(1)</w:t>
            </w:r>
          </w:p>
        </w:tc>
        <w:tc>
          <w:tcPr>
            <w:tcW w:w="22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w w:val="97"/>
              </w:rPr>
              <w:t>$</w:t>
            </w:r>
          </w:p>
        </w:tc>
        <w:tc>
          <w:tcPr>
            <w:tcW w:w="1360" w:type="dxa"/>
            <w:vAlign w:val="bottom"/>
            <w:shd w:val="clear" w:color="auto" w:fill="CCEEFF"/>
          </w:tcPr>
          <w:p>
            <w:pPr>
              <w:jc w:val="right"/>
              <w:ind w:right="143"/>
              <w:spacing w:after="0"/>
              <w:rPr>
                <w:sz w:val="20"/>
                <w:szCs w:val="20"/>
                <w:color w:val="auto"/>
              </w:rPr>
            </w:pPr>
            <w:r>
              <w:rPr>
                <w:rFonts w:ascii="Arial" w:cs="Arial" w:eastAsia="Arial" w:hAnsi="Arial"/>
                <w:sz w:val="11"/>
                <w:szCs w:val="11"/>
                <w:color w:val="auto"/>
              </w:rPr>
              <w:t>772</w:t>
            </w:r>
          </w:p>
        </w:tc>
        <w:tc>
          <w:tcPr>
            <w:tcW w:w="560" w:type="dxa"/>
            <w:vAlign w:val="bottom"/>
            <w:shd w:val="clear" w:color="auto" w:fill="CCEEFF"/>
          </w:tcPr>
          <w:p>
            <w:pPr>
              <w:jc w:val="right"/>
              <w:ind w:right="363"/>
              <w:spacing w:after="0"/>
              <w:rPr>
                <w:sz w:val="20"/>
                <w:szCs w:val="20"/>
                <w:color w:val="auto"/>
              </w:rPr>
            </w:pPr>
            <w:r>
              <w:rPr>
                <w:rFonts w:ascii="Arial" w:cs="Arial" w:eastAsia="Arial" w:hAnsi="Arial"/>
                <w:sz w:val="11"/>
                <w:szCs w:val="11"/>
                <w:color w:val="auto"/>
              </w:rPr>
              <w:t>$</w:t>
            </w:r>
          </w:p>
        </w:tc>
        <w:tc>
          <w:tcPr>
            <w:tcW w:w="100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87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w w:val="97"/>
              </w:rPr>
              <w:t>$</w:t>
            </w:r>
          </w:p>
        </w:tc>
        <w:tc>
          <w:tcPr>
            <w:tcW w:w="134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(1)</w:t>
            </w:r>
          </w:p>
        </w:tc>
        <w:tc>
          <w:tcPr>
            <w:tcW w:w="540" w:type="dxa"/>
            <w:vAlign w:val="bottom"/>
            <w:shd w:val="clear" w:color="auto" w:fill="CCEEFF"/>
          </w:tcPr>
          <w:p>
            <w:pPr>
              <w:jc w:val="right"/>
              <w:ind w:right="363"/>
              <w:spacing w:after="0"/>
              <w:rPr>
                <w:sz w:val="20"/>
                <w:szCs w:val="20"/>
                <w:color w:val="auto"/>
              </w:rPr>
            </w:pPr>
            <w:r>
              <w:rPr>
                <w:rFonts w:ascii="Arial" w:cs="Arial" w:eastAsia="Arial" w:hAnsi="Arial"/>
                <w:sz w:val="11"/>
                <w:szCs w:val="11"/>
                <w:color w:val="auto"/>
              </w:rPr>
              <w:t>$</w:t>
            </w:r>
          </w:p>
        </w:tc>
        <w:tc>
          <w:tcPr>
            <w:tcW w:w="98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114</w:t>
            </w:r>
          </w:p>
        </w:tc>
      </w:tr>
      <w:tr>
        <w:trPr>
          <w:trHeight w:val="206"/>
        </w:trPr>
        <w:tc>
          <w:tcPr>
            <w:tcW w:w="5160" w:type="dxa"/>
            <w:vAlign w:val="bottom"/>
          </w:tcPr>
          <w:p>
            <w:pPr>
              <w:ind w:left="20"/>
              <w:spacing w:after="0"/>
              <w:rPr>
                <w:sz w:val="20"/>
                <w:szCs w:val="20"/>
                <w:color w:val="auto"/>
              </w:rPr>
            </w:pPr>
            <w:r>
              <w:rPr>
                <w:rFonts w:ascii="Arial" w:cs="Arial" w:eastAsia="Arial" w:hAnsi="Arial"/>
                <w:sz w:val="11"/>
                <w:szCs w:val="11"/>
                <w:color w:val="auto"/>
              </w:rPr>
              <w:t>Weighted average interest rate</w:t>
            </w:r>
          </w:p>
        </w:tc>
        <w:tc>
          <w:tcPr>
            <w:tcW w:w="220" w:type="dxa"/>
            <w:vAlign w:val="bottom"/>
          </w:tcPr>
          <w:p>
            <w:pPr>
              <w:spacing w:after="0"/>
              <w:rPr>
                <w:sz w:val="17"/>
                <w:szCs w:val="17"/>
                <w:color w:val="auto"/>
              </w:rPr>
            </w:pPr>
          </w:p>
        </w:tc>
        <w:tc>
          <w:tcPr>
            <w:tcW w:w="1360" w:type="dxa"/>
            <w:vAlign w:val="bottom"/>
          </w:tcPr>
          <w:p>
            <w:pPr>
              <w:jc w:val="right"/>
              <w:ind w:right="43"/>
              <w:spacing w:after="0"/>
              <w:rPr>
                <w:sz w:val="20"/>
                <w:szCs w:val="20"/>
                <w:color w:val="auto"/>
              </w:rPr>
            </w:pPr>
            <w:r>
              <w:rPr>
                <w:rFonts w:ascii="Arial" w:cs="Arial" w:eastAsia="Arial" w:hAnsi="Arial"/>
                <w:sz w:val="11"/>
                <w:szCs w:val="11"/>
                <w:color w:val="auto"/>
              </w:rPr>
              <w:t>2.32%</w:t>
            </w:r>
          </w:p>
        </w:tc>
        <w:tc>
          <w:tcPr>
            <w:tcW w:w="5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2.32%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Pr>
          <w:p>
            <w:pPr>
              <w:jc w:val="right"/>
              <w:ind w:right="23"/>
              <w:spacing w:after="0"/>
              <w:rPr>
                <w:sz w:val="20"/>
                <w:szCs w:val="20"/>
                <w:color w:val="auto"/>
              </w:rPr>
            </w:pPr>
            <w:r>
              <w:rPr>
                <w:rFonts w:ascii="Arial" w:cs="Arial" w:eastAsia="Arial" w:hAnsi="Arial"/>
                <w:sz w:val="11"/>
                <w:szCs w:val="11"/>
                <w:color w:val="auto"/>
              </w:rPr>
              <w:t>2.42%</w:t>
            </w:r>
          </w:p>
        </w:tc>
        <w:tc>
          <w:tcPr>
            <w:tcW w:w="5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2.42%</w:t>
            </w:r>
          </w:p>
        </w:tc>
      </w:tr>
    </w:tbl>
    <w:p>
      <w:pPr>
        <w:spacing w:after="0" w:line="171" w:lineRule="exact"/>
        <w:rPr>
          <w:sz w:val="20"/>
          <w:szCs w:val="20"/>
          <w:color w:val="auto"/>
        </w:rPr>
      </w:pPr>
    </w:p>
    <w:p>
      <w:pPr>
        <w:ind w:left="5660" w:right="1620" w:hanging="5395"/>
        <w:spacing w:after="0" w:line="834" w:lineRule="auto"/>
        <w:tabs>
          <w:tab w:leader="none" w:pos="521" w:val="left"/>
        </w:tabs>
        <w:numPr>
          <w:ilvl w:val="0"/>
          <w:numId w:val="50"/>
        </w:numPr>
        <w:rPr>
          <w:rFonts w:ascii="Arial" w:cs="Arial" w:eastAsia="Arial" w:hAnsi="Arial"/>
          <w:sz w:val="14"/>
          <w:szCs w:val="14"/>
          <w:color w:val="auto"/>
        </w:rPr>
      </w:pPr>
      <w:r>
        <w:rPr>
          <w:rFonts w:ascii="Arial" w:cs="Arial" w:eastAsia="Arial" w:hAnsi="Arial"/>
          <w:sz w:val="14"/>
          <w:szCs w:val="14"/>
          <w:color w:val="auto"/>
        </w:rPr>
        <w:t>Included in Accounts and notes receivable (payable)–affiliated companies on Houston Electric’s and CERC’s respective Condensed Consolidated Balance Sheets. 59</w:t>
      </w:r>
    </w:p>
    <w:p>
      <w:pPr>
        <w:sectPr>
          <w:pgSz w:w="11900" w:h="16838" w:orient="portrait"/>
          <w:cols w:equalWidth="0" w:num="1">
            <w:col w:w="11460"/>
          </w:cols>
          <w:pgMar w:left="220" w:top="129" w:right="219" w:bottom="1440" w:gutter="0" w:footer="0" w:header="0"/>
        </w:sectPr>
      </w:pPr>
    </w:p>
    <w:bookmarkStart w:id="69" w:name="page70"/>
    <w:bookmarkEnd w:id="69"/>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205" w:lineRule="exact"/>
        <w:rPr>
          <w:sz w:val="20"/>
          <w:szCs w:val="20"/>
          <w:color w:val="auto"/>
        </w:rPr>
      </w:pPr>
    </w:p>
    <w:p>
      <w:pPr>
        <w:ind w:left="260"/>
        <w:spacing w:after="0"/>
        <w:rPr>
          <w:sz w:val="20"/>
          <w:szCs w:val="20"/>
          <w:color w:val="auto"/>
        </w:rPr>
      </w:pPr>
      <w:r>
        <w:rPr>
          <w:rFonts w:ascii="Arial" w:cs="Arial" w:eastAsia="Arial" w:hAnsi="Arial"/>
          <w:sz w:val="14"/>
          <w:szCs w:val="14"/>
          <w:color w:val="auto"/>
        </w:rPr>
        <w:t>Houston Electric and CERC affiliate related net interest income (expense) were as follows: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4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980" w:type="dxa"/>
            <w:vAlign w:val="bottom"/>
            <w:tcBorders>
              <w:bottom w:val="single" w:sz="8" w:color="auto"/>
            </w:tcBorders>
            <w:gridSpan w:val="4"/>
          </w:tcPr>
          <w:p>
            <w:pPr>
              <w:jc w:val="right"/>
              <w:ind w:right="83"/>
              <w:spacing w:after="0"/>
              <w:rPr>
                <w:sz w:val="20"/>
                <w:szCs w:val="20"/>
                <w:color w:val="auto"/>
              </w:rPr>
            </w:pPr>
            <w:r>
              <w:rPr>
                <w:rFonts w:ascii="Arial" w:cs="Arial" w:eastAsia="Arial" w:hAnsi="Arial"/>
                <w:sz w:val="11"/>
                <w:szCs w:val="11"/>
                <w:b w:val="1"/>
                <w:bCs w:val="1"/>
                <w:color w:val="auto"/>
                <w:w w:val="97"/>
              </w:rPr>
              <w:t>Three Months Ended September 30,</w:t>
            </w:r>
          </w:p>
        </w:tc>
        <w:tc>
          <w:tcPr>
            <w:tcW w:w="4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900" w:type="dxa"/>
            <w:vAlign w:val="bottom"/>
            <w:tcBorders>
              <w:bottom w:val="single" w:sz="8" w:color="auto"/>
            </w:tcBorders>
            <w:gridSpan w:val="4"/>
          </w:tcPr>
          <w:p>
            <w:pPr>
              <w:jc w:val="right"/>
              <w:ind w:right="63"/>
              <w:spacing w:after="0"/>
              <w:rPr>
                <w:sz w:val="20"/>
                <w:szCs w:val="20"/>
                <w:color w:val="auto"/>
              </w:rPr>
            </w:pPr>
            <w:r>
              <w:rPr>
                <w:rFonts w:ascii="Arial" w:cs="Arial" w:eastAsia="Arial" w:hAnsi="Arial"/>
                <w:sz w:val="11"/>
                <w:szCs w:val="11"/>
                <w:b w:val="1"/>
                <w:bCs w:val="1"/>
                <w:color w:val="auto"/>
                <w:w w:val="97"/>
              </w:rPr>
              <w:t>Nine Months Ended September 30,</w:t>
            </w:r>
          </w:p>
        </w:tc>
        <w:tc>
          <w:tcPr>
            <w:tcW w:w="4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r>
      <w:tr>
        <w:trPr>
          <w:trHeight w:val="206"/>
        </w:trPr>
        <w:tc>
          <w:tcPr>
            <w:tcW w:w="24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jc w:val="right"/>
              <w:ind w:right="23"/>
              <w:spacing w:after="0"/>
              <w:rPr>
                <w:sz w:val="20"/>
                <w:szCs w:val="20"/>
                <w:color w:val="auto"/>
              </w:rPr>
            </w:pPr>
            <w:r>
              <w:rPr>
                <w:rFonts w:ascii="Arial" w:cs="Arial" w:eastAsia="Arial" w:hAnsi="Arial"/>
                <w:sz w:val="11"/>
                <w:szCs w:val="11"/>
                <w:b w:val="1"/>
                <w:bCs w:val="1"/>
                <w:color w:val="auto"/>
              </w:rPr>
              <w:t>2019</w:t>
            </w:r>
          </w:p>
        </w:tc>
        <w:tc>
          <w:tcPr>
            <w:tcW w:w="8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b w:val="1"/>
                <w:bCs w:val="1"/>
                <w:color w:val="auto"/>
                <w:w w:val="97"/>
              </w:rPr>
              <w:t>2018</w:t>
            </w:r>
          </w:p>
        </w:tc>
        <w:tc>
          <w:tcPr>
            <w:tcW w:w="8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jc w:val="right"/>
              <w:ind w:right="23"/>
              <w:spacing w:after="0"/>
              <w:rPr>
                <w:sz w:val="20"/>
                <w:szCs w:val="20"/>
                <w:color w:val="auto"/>
              </w:rPr>
            </w:pPr>
            <w:r>
              <w:rPr>
                <w:rFonts w:ascii="Arial" w:cs="Arial" w:eastAsia="Arial" w:hAnsi="Arial"/>
                <w:sz w:val="11"/>
                <w:szCs w:val="11"/>
                <w:b w:val="1"/>
                <w:bCs w:val="1"/>
                <w:color w:val="auto"/>
                <w:w w:val="97"/>
              </w:rPr>
              <w:t>2019</w:t>
            </w:r>
          </w:p>
        </w:tc>
        <w:tc>
          <w:tcPr>
            <w:tcW w:w="8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b w:val="1"/>
                <w:bCs w:val="1"/>
                <w:color w:val="auto"/>
                <w:w w:val="97"/>
              </w:rPr>
              <w:t>2018</w:t>
            </w:r>
          </w:p>
        </w:tc>
        <w:tc>
          <w:tcPr>
            <w:tcW w:w="800" w:type="dxa"/>
            <w:vAlign w:val="bottom"/>
            <w:tcBorders>
              <w:bottom w:val="single" w:sz="8" w:color="auto"/>
            </w:tcBorders>
          </w:tcPr>
          <w:p>
            <w:pPr>
              <w:spacing w:after="0"/>
              <w:rPr>
                <w:sz w:val="17"/>
                <w:szCs w:val="17"/>
                <w:color w:val="auto"/>
              </w:rPr>
            </w:pPr>
          </w:p>
        </w:tc>
      </w:tr>
      <w:tr>
        <w:trPr>
          <w:trHeight w:val="206"/>
        </w:trPr>
        <w:tc>
          <w:tcPr>
            <w:tcW w:w="24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3"/>
              </w:rPr>
              <w:t>Houston Electric</w:t>
            </w:r>
          </w:p>
        </w:tc>
        <w:tc>
          <w:tcPr>
            <w:tcW w:w="3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2"/>
          </w:tcPr>
          <w:p>
            <w:pPr>
              <w:ind w:left="200"/>
              <w:spacing w:after="0"/>
              <w:rPr>
                <w:sz w:val="20"/>
                <w:szCs w:val="20"/>
                <w:color w:val="auto"/>
              </w:rPr>
            </w:pPr>
            <w:r>
              <w:rPr>
                <w:rFonts w:ascii="Arial" w:cs="Arial" w:eastAsia="Arial" w:hAnsi="Arial"/>
                <w:sz w:val="11"/>
                <w:szCs w:val="11"/>
                <w:b w:val="1"/>
                <w:bCs w:val="1"/>
                <w:color w:val="auto"/>
              </w:rPr>
              <w:t>CERC</w:t>
            </w:r>
          </w:p>
        </w:tc>
        <w:tc>
          <w:tcPr>
            <w:tcW w:w="1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3"/>
              </w:rPr>
              <w:t>Houston Electric</w:t>
            </w:r>
          </w:p>
        </w:tc>
        <w:tc>
          <w:tcPr>
            <w:tcW w:w="4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gridSpan w:val="2"/>
          </w:tcPr>
          <w:p>
            <w:pPr>
              <w:ind w:left="140"/>
              <w:spacing w:after="0"/>
              <w:rPr>
                <w:sz w:val="20"/>
                <w:szCs w:val="20"/>
                <w:color w:val="auto"/>
              </w:rPr>
            </w:pPr>
            <w:r>
              <w:rPr>
                <w:rFonts w:ascii="Arial" w:cs="Arial" w:eastAsia="Arial" w:hAnsi="Arial"/>
                <w:sz w:val="11"/>
                <w:szCs w:val="11"/>
                <w:b w:val="1"/>
                <w:bCs w:val="1"/>
                <w:color w:val="auto"/>
              </w:rPr>
              <w:t>CERC</w:t>
            </w:r>
          </w:p>
        </w:tc>
        <w:tc>
          <w:tcPr>
            <w:tcW w:w="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3"/>
              </w:rPr>
              <w:t>Houston Electric</w:t>
            </w:r>
          </w:p>
        </w:tc>
        <w:tc>
          <w:tcPr>
            <w:tcW w:w="3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gridSpan w:val="2"/>
          </w:tcPr>
          <w:p>
            <w:pPr>
              <w:ind w:left="200"/>
              <w:spacing w:after="0"/>
              <w:rPr>
                <w:sz w:val="20"/>
                <w:szCs w:val="20"/>
                <w:color w:val="auto"/>
              </w:rPr>
            </w:pPr>
            <w:r>
              <w:rPr>
                <w:rFonts w:ascii="Arial" w:cs="Arial" w:eastAsia="Arial" w:hAnsi="Arial"/>
                <w:sz w:val="11"/>
                <w:szCs w:val="11"/>
                <w:b w:val="1"/>
                <w:bCs w:val="1"/>
                <w:color w:val="auto"/>
              </w:rPr>
              <w:t>CERC</w:t>
            </w:r>
          </w:p>
        </w:tc>
        <w:tc>
          <w:tcPr>
            <w:tcW w:w="1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1"/>
              </w:rPr>
              <w:t>Houston Electric</w:t>
            </w:r>
          </w:p>
        </w:tc>
        <w:tc>
          <w:tcPr>
            <w:tcW w:w="4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83"/>
              <w:spacing w:after="0"/>
              <w:rPr>
                <w:sz w:val="20"/>
                <w:szCs w:val="20"/>
                <w:color w:val="auto"/>
              </w:rPr>
            </w:pPr>
            <w:r>
              <w:rPr>
                <w:rFonts w:ascii="Arial" w:cs="Arial" w:eastAsia="Arial" w:hAnsi="Arial"/>
                <w:sz w:val="11"/>
                <w:szCs w:val="11"/>
                <w:b w:val="1"/>
                <w:bCs w:val="1"/>
                <w:color w:val="auto"/>
              </w:rPr>
              <w:t>CERC</w:t>
            </w:r>
          </w:p>
        </w:tc>
      </w:tr>
      <w:tr>
        <w:trPr>
          <w:trHeight w:val="196"/>
        </w:trPr>
        <w:tc>
          <w:tcPr>
            <w:tcW w:w="2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80" w:type="dxa"/>
            <w:vAlign w:val="bottom"/>
            <w:gridSpan w:val="4"/>
          </w:tcPr>
          <w:p>
            <w:pPr>
              <w:jc w:val="right"/>
              <w:ind w:right="723"/>
              <w:spacing w:after="0"/>
              <w:rPr>
                <w:sz w:val="20"/>
                <w:szCs w:val="20"/>
                <w:color w:val="auto"/>
              </w:rPr>
            </w:pPr>
            <w:r>
              <w:rPr>
                <w:rFonts w:ascii="Arial" w:cs="Arial" w:eastAsia="Arial" w:hAnsi="Arial"/>
                <w:sz w:val="11"/>
                <w:szCs w:val="11"/>
                <w:b w:val="1"/>
                <w:bCs w:val="1"/>
                <w:color w:val="auto"/>
              </w:rPr>
              <w:t>(in millions)</w:t>
            </w:r>
          </w:p>
        </w:tc>
        <w:tc>
          <w:tcPr>
            <w:tcW w:w="3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20"/>
        </w:trPr>
        <w:tc>
          <w:tcPr>
            <w:tcW w:w="2420" w:type="dxa"/>
            <w:vAlign w:val="bottom"/>
            <w:shd w:val="clear" w:color="auto" w:fill="CCEEFF"/>
          </w:tcPr>
          <w:p>
            <w:pPr>
              <w:ind w:left="20"/>
              <w:spacing w:after="0"/>
              <w:rPr>
                <w:sz w:val="20"/>
                <w:szCs w:val="20"/>
                <w:color w:val="auto"/>
              </w:rPr>
            </w:pPr>
            <w:r>
              <w:rPr>
                <w:rFonts w:ascii="Arial" w:cs="Arial" w:eastAsia="Arial" w:hAnsi="Arial"/>
                <w:sz w:val="11"/>
                <w:szCs w:val="11"/>
                <w:color w:val="auto"/>
              </w:rPr>
              <w:t>Interest income (expense) (1)</w:t>
            </w: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w:t>
            </w:r>
          </w:p>
        </w:tc>
        <w:tc>
          <w:tcPr>
            <w:tcW w:w="36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w:t>
            </w:r>
          </w:p>
        </w:tc>
        <w:tc>
          <w:tcPr>
            <w:tcW w:w="88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1</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42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w:t>
            </w:r>
          </w:p>
        </w:tc>
        <w:tc>
          <w:tcPr>
            <w:tcW w:w="82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(2)</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w:t>
            </w:r>
          </w:p>
        </w:tc>
        <w:tc>
          <w:tcPr>
            <w:tcW w:w="34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w:t>
            </w:r>
          </w:p>
        </w:tc>
        <w:tc>
          <w:tcPr>
            <w:tcW w:w="86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3</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40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w:t>
            </w:r>
          </w:p>
        </w:tc>
        <w:tc>
          <w:tcPr>
            <w:tcW w:w="8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(4)</w:t>
            </w:r>
          </w:p>
        </w:tc>
      </w:tr>
    </w:tbl>
    <w:p>
      <w:pPr>
        <w:spacing w:after="0" w:line="162" w:lineRule="exact"/>
        <w:rPr>
          <w:sz w:val="20"/>
          <w:szCs w:val="20"/>
          <w:color w:val="auto"/>
        </w:rPr>
      </w:pPr>
    </w:p>
    <w:p>
      <w:pPr>
        <w:ind w:left="520" w:hanging="255"/>
        <w:spacing w:after="0" w:line="288" w:lineRule="auto"/>
        <w:tabs>
          <w:tab w:leader="none" w:pos="520" w:val="left"/>
        </w:tabs>
        <w:numPr>
          <w:ilvl w:val="0"/>
          <w:numId w:val="51"/>
        </w:numPr>
        <w:rPr>
          <w:rFonts w:ascii="Arial" w:cs="Arial" w:eastAsia="Arial" w:hAnsi="Arial"/>
          <w:sz w:val="14"/>
          <w:szCs w:val="14"/>
          <w:color w:val="auto"/>
        </w:rPr>
      </w:pPr>
      <w:r>
        <w:rPr>
          <w:rFonts w:ascii="Arial" w:cs="Arial" w:eastAsia="Arial" w:hAnsi="Arial"/>
          <w:sz w:val="14"/>
          <w:szCs w:val="14"/>
          <w:color w:val="auto"/>
        </w:rPr>
        <w:t>Interest income is included in Other income (expense), net and interest expense is included in Interest and other finance charges on Houston Electric’s and CERC’s respective Condensed Statements of Consolidated Income.</w:t>
      </w:r>
    </w:p>
    <w:p>
      <w:pPr>
        <w:spacing w:after="0" w:line="131" w:lineRule="exact"/>
        <w:rPr>
          <w:sz w:val="20"/>
          <w:szCs w:val="20"/>
          <w:color w:val="auto"/>
        </w:rPr>
      </w:pPr>
    </w:p>
    <w:p>
      <w:pPr>
        <w:jc w:val="both"/>
        <w:ind w:firstLine="259"/>
        <w:spacing w:after="0" w:line="287" w:lineRule="auto"/>
        <w:rPr>
          <w:sz w:val="20"/>
          <w:szCs w:val="20"/>
          <w:color w:val="auto"/>
        </w:rPr>
      </w:pPr>
      <w:r>
        <w:rPr>
          <w:rFonts w:ascii="Arial" w:cs="Arial" w:eastAsia="Arial" w:hAnsi="Arial"/>
          <w:sz w:val="13"/>
          <w:szCs w:val="13"/>
          <w:color w:val="auto"/>
        </w:rPr>
        <w:t>CenterPoint Energy provides some corporate services to Houston Electric and CERC. The costs of services have been charged directly to Houston Electric and CERC using methods that management believes are reasonable. These methods include negotiated usage rates, dedicated asset assignment and proportionate corporate formulas based on operating expenses, assets, gross margin, employees and a composite of assets, gross margin and employees. Houston Electric provides certain services to CERC. These services are billed at actual cost, either directly or as an allocation and include fleet services, shop services, geographic services, surveying and right-of-way services, radio communications, data circuit management and field operations. Additionally, CERC provides certain services to Houston Electric. These services are billed at actual cost, either directly or as an allocation and include line locating and other miscellaneous services. These charges are not necessarily indicative of what would have been incurred had Houston Electric and CERC not been affiliates.</w:t>
      </w:r>
    </w:p>
    <w:p>
      <w:pPr>
        <w:spacing w:after="0" w:line="134" w:lineRule="exact"/>
        <w:rPr>
          <w:sz w:val="20"/>
          <w:szCs w:val="20"/>
          <w:color w:val="auto"/>
        </w:rPr>
      </w:pPr>
    </w:p>
    <w:p>
      <w:pPr>
        <w:ind w:left="260"/>
        <w:spacing w:after="0"/>
        <w:rPr>
          <w:sz w:val="20"/>
          <w:szCs w:val="20"/>
          <w:color w:val="auto"/>
        </w:rPr>
      </w:pPr>
      <w:r>
        <w:rPr>
          <w:rFonts w:ascii="Arial" w:cs="Arial" w:eastAsia="Arial" w:hAnsi="Arial"/>
          <w:sz w:val="14"/>
          <w:szCs w:val="14"/>
          <w:color w:val="auto"/>
        </w:rPr>
        <w:t>Amounts charged for these services were as follows and are included primarily in operation and maintenance expenses: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4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2000" w:type="dxa"/>
            <w:vAlign w:val="bottom"/>
            <w:tcBorders>
              <w:bottom w:val="single" w:sz="8" w:color="auto"/>
            </w:tcBorders>
            <w:gridSpan w:val="4"/>
          </w:tcPr>
          <w:p>
            <w:pPr>
              <w:jc w:val="right"/>
              <w:ind w:right="103"/>
              <w:spacing w:after="0"/>
              <w:rPr>
                <w:sz w:val="20"/>
                <w:szCs w:val="20"/>
                <w:color w:val="auto"/>
              </w:rPr>
            </w:pPr>
            <w:r>
              <w:rPr>
                <w:rFonts w:ascii="Arial" w:cs="Arial" w:eastAsia="Arial" w:hAnsi="Arial"/>
                <w:sz w:val="11"/>
                <w:szCs w:val="11"/>
                <w:b w:val="1"/>
                <w:bCs w:val="1"/>
                <w:color w:val="auto"/>
                <w:w w:val="97"/>
              </w:rPr>
              <w:t>Three Months Ended September 30,</w:t>
            </w:r>
          </w:p>
        </w:tc>
        <w:tc>
          <w:tcPr>
            <w:tcW w:w="4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920" w:type="dxa"/>
            <w:vAlign w:val="bottom"/>
            <w:tcBorders>
              <w:bottom w:val="single" w:sz="8" w:color="auto"/>
            </w:tcBorders>
            <w:gridSpan w:val="4"/>
          </w:tcPr>
          <w:p>
            <w:pPr>
              <w:jc w:val="right"/>
              <w:ind w:right="83"/>
              <w:spacing w:after="0"/>
              <w:rPr>
                <w:sz w:val="20"/>
                <w:szCs w:val="20"/>
                <w:color w:val="auto"/>
              </w:rPr>
            </w:pPr>
            <w:r>
              <w:rPr>
                <w:rFonts w:ascii="Arial" w:cs="Arial" w:eastAsia="Arial" w:hAnsi="Arial"/>
                <w:sz w:val="11"/>
                <w:szCs w:val="11"/>
                <w:b w:val="1"/>
                <w:bCs w:val="1"/>
                <w:color w:val="auto"/>
                <w:w w:val="97"/>
              </w:rPr>
              <w:t>Nine Months Ended September 30,</w:t>
            </w:r>
          </w:p>
        </w:tc>
        <w:tc>
          <w:tcPr>
            <w:tcW w:w="3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r>
      <w:tr>
        <w:trPr>
          <w:trHeight w:val="206"/>
        </w:trPr>
        <w:tc>
          <w:tcPr>
            <w:tcW w:w="24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jc w:val="right"/>
              <w:ind w:right="23"/>
              <w:spacing w:after="0"/>
              <w:rPr>
                <w:sz w:val="20"/>
                <w:szCs w:val="20"/>
                <w:color w:val="auto"/>
              </w:rPr>
            </w:pPr>
            <w:r>
              <w:rPr>
                <w:rFonts w:ascii="Arial" w:cs="Arial" w:eastAsia="Arial" w:hAnsi="Arial"/>
                <w:sz w:val="11"/>
                <w:szCs w:val="11"/>
                <w:b w:val="1"/>
                <w:bCs w:val="1"/>
                <w:color w:val="auto"/>
                <w:w w:val="97"/>
              </w:rPr>
              <w:t>2019</w:t>
            </w:r>
          </w:p>
        </w:tc>
        <w:tc>
          <w:tcPr>
            <w:tcW w:w="8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b w:val="1"/>
                <w:bCs w:val="1"/>
                <w:color w:val="auto"/>
                <w:w w:val="89"/>
              </w:rPr>
              <w:t>2018</w:t>
            </w:r>
          </w:p>
        </w:tc>
        <w:tc>
          <w:tcPr>
            <w:tcW w:w="8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jc w:val="right"/>
              <w:ind w:right="23"/>
              <w:spacing w:after="0"/>
              <w:rPr>
                <w:sz w:val="20"/>
                <w:szCs w:val="20"/>
                <w:color w:val="auto"/>
              </w:rPr>
            </w:pPr>
            <w:r>
              <w:rPr>
                <w:rFonts w:ascii="Arial" w:cs="Arial" w:eastAsia="Arial" w:hAnsi="Arial"/>
                <w:sz w:val="11"/>
                <w:szCs w:val="11"/>
                <w:b w:val="1"/>
                <w:bCs w:val="1"/>
                <w:color w:val="auto"/>
                <w:w w:val="89"/>
              </w:rPr>
              <w:t>2019</w:t>
            </w:r>
          </w:p>
        </w:tc>
        <w:tc>
          <w:tcPr>
            <w:tcW w:w="8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b w:val="1"/>
                <w:bCs w:val="1"/>
                <w:color w:val="auto"/>
                <w:w w:val="89"/>
              </w:rPr>
              <w:t>2018</w:t>
            </w:r>
          </w:p>
        </w:tc>
        <w:tc>
          <w:tcPr>
            <w:tcW w:w="800" w:type="dxa"/>
            <w:vAlign w:val="bottom"/>
            <w:tcBorders>
              <w:bottom w:val="single" w:sz="8" w:color="auto"/>
            </w:tcBorders>
          </w:tcPr>
          <w:p>
            <w:pPr>
              <w:spacing w:after="0"/>
              <w:rPr>
                <w:sz w:val="17"/>
                <w:szCs w:val="17"/>
                <w:color w:val="auto"/>
              </w:rPr>
            </w:pPr>
          </w:p>
        </w:tc>
      </w:tr>
      <w:tr>
        <w:trPr>
          <w:trHeight w:val="206"/>
        </w:trPr>
        <w:tc>
          <w:tcPr>
            <w:tcW w:w="24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3"/>
              </w:rPr>
              <w:t>Houston Electric</w:t>
            </w:r>
          </w:p>
        </w:tc>
        <w:tc>
          <w:tcPr>
            <w:tcW w:w="3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2"/>
          </w:tcPr>
          <w:p>
            <w:pPr>
              <w:ind w:left="200"/>
              <w:spacing w:after="0"/>
              <w:rPr>
                <w:sz w:val="20"/>
                <w:szCs w:val="20"/>
                <w:color w:val="auto"/>
              </w:rPr>
            </w:pPr>
            <w:r>
              <w:rPr>
                <w:rFonts w:ascii="Arial" w:cs="Arial" w:eastAsia="Arial" w:hAnsi="Arial"/>
                <w:sz w:val="11"/>
                <w:szCs w:val="11"/>
                <w:b w:val="1"/>
                <w:bCs w:val="1"/>
                <w:color w:val="auto"/>
              </w:rPr>
              <w:t>CERC</w:t>
            </w: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b w:val="1"/>
                <w:bCs w:val="1"/>
                <w:color w:val="auto"/>
                <w:w w:val="93"/>
              </w:rPr>
              <w:t>Houston Electric</w:t>
            </w:r>
          </w:p>
        </w:tc>
        <w:tc>
          <w:tcPr>
            <w:tcW w:w="4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gridSpan w:val="2"/>
          </w:tcPr>
          <w:p>
            <w:pPr>
              <w:ind w:left="140"/>
              <w:spacing w:after="0"/>
              <w:rPr>
                <w:sz w:val="20"/>
                <w:szCs w:val="20"/>
                <w:color w:val="auto"/>
              </w:rPr>
            </w:pPr>
            <w:r>
              <w:rPr>
                <w:rFonts w:ascii="Arial" w:cs="Arial" w:eastAsia="Arial" w:hAnsi="Arial"/>
                <w:sz w:val="11"/>
                <w:szCs w:val="11"/>
                <w:b w:val="1"/>
                <w:bCs w:val="1"/>
                <w:color w:val="auto"/>
              </w:rPr>
              <w:t>CERC</w:t>
            </w:r>
          </w:p>
        </w:tc>
        <w:tc>
          <w:tcPr>
            <w:tcW w:w="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3"/>
              </w:rPr>
              <w:t>Houston Electric</w:t>
            </w:r>
          </w:p>
        </w:tc>
        <w:tc>
          <w:tcPr>
            <w:tcW w:w="3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gridSpan w:val="2"/>
          </w:tcPr>
          <w:p>
            <w:pPr>
              <w:ind w:left="200"/>
              <w:spacing w:after="0"/>
              <w:rPr>
                <w:sz w:val="20"/>
                <w:szCs w:val="20"/>
                <w:color w:val="auto"/>
              </w:rPr>
            </w:pPr>
            <w:r>
              <w:rPr>
                <w:rFonts w:ascii="Arial" w:cs="Arial" w:eastAsia="Arial" w:hAnsi="Arial"/>
                <w:sz w:val="11"/>
                <w:szCs w:val="11"/>
                <w:b w:val="1"/>
                <w:bCs w:val="1"/>
                <w:color w:val="auto"/>
              </w:rPr>
              <w:t>CERC</w:t>
            </w: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1"/>
              </w:rPr>
              <w:t>Houston Electric</w:t>
            </w:r>
          </w:p>
        </w:tc>
        <w:tc>
          <w:tcPr>
            <w:tcW w:w="3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83"/>
              <w:spacing w:after="0"/>
              <w:rPr>
                <w:sz w:val="20"/>
                <w:szCs w:val="20"/>
                <w:color w:val="auto"/>
              </w:rPr>
            </w:pPr>
            <w:r>
              <w:rPr>
                <w:rFonts w:ascii="Arial" w:cs="Arial" w:eastAsia="Arial" w:hAnsi="Arial"/>
                <w:sz w:val="11"/>
                <w:szCs w:val="11"/>
                <w:b w:val="1"/>
                <w:bCs w:val="1"/>
                <w:color w:val="auto"/>
              </w:rPr>
              <w:t>CERC</w:t>
            </w:r>
          </w:p>
        </w:tc>
      </w:tr>
      <w:tr>
        <w:trPr>
          <w:trHeight w:val="196"/>
        </w:trPr>
        <w:tc>
          <w:tcPr>
            <w:tcW w:w="2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900" w:type="dxa"/>
            <w:vAlign w:val="bottom"/>
            <w:gridSpan w:val="4"/>
          </w:tcPr>
          <w:p>
            <w:pPr>
              <w:jc w:val="right"/>
              <w:ind w:right="743"/>
              <w:spacing w:after="0"/>
              <w:rPr>
                <w:sz w:val="20"/>
                <w:szCs w:val="20"/>
                <w:color w:val="auto"/>
              </w:rPr>
            </w:pPr>
            <w:r>
              <w:rPr>
                <w:rFonts w:ascii="Arial" w:cs="Arial" w:eastAsia="Arial" w:hAnsi="Arial"/>
                <w:sz w:val="11"/>
                <w:szCs w:val="11"/>
                <w:b w:val="1"/>
                <w:bCs w:val="1"/>
                <w:color w:val="auto"/>
              </w:rPr>
              <w:t>(in millions)</w:t>
            </w: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20"/>
        </w:trPr>
        <w:tc>
          <w:tcPr>
            <w:tcW w:w="2420" w:type="dxa"/>
            <w:vAlign w:val="bottom"/>
            <w:shd w:val="clear" w:color="auto" w:fill="CCEEFF"/>
          </w:tcPr>
          <w:p>
            <w:pPr>
              <w:ind w:left="20"/>
              <w:spacing w:after="0"/>
              <w:rPr>
                <w:sz w:val="20"/>
                <w:szCs w:val="20"/>
                <w:color w:val="auto"/>
              </w:rPr>
            </w:pPr>
            <w:r>
              <w:rPr>
                <w:rFonts w:ascii="Arial" w:cs="Arial" w:eastAsia="Arial" w:hAnsi="Arial"/>
                <w:sz w:val="11"/>
                <w:szCs w:val="11"/>
                <w:color w:val="auto"/>
              </w:rPr>
              <w:t>Corporate service charges</w:t>
            </w: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38</w:t>
            </w:r>
          </w:p>
        </w:tc>
        <w:tc>
          <w:tcPr>
            <w:tcW w:w="34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w:t>
            </w:r>
          </w:p>
        </w:tc>
        <w:tc>
          <w:tcPr>
            <w:tcW w:w="88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31</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9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47</w:t>
            </w:r>
          </w:p>
        </w:tc>
        <w:tc>
          <w:tcPr>
            <w:tcW w:w="40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w:t>
            </w:r>
          </w:p>
        </w:tc>
        <w:tc>
          <w:tcPr>
            <w:tcW w:w="82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36</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132</w:t>
            </w:r>
          </w:p>
        </w:tc>
        <w:tc>
          <w:tcPr>
            <w:tcW w:w="32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w:t>
            </w:r>
          </w:p>
        </w:tc>
        <w:tc>
          <w:tcPr>
            <w:tcW w:w="86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106</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138</w:t>
            </w:r>
          </w:p>
        </w:tc>
        <w:tc>
          <w:tcPr>
            <w:tcW w:w="38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w:t>
            </w:r>
          </w:p>
        </w:tc>
        <w:tc>
          <w:tcPr>
            <w:tcW w:w="80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105</w:t>
            </w:r>
          </w:p>
        </w:tc>
      </w:tr>
      <w:tr>
        <w:trPr>
          <w:trHeight w:val="206"/>
        </w:trPr>
        <w:tc>
          <w:tcPr>
            <w:tcW w:w="2420" w:type="dxa"/>
            <w:vAlign w:val="bottom"/>
          </w:tcPr>
          <w:p>
            <w:pPr>
              <w:ind w:left="20"/>
              <w:spacing w:after="0"/>
              <w:rPr>
                <w:sz w:val="20"/>
                <w:szCs w:val="20"/>
                <w:color w:val="auto"/>
              </w:rPr>
            </w:pPr>
            <w:r>
              <w:rPr>
                <w:rFonts w:ascii="Arial" w:cs="Arial" w:eastAsia="Arial" w:hAnsi="Arial"/>
                <w:sz w:val="11"/>
                <w:szCs w:val="11"/>
                <w:color w:val="auto"/>
              </w:rPr>
              <w:t>Net affiliate service charges (billings)</w:t>
            </w: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(3)</w:t>
            </w:r>
          </w:p>
        </w:tc>
        <w:tc>
          <w:tcPr>
            <w:tcW w:w="340" w:type="dxa"/>
            <w:vAlign w:val="bottom"/>
          </w:tcPr>
          <w:p>
            <w:pPr>
              <w:spacing w:after="0"/>
              <w:rPr>
                <w:sz w:val="17"/>
                <w:szCs w:val="17"/>
                <w:color w:val="auto"/>
              </w:rPr>
            </w:pPr>
          </w:p>
        </w:tc>
        <w:tc>
          <w:tcPr>
            <w:tcW w:w="880" w:type="dxa"/>
            <w:vAlign w:val="bottom"/>
          </w:tcPr>
          <w:p>
            <w:pPr>
              <w:jc w:val="right"/>
              <w:ind w:right="43"/>
              <w:spacing w:after="0"/>
              <w:rPr>
                <w:sz w:val="20"/>
                <w:szCs w:val="20"/>
                <w:color w:val="auto"/>
              </w:rPr>
            </w:pPr>
            <w:r>
              <w:rPr>
                <w:rFonts w:ascii="Arial" w:cs="Arial" w:eastAsia="Arial" w:hAnsi="Arial"/>
                <w:sz w:val="11"/>
                <w:szCs w:val="11"/>
                <w:color w:val="auto"/>
              </w:rPr>
              <w:t>3</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(3)</w:t>
            </w:r>
          </w:p>
        </w:tc>
        <w:tc>
          <w:tcPr>
            <w:tcW w:w="400" w:type="dxa"/>
            <w:vAlign w:val="bottom"/>
          </w:tcPr>
          <w:p>
            <w:pPr>
              <w:spacing w:after="0"/>
              <w:rPr>
                <w:sz w:val="17"/>
                <w:szCs w:val="17"/>
                <w:color w:val="auto"/>
              </w:rPr>
            </w:pPr>
          </w:p>
        </w:tc>
        <w:tc>
          <w:tcPr>
            <w:tcW w:w="820" w:type="dxa"/>
            <w:vAlign w:val="bottom"/>
          </w:tcPr>
          <w:p>
            <w:pPr>
              <w:jc w:val="right"/>
              <w:ind w:right="63"/>
              <w:spacing w:after="0"/>
              <w:rPr>
                <w:sz w:val="20"/>
                <w:szCs w:val="20"/>
                <w:color w:val="auto"/>
              </w:rPr>
            </w:pPr>
            <w:r>
              <w:rPr>
                <w:rFonts w:ascii="Arial" w:cs="Arial" w:eastAsia="Arial" w:hAnsi="Arial"/>
                <w:sz w:val="11"/>
                <w:szCs w:val="11"/>
                <w:color w:val="auto"/>
              </w:rPr>
              <w:t>3</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(7)</w:t>
            </w:r>
          </w:p>
        </w:tc>
        <w:tc>
          <w:tcPr>
            <w:tcW w:w="320" w:type="dxa"/>
            <w:vAlign w:val="bottom"/>
          </w:tcPr>
          <w:p>
            <w:pPr>
              <w:spacing w:after="0"/>
              <w:rPr>
                <w:sz w:val="17"/>
                <w:szCs w:val="17"/>
                <w:color w:val="auto"/>
              </w:rPr>
            </w:pPr>
          </w:p>
        </w:tc>
        <w:tc>
          <w:tcPr>
            <w:tcW w:w="860" w:type="dxa"/>
            <w:vAlign w:val="bottom"/>
          </w:tcPr>
          <w:p>
            <w:pPr>
              <w:jc w:val="right"/>
              <w:ind w:right="43"/>
              <w:spacing w:after="0"/>
              <w:rPr>
                <w:sz w:val="20"/>
                <w:szCs w:val="20"/>
                <w:color w:val="auto"/>
              </w:rPr>
            </w:pPr>
            <w:r>
              <w:rPr>
                <w:rFonts w:ascii="Arial" w:cs="Arial" w:eastAsia="Arial" w:hAnsi="Arial"/>
                <w:sz w:val="11"/>
                <w:szCs w:val="11"/>
                <w:color w:val="auto"/>
              </w:rPr>
              <w:t>7</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(8)</w:t>
            </w:r>
          </w:p>
        </w:tc>
        <w:tc>
          <w:tcPr>
            <w:tcW w:w="380" w:type="dxa"/>
            <w:vAlign w:val="bottom"/>
          </w:tcPr>
          <w:p>
            <w:pPr>
              <w:spacing w:after="0"/>
              <w:rPr>
                <w:sz w:val="17"/>
                <w:szCs w:val="17"/>
                <w:color w:val="auto"/>
              </w:rPr>
            </w:pPr>
          </w:p>
        </w:tc>
        <w:tc>
          <w:tcPr>
            <w:tcW w:w="800" w:type="dxa"/>
            <w:vAlign w:val="bottom"/>
          </w:tcPr>
          <w:p>
            <w:pPr>
              <w:jc w:val="right"/>
              <w:ind w:right="43"/>
              <w:spacing w:after="0"/>
              <w:rPr>
                <w:sz w:val="20"/>
                <w:szCs w:val="20"/>
                <w:color w:val="auto"/>
              </w:rPr>
            </w:pPr>
            <w:r>
              <w:rPr>
                <w:rFonts w:ascii="Arial" w:cs="Arial" w:eastAsia="Arial" w:hAnsi="Arial"/>
                <w:sz w:val="11"/>
                <w:szCs w:val="11"/>
                <w:color w:val="auto"/>
              </w:rPr>
              <w:t>8</w:t>
            </w:r>
          </w:p>
        </w:tc>
      </w:tr>
    </w:tbl>
    <w:p>
      <w:pPr>
        <w:spacing w:after="0" w:line="171" w:lineRule="exact"/>
        <w:rPr>
          <w:sz w:val="20"/>
          <w:szCs w:val="20"/>
          <w:color w:val="auto"/>
        </w:rPr>
      </w:pPr>
    </w:p>
    <w:p>
      <w:pPr>
        <w:jc w:val="both"/>
        <w:ind w:firstLine="259"/>
        <w:spacing w:after="0" w:line="272" w:lineRule="auto"/>
        <w:rPr>
          <w:sz w:val="20"/>
          <w:szCs w:val="20"/>
          <w:color w:val="auto"/>
        </w:rPr>
      </w:pPr>
      <w:r>
        <w:rPr>
          <w:rFonts w:ascii="Arial" w:cs="Arial" w:eastAsia="Arial" w:hAnsi="Arial"/>
          <w:sz w:val="14"/>
          <w:szCs w:val="14"/>
          <w:color w:val="auto"/>
        </w:rPr>
        <w:t>Infrastructure Services provides pipeline construction and repair services to CERC. Amounts charged for operation and maintenance expenses by Infrastructure Services to CERC were not significant from February 1, 2019 to September 30, 2019. Additionally, CERC, through CES, sells natural gas to Indiana Electric for use in electric generation activities. Amounts charged by CERC to Indiana Electric were not significant from February 1, 2019 to September 30, 2019.</w:t>
      </w:r>
    </w:p>
    <w:p>
      <w:pPr>
        <w:spacing w:after="0" w:line="142"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table below presents transactions among Houston Electric, CERC and their parent, Utility Holding.</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4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980" w:type="dxa"/>
            <w:vAlign w:val="bottom"/>
            <w:tcBorders>
              <w:bottom w:val="single" w:sz="8" w:color="auto"/>
            </w:tcBorders>
            <w:gridSpan w:val="4"/>
          </w:tcPr>
          <w:p>
            <w:pPr>
              <w:jc w:val="right"/>
              <w:ind w:right="83"/>
              <w:spacing w:after="0"/>
              <w:rPr>
                <w:sz w:val="20"/>
                <w:szCs w:val="20"/>
                <w:color w:val="auto"/>
              </w:rPr>
            </w:pPr>
            <w:r>
              <w:rPr>
                <w:rFonts w:ascii="Arial" w:cs="Arial" w:eastAsia="Arial" w:hAnsi="Arial"/>
                <w:sz w:val="11"/>
                <w:szCs w:val="11"/>
                <w:b w:val="1"/>
                <w:bCs w:val="1"/>
                <w:color w:val="auto"/>
                <w:w w:val="97"/>
              </w:rPr>
              <w:t>Three Months Ended September 30,</w:t>
            </w:r>
          </w:p>
        </w:tc>
        <w:tc>
          <w:tcPr>
            <w:tcW w:w="4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900" w:type="dxa"/>
            <w:vAlign w:val="bottom"/>
            <w:tcBorders>
              <w:bottom w:val="single" w:sz="8" w:color="auto"/>
            </w:tcBorders>
            <w:gridSpan w:val="4"/>
          </w:tcPr>
          <w:p>
            <w:pPr>
              <w:jc w:val="right"/>
              <w:ind w:right="63"/>
              <w:spacing w:after="0"/>
              <w:rPr>
                <w:sz w:val="20"/>
                <w:szCs w:val="20"/>
                <w:color w:val="auto"/>
              </w:rPr>
            </w:pPr>
            <w:r>
              <w:rPr>
                <w:rFonts w:ascii="Arial" w:cs="Arial" w:eastAsia="Arial" w:hAnsi="Arial"/>
                <w:sz w:val="11"/>
                <w:szCs w:val="11"/>
                <w:b w:val="1"/>
                <w:bCs w:val="1"/>
                <w:color w:val="auto"/>
                <w:w w:val="97"/>
              </w:rPr>
              <w:t>Nine Months Ended September 30,</w:t>
            </w:r>
          </w:p>
        </w:tc>
        <w:tc>
          <w:tcPr>
            <w:tcW w:w="4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r>
      <w:tr>
        <w:trPr>
          <w:trHeight w:val="206"/>
        </w:trPr>
        <w:tc>
          <w:tcPr>
            <w:tcW w:w="24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jc w:val="right"/>
              <w:ind w:right="23"/>
              <w:spacing w:after="0"/>
              <w:rPr>
                <w:sz w:val="20"/>
                <w:szCs w:val="20"/>
                <w:color w:val="auto"/>
              </w:rPr>
            </w:pPr>
            <w:r>
              <w:rPr>
                <w:rFonts w:ascii="Arial" w:cs="Arial" w:eastAsia="Arial" w:hAnsi="Arial"/>
                <w:sz w:val="11"/>
                <w:szCs w:val="11"/>
                <w:b w:val="1"/>
                <w:bCs w:val="1"/>
                <w:color w:val="auto"/>
              </w:rPr>
              <w:t>2019</w:t>
            </w:r>
          </w:p>
        </w:tc>
        <w:tc>
          <w:tcPr>
            <w:tcW w:w="8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b w:val="1"/>
                <w:bCs w:val="1"/>
                <w:color w:val="auto"/>
                <w:w w:val="97"/>
              </w:rPr>
              <w:t>2018</w:t>
            </w:r>
          </w:p>
        </w:tc>
        <w:tc>
          <w:tcPr>
            <w:tcW w:w="8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jc w:val="right"/>
              <w:ind w:right="23"/>
              <w:spacing w:after="0"/>
              <w:rPr>
                <w:sz w:val="20"/>
                <w:szCs w:val="20"/>
                <w:color w:val="auto"/>
              </w:rPr>
            </w:pPr>
            <w:r>
              <w:rPr>
                <w:rFonts w:ascii="Arial" w:cs="Arial" w:eastAsia="Arial" w:hAnsi="Arial"/>
                <w:sz w:val="11"/>
                <w:szCs w:val="11"/>
                <w:b w:val="1"/>
                <w:bCs w:val="1"/>
                <w:color w:val="auto"/>
                <w:w w:val="97"/>
              </w:rPr>
              <w:t>2019</w:t>
            </w:r>
          </w:p>
        </w:tc>
        <w:tc>
          <w:tcPr>
            <w:tcW w:w="8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b w:val="1"/>
                <w:bCs w:val="1"/>
                <w:color w:val="auto"/>
                <w:w w:val="97"/>
              </w:rPr>
              <w:t>2018</w:t>
            </w:r>
          </w:p>
        </w:tc>
        <w:tc>
          <w:tcPr>
            <w:tcW w:w="800" w:type="dxa"/>
            <w:vAlign w:val="bottom"/>
            <w:tcBorders>
              <w:bottom w:val="single" w:sz="8" w:color="auto"/>
            </w:tcBorders>
          </w:tcPr>
          <w:p>
            <w:pPr>
              <w:spacing w:after="0"/>
              <w:rPr>
                <w:sz w:val="17"/>
                <w:szCs w:val="17"/>
                <w:color w:val="auto"/>
              </w:rPr>
            </w:pPr>
          </w:p>
        </w:tc>
      </w:tr>
      <w:tr>
        <w:trPr>
          <w:trHeight w:val="206"/>
        </w:trPr>
        <w:tc>
          <w:tcPr>
            <w:tcW w:w="24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3"/>
              </w:rPr>
              <w:t>Houston Electric</w:t>
            </w:r>
          </w:p>
        </w:tc>
        <w:tc>
          <w:tcPr>
            <w:tcW w:w="3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2"/>
          </w:tcPr>
          <w:p>
            <w:pPr>
              <w:ind w:left="200"/>
              <w:spacing w:after="0"/>
              <w:rPr>
                <w:sz w:val="20"/>
                <w:szCs w:val="20"/>
                <w:color w:val="auto"/>
              </w:rPr>
            </w:pPr>
            <w:r>
              <w:rPr>
                <w:rFonts w:ascii="Arial" w:cs="Arial" w:eastAsia="Arial" w:hAnsi="Arial"/>
                <w:sz w:val="11"/>
                <w:szCs w:val="11"/>
                <w:b w:val="1"/>
                <w:bCs w:val="1"/>
                <w:color w:val="auto"/>
              </w:rPr>
              <w:t>CERC</w:t>
            </w:r>
          </w:p>
        </w:tc>
        <w:tc>
          <w:tcPr>
            <w:tcW w:w="1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3"/>
              </w:rPr>
              <w:t>Houston Electric</w:t>
            </w:r>
          </w:p>
        </w:tc>
        <w:tc>
          <w:tcPr>
            <w:tcW w:w="4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gridSpan w:val="2"/>
          </w:tcPr>
          <w:p>
            <w:pPr>
              <w:ind w:left="140"/>
              <w:spacing w:after="0"/>
              <w:rPr>
                <w:sz w:val="20"/>
                <w:szCs w:val="20"/>
                <w:color w:val="auto"/>
              </w:rPr>
            </w:pPr>
            <w:r>
              <w:rPr>
                <w:rFonts w:ascii="Arial" w:cs="Arial" w:eastAsia="Arial" w:hAnsi="Arial"/>
                <w:sz w:val="11"/>
                <w:szCs w:val="11"/>
                <w:b w:val="1"/>
                <w:bCs w:val="1"/>
                <w:color w:val="auto"/>
              </w:rPr>
              <w:t>CERC</w:t>
            </w:r>
          </w:p>
        </w:tc>
        <w:tc>
          <w:tcPr>
            <w:tcW w:w="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3"/>
              </w:rPr>
              <w:t>Houston Electric</w:t>
            </w:r>
          </w:p>
        </w:tc>
        <w:tc>
          <w:tcPr>
            <w:tcW w:w="3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gridSpan w:val="2"/>
          </w:tcPr>
          <w:p>
            <w:pPr>
              <w:ind w:left="200"/>
              <w:spacing w:after="0"/>
              <w:rPr>
                <w:sz w:val="20"/>
                <w:szCs w:val="20"/>
                <w:color w:val="auto"/>
              </w:rPr>
            </w:pPr>
            <w:r>
              <w:rPr>
                <w:rFonts w:ascii="Arial" w:cs="Arial" w:eastAsia="Arial" w:hAnsi="Arial"/>
                <w:sz w:val="11"/>
                <w:szCs w:val="11"/>
                <w:b w:val="1"/>
                <w:bCs w:val="1"/>
                <w:color w:val="auto"/>
              </w:rPr>
              <w:t>CERC</w:t>
            </w:r>
          </w:p>
        </w:tc>
        <w:tc>
          <w:tcPr>
            <w:tcW w:w="1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1"/>
              </w:rPr>
              <w:t>Houston Electric</w:t>
            </w:r>
          </w:p>
        </w:tc>
        <w:tc>
          <w:tcPr>
            <w:tcW w:w="4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83"/>
              <w:spacing w:after="0"/>
              <w:rPr>
                <w:sz w:val="20"/>
                <w:szCs w:val="20"/>
                <w:color w:val="auto"/>
              </w:rPr>
            </w:pPr>
            <w:r>
              <w:rPr>
                <w:rFonts w:ascii="Arial" w:cs="Arial" w:eastAsia="Arial" w:hAnsi="Arial"/>
                <w:sz w:val="11"/>
                <w:szCs w:val="11"/>
                <w:b w:val="1"/>
                <w:bCs w:val="1"/>
                <w:color w:val="auto"/>
              </w:rPr>
              <w:t>CERC</w:t>
            </w:r>
          </w:p>
        </w:tc>
      </w:tr>
      <w:tr>
        <w:trPr>
          <w:trHeight w:val="196"/>
        </w:trPr>
        <w:tc>
          <w:tcPr>
            <w:tcW w:w="2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80" w:type="dxa"/>
            <w:vAlign w:val="bottom"/>
            <w:gridSpan w:val="4"/>
          </w:tcPr>
          <w:p>
            <w:pPr>
              <w:jc w:val="right"/>
              <w:ind w:right="723"/>
              <w:spacing w:after="0"/>
              <w:rPr>
                <w:sz w:val="20"/>
                <w:szCs w:val="20"/>
                <w:color w:val="auto"/>
              </w:rPr>
            </w:pPr>
            <w:r>
              <w:rPr>
                <w:rFonts w:ascii="Arial" w:cs="Arial" w:eastAsia="Arial" w:hAnsi="Arial"/>
                <w:sz w:val="11"/>
                <w:szCs w:val="11"/>
                <w:b w:val="1"/>
                <w:bCs w:val="1"/>
                <w:color w:val="auto"/>
              </w:rPr>
              <w:t>(in millions)</w:t>
            </w:r>
          </w:p>
        </w:tc>
        <w:tc>
          <w:tcPr>
            <w:tcW w:w="3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20"/>
        </w:trPr>
        <w:tc>
          <w:tcPr>
            <w:tcW w:w="2420" w:type="dxa"/>
            <w:vAlign w:val="bottom"/>
            <w:shd w:val="clear" w:color="auto" w:fill="CCEEFF"/>
          </w:tcPr>
          <w:p>
            <w:pPr>
              <w:ind w:left="20"/>
              <w:spacing w:after="0"/>
              <w:rPr>
                <w:sz w:val="20"/>
                <w:szCs w:val="20"/>
                <w:color w:val="auto"/>
              </w:rPr>
            </w:pPr>
            <w:r>
              <w:rPr>
                <w:rFonts w:ascii="Arial" w:cs="Arial" w:eastAsia="Arial" w:hAnsi="Arial"/>
                <w:sz w:val="11"/>
                <w:szCs w:val="11"/>
                <w:color w:val="auto"/>
              </w:rPr>
              <w:t>Cash dividends paid to parent</w:t>
            </w: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60</w:t>
            </w:r>
          </w:p>
        </w:tc>
        <w:tc>
          <w:tcPr>
            <w:tcW w:w="36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w:t>
            </w:r>
          </w:p>
        </w:tc>
        <w:tc>
          <w:tcPr>
            <w:tcW w:w="88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16</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60</w:t>
            </w:r>
          </w:p>
        </w:tc>
        <w:tc>
          <w:tcPr>
            <w:tcW w:w="42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w:t>
            </w:r>
          </w:p>
        </w:tc>
        <w:tc>
          <w:tcPr>
            <w:tcW w:w="82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75</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100</w:t>
            </w:r>
          </w:p>
        </w:tc>
        <w:tc>
          <w:tcPr>
            <w:tcW w:w="34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w:t>
            </w:r>
          </w:p>
        </w:tc>
        <w:tc>
          <w:tcPr>
            <w:tcW w:w="86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119</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123</w:t>
            </w:r>
          </w:p>
        </w:tc>
        <w:tc>
          <w:tcPr>
            <w:tcW w:w="40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w:t>
            </w:r>
          </w:p>
        </w:tc>
        <w:tc>
          <w:tcPr>
            <w:tcW w:w="80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286</w:t>
            </w:r>
          </w:p>
        </w:tc>
      </w:tr>
      <w:tr>
        <w:trPr>
          <w:trHeight w:val="211"/>
        </w:trPr>
        <w:tc>
          <w:tcPr>
            <w:tcW w:w="2420" w:type="dxa"/>
            <w:vAlign w:val="bottom"/>
          </w:tcPr>
          <w:p>
            <w:pPr>
              <w:ind w:left="20"/>
              <w:spacing w:after="0"/>
              <w:rPr>
                <w:sz w:val="20"/>
                <w:szCs w:val="20"/>
                <w:color w:val="auto"/>
              </w:rPr>
            </w:pPr>
            <w:r>
              <w:rPr>
                <w:rFonts w:ascii="Arial" w:cs="Arial" w:eastAsia="Arial" w:hAnsi="Arial"/>
                <w:sz w:val="11"/>
                <w:szCs w:val="11"/>
                <w:color w:val="auto"/>
              </w:rPr>
              <w:t>Cash contribution from parent</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w:t>
            </w:r>
          </w:p>
        </w:tc>
        <w:tc>
          <w:tcPr>
            <w:tcW w:w="36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w:t>
            </w:r>
          </w:p>
        </w:tc>
        <w:tc>
          <w:tcPr>
            <w:tcW w:w="420" w:type="dxa"/>
            <w:vAlign w:val="bottom"/>
          </w:tcPr>
          <w:p>
            <w:pPr>
              <w:spacing w:after="0"/>
              <w:rPr>
                <w:sz w:val="18"/>
                <w:szCs w:val="18"/>
                <w:color w:val="auto"/>
              </w:rPr>
            </w:pPr>
          </w:p>
        </w:tc>
        <w:tc>
          <w:tcPr>
            <w:tcW w:w="820" w:type="dxa"/>
            <w:vAlign w:val="bottom"/>
          </w:tcPr>
          <w:p>
            <w:pPr>
              <w:jc w:val="right"/>
              <w:ind w:right="63"/>
              <w:spacing w:after="0"/>
              <w:rPr>
                <w:sz w:val="20"/>
                <w:szCs w:val="20"/>
                <w:color w:val="auto"/>
              </w:rPr>
            </w:pPr>
            <w:r>
              <w:rPr>
                <w:rFonts w:ascii="Arial" w:cs="Arial" w:eastAsia="Arial" w:hAnsi="Arial"/>
                <w:sz w:val="11"/>
                <w:szCs w:val="11"/>
                <w:color w:val="auto"/>
              </w:rPr>
              <w:t>600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590</w:t>
            </w:r>
          </w:p>
        </w:tc>
        <w:tc>
          <w:tcPr>
            <w:tcW w:w="34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w:t>
            </w:r>
          </w:p>
        </w:tc>
        <w:tc>
          <w:tcPr>
            <w:tcW w:w="400" w:type="dxa"/>
            <w:vAlign w:val="bottom"/>
          </w:tcPr>
          <w:p>
            <w:pPr>
              <w:spacing w:after="0"/>
              <w:rPr>
                <w:sz w:val="18"/>
                <w:szCs w:val="18"/>
                <w:color w:val="auto"/>
              </w:rPr>
            </w:pPr>
          </w:p>
        </w:tc>
        <w:tc>
          <w:tcPr>
            <w:tcW w:w="800" w:type="dxa"/>
            <w:vAlign w:val="bottom"/>
          </w:tcPr>
          <w:p>
            <w:pPr>
              <w:jc w:val="right"/>
              <w:ind w:right="43"/>
              <w:spacing w:after="0"/>
              <w:rPr>
                <w:sz w:val="20"/>
                <w:szCs w:val="20"/>
                <w:color w:val="auto"/>
              </w:rPr>
            </w:pPr>
            <w:r>
              <w:rPr>
                <w:rFonts w:ascii="Arial" w:cs="Arial" w:eastAsia="Arial" w:hAnsi="Arial"/>
                <w:sz w:val="11"/>
                <w:szCs w:val="11"/>
                <w:color w:val="auto"/>
              </w:rPr>
              <w:t>600</w:t>
            </w:r>
          </w:p>
        </w:tc>
      </w:tr>
      <w:tr>
        <w:trPr>
          <w:trHeight w:val="129"/>
        </w:trPr>
        <w:tc>
          <w:tcPr>
            <w:tcW w:w="2420" w:type="dxa"/>
            <w:vAlign w:val="bottom"/>
            <w:shd w:val="clear" w:color="auto" w:fill="CCEEFF"/>
          </w:tcPr>
          <w:p>
            <w:pPr>
              <w:ind w:left="20"/>
              <w:spacing w:after="0"/>
              <w:rPr>
                <w:sz w:val="20"/>
                <w:szCs w:val="20"/>
                <w:color w:val="auto"/>
              </w:rPr>
            </w:pPr>
            <w:r>
              <w:rPr>
                <w:rFonts w:ascii="Arial" w:cs="Arial" w:eastAsia="Arial" w:hAnsi="Arial"/>
                <w:sz w:val="11"/>
                <w:szCs w:val="11"/>
                <w:color w:val="auto"/>
              </w:rPr>
              <w:t>Capital distribution to parent associated with the</w:t>
            </w: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r>
      <w:tr>
        <w:trPr>
          <w:trHeight w:val="155"/>
        </w:trPr>
        <w:tc>
          <w:tcPr>
            <w:tcW w:w="2420" w:type="dxa"/>
            <w:vAlign w:val="bottom"/>
            <w:shd w:val="clear" w:color="auto" w:fill="CCEEFF"/>
          </w:tcPr>
          <w:p>
            <w:pPr>
              <w:ind w:left="160"/>
              <w:spacing w:after="0"/>
              <w:rPr>
                <w:sz w:val="20"/>
                <w:szCs w:val="20"/>
                <w:color w:val="auto"/>
              </w:rPr>
            </w:pPr>
            <w:r>
              <w:rPr>
                <w:rFonts w:ascii="Arial" w:cs="Arial" w:eastAsia="Arial" w:hAnsi="Arial"/>
                <w:sz w:val="11"/>
                <w:szCs w:val="11"/>
                <w:color w:val="auto"/>
              </w:rPr>
              <w:t>Internal Spin</w:t>
            </w:r>
          </w:p>
        </w:tc>
        <w:tc>
          <w:tcPr>
            <w:tcW w:w="10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36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20" w:type="dxa"/>
            <w:vAlign w:val="bottom"/>
            <w:shd w:val="clear" w:color="auto" w:fill="CCEEFF"/>
          </w:tcPr>
          <w:p>
            <w:pPr>
              <w:spacing w:after="0"/>
              <w:rPr>
                <w:sz w:val="13"/>
                <w:szCs w:val="13"/>
                <w:color w:val="auto"/>
              </w:rPr>
            </w:pPr>
          </w:p>
        </w:tc>
        <w:tc>
          <w:tcPr>
            <w:tcW w:w="82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1,460</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34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0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1,460</w:t>
            </w:r>
          </w:p>
        </w:tc>
      </w:tr>
    </w:tbl>
    <w:p>
      <w:pPr>
        <w:spacing w:after="0" w:line="33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(19) Leases</w:t>
      </w:r>
    </w:p>
    <w:p>
      <w:pPr>
        <w:spacing w:after="0" w:line="188" w:lineRule="exact"/>
        <w:rPr>
          <w:sz w:val="20"/>
          <w:szCs w:val="20"/>
          <w:color w:val="auto"/>
        </w:rPr>
      </w:pPr>
    </w:p>
    <w:p>
      <w:pPr>
        <w:jc w:val="both"/>
        <w:ind w:firstLine="259"/>
        <w:spacing w:after="0" w:line="263" w:lineRule="auto"/>
        <w:rPr>
          <w:sz w:val="20"/>
          <w:szCs w:val="20"/>
          <w:color w:val="auto"/>
        </w:rPr>
      </w:pPr>
      <w:r>
        <w:rPr>
          <w:rFonts w:ascii="Arial" w:cs="Arial" w:eastAsia="Arial" w:hAnsi="Arial"/>
          <w:sz w:val="14"/>
          <w:szCs w:val="14"/>
          <w:color w:val="auto"/>
        </w:rPr>
        <w:t>The Registrants adopted ASC 842, Leases, and all related amendments on January 1, 2019 using the modified retrospective transition method and elected not to recast comparative periods in the year of adoption as permitted by the standard. There was no adjustment to retained earnings as a result of transition. As a result, disclosures for periods prior to adoption will be presented in accordance with accounting standards in effect for those periods. The Registrants also elected the package of practical expedients permitted under the transition guidance within the new standard, which among other things, allowed them to carry forward the historical lease classification. Additionally, the Registrants elected the practical expedient related to land easements, which allows the carry forward of the accounting treatment for land easements on existing agreements. The total ROU assets obtained in exchange for new operating lease liabilities upon adoption were $30 million, $1 million and $27 million for CenterPoint Energy, Houston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60</w:t>
      </w:r>
    </w:p>
    <w:p>
      <w:pPr>
        <w:sectPr>
          <w:pgSz w:w="11900" w:h="16838" w:orient="portrait"/>
          <w:cols w:equalWidth="0" w:num="1">
            <w:col w:w="11460"/>
          </w:cols>
          <w:pgMar w:left="220" w:top="129" w:right="219" w:bottom="1440" w:gutter="0" w:footer="0" w:header="0"/>
        </w:sectPr>
      </w:pPr>
    </w:p>
    <w:bookmarkStart w:id="70" w:name="page71"/>
    <w:bookmarkEnd w:id="70"/>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205" w:lineRule="exact"/>
        <w:rPr>
          <w:sz w:val="20"/>
          <w:szCs w:val="20"/>
          <w:color w:val="auto"/>
        </w:rPr>
      </w:pPr>
    </w:p>
    <w:p>
      <w:pPr>
        <w:spacing w:after="0"/>
        <w:rPr>
          <w:sz w:val="20"/>
          <w:szCs w:val="20"/>
          <w:color w:val="auto"/>
        </w:rPr>
      </w:pPr>
      <w:r>
        <w:rPr>
          <w:rFonts w:ascii="Arial" w:cs="Arial" w:eastAsia="Arial" w:hAnsi="Arial"/>
          <w:sz w:val="14"/>
          <w:szCs w:val="14"/>
          <w:color w:val="auto"/>
        </w:rPr>
        <w:t>Electric and CERC, respectively. The Merger was completed on February 1, 2019, and as such the amounts recorded upon adoption are exclusive of Vectren’s leases.</w:t>
      </w:r>
    </w:p>
    <w:p>
      <w:pPr>
        <w:spacing w:after="0" w:line="184" w:lineRule="exact"/>
        <w:rPr>
          <w:sz w:val="20"/>
          <w:szCs w:val="20"/>
          <w:color w:val="auto"/>
        </w:rPr>
      </w:pPr>
    </w:p>
    <w:p>
      <w:pPr>
        <w:jc w:val="both"/>
        <w:ind w:firstLine="259"/>
        <w:spacing w:after="0" w:line="287" w:lineRule="auto"/>
        <w:rPr>
          <w:sz w:val="20"/>
          <w:szCs w:val="20"/>
          <w:color w:val="auto"/>
        </w:rPr>
      </w:pPr>
      <w:r>
        <w:rPr>
          <w:rFonts w:ascii="Arial" w:cs="Arial" w:eastAsia="Arial" w:hAnsi="Arial"/>
          <w:sz w:val="13"/>
          <w:szCs w:val="13"/>
          <w:color w:val="auto"/>
        </w:rPr>
        <w:t>An arrangement is determined to be a lease at inception based on whether the Registrant has the right to control the use of an identified asset. ROU assets represent the Registrants’ right to use the underlying asset for the lease term and lease liabilities represent the Registrants’ obligation to make lease payments arising from the lease. ROU assets and liabilities are recognized at the lease commencement date based on the present value of lease payments over the lease term, including payments at commencement that depend on an index or rate. Most leases in which the Registrants are the lessee do not have a readily determinable implicit rate, so an incremental borrowing rate, based on the information available at the lease commencement date, is utilized to determine the present value of lease payments. When a secured borrowing rate is not readily available, unsecured borrowing rates are adjusted for the effects of collateral to determine the incremental borrowing rate. Each Registrant uses the implicit rate for agreements in which it is a lessor. Lease expense and lease income are recognized on a straight-line basis over the lease term for operating leases.</w:t>
      </w:r>
    </w:p>
    <w:p>
      <w:pPr>
        <w:spacing w:after="0" w:line="134" w:lineRule="exact"/>
        <w:rPr>
          <w:sz w:val="20"/>
          <w:szCs w:val="20"/>
          <w:color w:val="auto"/>
        </w:rPr>
      </w:pPr>
    </w:p>
    <w:p>
      <w:pPr>
        <w:jc w:val="both"/>
        <w:ind w:firstLine="259"/>
        <w:spacing w:after="0" w:line="272" w:lineRule="auto"/>
        <w:rPr>
          <w:sz w:val="20"/>
          <w:szCs w:val="20"/>
          <w:color w:val="auto"/>
        </w:rPr>
      </w:pPr>
      <w:r>
        <w:rPr>
          <w:rFonts w:ascii="Arial" w:cs="Arial" w:eastAsia="Arial" w:hAnsi="Arial"/>
          <w:sz w:val="14"/>
          <w:szCs w:val="14"/>
          <w:color w:val="auto"/>
        </w:rPr>
        <w:t>The Registrants have lease agreements with lease and non-lease components and have elected the practical expedient to combine lease and non-lease components for certain classes of leases, such as office buildings. For classes of leases in which lease and non-lease components are not combined, consideration is allocated between components based on the stand-alone prices. Variable payments are not significant to the Registrants.</w:t>
      </w:r>
    </w:p>
    <w:p>
      <w:pPr>
        <w:spacing w:after="0" w:line="142" w:lineRule="exact"/>
        <w:rPr>
          <w:sz w:val="20"/>
          <w:szCs w:val="20"/>
          <w:color w:val="auto"/>
        </w:rPr>
      </w:pPr>
    </w:p>
    <w:p>
      <w:pPr>
        <w:jc w:val="both"/>
        <w:ind w:firstLine="259"/>
        <w:spacing w:after="0" w:line="272" w:lineRule="auto"/>
        <w:rPr>
          <w:sz w:val="20"/>
          <w:szCs w:val="20"/>
          <w:color w:val="auto"/>
        </w:rPr>
      </w:pPr>
      <w:r>
        <w:rPr>
          <w:rFonts w:ascii="Arial" w:cs="Arial" w:eastAsia="Arial" w:hAnsi="Arial"/>
          <w:sz w:val="14"/>
          <w:szCs w:val="14"/>
          <w:color w:val="auto"/>
        </w:rPr>
        <w:t>The Registrants’ lease agreements do not contain any material residual value guarantees, material restrictions or material covenants. There are no material lease transactions with related parties. Agreements in which the Registrants are lessors do not include provisions for the lessee to purchase the assets. Because risk is minimal, the Registrants do not take any significant actions to manage risk associated with the residual value of their leased assets.</w:t>
      </w:r>
    </w:p>
    <w:p>
      <w:pPr>
        <w:spacing w:after="0" w:line="142" w:lineRule="exact"/>
        <w:rPr>
          <w:sz w:val="20"/>
          <w:szCs w:val="20"/>
          <w:color w:val="auto"/>
        </w:rPr>
      </w:pPr>
    </w:p>
    <w:p>
      <w:pPr>
        <w:jc w:val="both"/>
        <w:ind w:firstLine="259"/>
        <w:spacing w:after="0" w:line="267" w:lineRule="auto"/>
        <w:rPr>
          <w:sz w:val="20"/>
          <w:szCs w:val="20"/>
          <w:color w:val="auto"/>
        </w:rPr>
      </w:pPr>
      <w:r>
        <w:rPr>
          <w:rFonts w:ascii="Arial" w:cs="Arial" w:eastAsia="Arial" w:hAnsi="Arial"/>
          <w:sz w:val="14"/>
          <w:szCs w:val="14"/>
          <w:color w:val="auto"/>
        </w:rPr>
        <w:t>The Registrants’ lease agreements are primarily equipment and real property leases, including land and office facility leases. The Registrants’ lease terms may include options to extend or terminate a lease when it is reasonably certain that those options will be exercised. Operating lease payments exclude approximately $16 million of legally-binding undiscounted minimum lease payments for leases signed but not yet commenced. The Registrants have elected an accounting policy that exempts leases with terms of one year or less from the recognition requirements of ASU 842.</w:t>
      </w:r>
    </w:p>
    <w:p>
      <w:pPr>
        <w:spacing w:after="0" w:line="146"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components of lease cost, included in Operation and maintenance expense on the Registrants’ respective Condensed Statements of Consolidated Income, are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20" w:type="dxa"/>
            <w:vAlign w:val="bottom"/>
            <w:gridSpan w:val="6"/>
          </w:tcPr>
          <w:p>
            <w:pPr>
              <w:jc w:val="center"/>
              <w:ind w:right="75"/>
              <w:spacing w:after="0"/>
              <w:rPr>
                <w:sz w:val="20"/>
                <w:szCs w:val="20"/>
                <w:color w:val="auto"/>
              </w:rPr>
            </w:pPr>
            <w:r>
              <w:rPr>
                <w:rFonts w:ascii="Arial" w:cs="Arial" w:eastAsia="Arial" w:hAnsi="Arial"/>
                <w:sz w:val="13"/>
                <w:szCs w:val="13"/>
                <w:b w:val="1"/>
                <w:bCs w:val="1"/>
                <w:color w:val="auto"/>
                <w:w w:val="90"/>
              </w:rPr>
              <w:t>Three Months Ended September 30,</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720" w:type="dxa"/>
            <w:vAlign w:val="bottom"/>
            <w:gridSpan w:val="6"/>
          </w:tcPr>
          <w:p>
            <w:pPr>
              <w:jc w:val="right"/>
              <w:spacing w:after="0"/>
              <w:rPr>
                <w:sz w:val="20"/>
                <w:szCs w:val="20"/>
                <w:color w:val="auto"/>
              </w:rPr>
            </w:pPr>
            <w:r>
              <w:rPr>
                <w:rFonts w:ascii="Arial" w:cs="Arial" w:eastAsia="Arial" w:hAnsi="Arial"/>
                <w:sz w:val="13"/>
                <w:szCs w:val="13"/>
                <w:b w:val="1"/>
                <w:bCs w:val="1"/>
                <w:color w:val="auto"/>
              </w:rPr>
              <w:t>Nine Months Ended September 30,</w:t>
            </w:r>
          </w:p>
        </w:tc>
        <w:tc>
          <w:tcPr>
            <w:tcW w:w="880" w:type="dxa"/>
            <w:vAlign w:val="bottom"/>
          </w:tcPr>
          <w:p>
            <w:pPr>
              <w:spacing w:after="0"/>
              <w:rPr>
                <w:sz w:val="14"/>
                <w:szCs w:val="14"/>
                <w:color w:val="auto"/>
              </w:rPr>
            </w:pPr>
          </w:p>
        </w:tc>
      </w:tr>
      <w:tr>
        <w:trPr>
          <w:trHeight w:val="27"/>
        </w:trPr>
        <w:tc>
          <w:tcPr>
            <w:tcW w:w="356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69"/>
        </w:trPr>
        <w:tc>
          <w:tcPr>
            <w:tcW w:w="3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center"/>
              <w:ind w:right="15"/>
              <w:spacing w:after="0"/>
              <w:rPr>
                <w:sz w:val="20"/>
                <w:szCs w:val="20"/>
                <w:color w:val="auto"/>
              </w:rPr>
            </w:pPr>
            <w:r>
              <w:rPr>
                <w:rFonts w:ascii="Arial" w:cs="Arial" w:eastAsia="Arial" w:hAnsi="Arial"/>
                <w:sz w:val="13"/>
                <w:szCs w:val="13"/>
                <w:b w:val="1"/>
                <w:bCs w:val="1"/>
                <w:color w:val="auto"/>
                <w:w w:val="89"/>
              </w:rPr>
              <w:t>2019</w:t>
            </w: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ind w:left="420"/>
              <w:spacing w:after="0"/>
              <w:rPr>
                <w:sz w:val="20"/>
                <w:szCs w:val="20"/>
                <w:color w:val="auto"/>
              </w:rPr>
            </w:pPr>
            <w:r>
              <w:rPr>
                <w:rFonts w:ascii="Arial" w:cs="Arial" w:eastAsia="Arial" w:hAnsi="Arial"/>
                <w:sz w:val="13"/>
                <w:szCs w:val="13"/>
                <w:b w:val="1"/>
                <w:bCs w:val="1"/>
                <w:color w:val="auto"/>
              </w:rPr>
              <w:t>2019</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27"/>
        </w:trPr>
        <w:tc>
          <w:tcPr>
            <w:tcW w:w="356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63"/>
        </w:trPr>
        <w:tc>
          <w:tcPr>
            <w:tcW w:w="3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92"/>
              </w:rPr>
              <w:t>CenterPoint</w:t>
            </w: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7"/>
        </w:trPr>
        <w:tc>
          <w:tcPr>
            <w:tcW w:w="3560" w:type="dxa"/>
            <w:vAlign w:val="bottom"/>
          </w:tcPr>
          <w:p>
            <w:pPr>
              <w:spacing w:after="0"/>
              <w:rPr>
                <w:sz w:val="14"/>
                <w:szCs w:val="14"/>
                <w:color w:val="auto"/>
              </w:rPr>
            </w:pPr>
          </w:p>
        </w:tc>
        <w:tc>
          <w:tcPr>
            <w:tcW w:w="1400" w:type="dxa"/>
            <w:vAlign w:val="bottom"/>
            <w:gridSpan w:val="3"/>
          </w:tcPr>
          <w:p>
            <w:pPr>
              <w:ind w:left="80"/>
              <w:spacing w:after="0"/>
              <w:rPr>
                <w:sz w:val="20"/>
                <w:szCs w:val="20"/>
                <w:color w:val="auto"/>
              </w:rPr>
            </w:pPr>
            <w:r>
              <w:rPr>
                <w:rFonts w:ascii="Arial" w:cs="Arial" w:eastAsia="Arial" w:hAnsi="Arial"/>
                <w:sz w:val="13"/>
                <w:szCs w:val="13"/>
                <w:b w:val="1"/>
                <w:bCs w:val="1"/>
                <w:color w:val="auto"/>
              </w:rPr>
              <w:t>CenterPoint Energy</w:t>
            </w:r>
          </w:p>
        </w:tc>
        <w:tc>
          <w:tcPr>
            <w:tcW w:w="100" w:type="dxa"/>
            <w:vAlign w:val="bottom"/>
          </w:tcPr>
          <w:p>
            <w:pPr>
              <w:spacing w:after="0"/>
              <w:rPr>
                <w:sz w:val="14"/>
                <w:szCs w:val="14"/>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0"/>
              </w:rPr>
              <w:t>Houston Electric</w:t>
            </w:r>
          </w:p>
        </w:tc>
        <w:tc>
          <w:tcPr>
            <w:tcW w:w="880" w:type="dxa"/>
            <w:vAlign w:val="bottom"/>
          </w:tcPr>
          <w:p>
            <w:pPr>
              <w:jc w:val="right"/>
              <w:spacing w:after="0"/>
              <w:rPr>
                <w:sz w:val="20"/>
                <w:szCs w:val="20"/>
                <w:color w:val="auto"/>
              </w:rPr>
            </w:pPr>
            <w:r>
              <w:rPr>
                <w:rFonts w:ascii="Arial" w:cs="Arial" w:eastAsia="Arial" w:hAnsi="Arial"/>
                <w:sz w:val="13"/>
                <w:szCs w:val="13"/>
                <w:b w:val="1"/>
                <w:bCs w:val="1"/>
                <w:color w:val="auto"/>
              </w:rPr>
              <w:t>CERC</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90"/>
              </w:rPr>
              <w:t>Energy</w:t>
            </w:r>
          </w:p>
        </w:tc>
        <w:tc>
          <w:tcPr>
            <w:tcW w:w="120" w:type="dxa"/>
            <w:vAlign w:val="bottom"/>
          </w:tcPr>
          <w:p>
            <w:pPr>
              <w:spacing w:after="0"/>
              <w:rPr>
                <w:sz w:val="14"/>
                <w:szCs w:val="14"/>
                <w:color w:val="auto"/>
              </w:rPr>
            </w:pPr>
          </w:p>
        </w:tc>
        <w:tc>
          <w:tcPr>
            <w:tcW w:w="1220" w:type="dxa"/>
            <w:vAlign w:val="bottom"/>
            <w:gridSpan w:val="2"/>
          </w:tcPr>
          <w:p>
            <w:pPr>
              <w:ind w:left="40"/>
              <w:spacing w:after="0"/>
              <w:rPr>
                <w:sz w:val="20"/>
                <w:szCs w:val="20"/>
                <w:color w:val="auto"/>
              </w:rPr>
            </w:pPr>
            <w:r>
              <w:rPr>
                <w:rFonts w:ascii="Arial" w:cs="Arial" w:eastAsia="Arial" w:hAnsi="Arial"/>
                <w:sz w:val="13"/>
                <w:szCs w:val="13"/>
                <w:b w:val="1"/>
                <w:bCs w:val="1"/>
                <w:color w:val="auto"/>
              </w:rPr>
              <w:t>Houston Electric</w:t>
            </w:r>
          </w:p>
        </w:tc>
        <w:tc>
          <w:tcPr>
            <w:tcW w:w="360" w:type="dxa"/>
            <w:vAlign w:val="bottom"/>
          </w:tcPr>
          <w:p>
            <w:pPr>
              <w:spacing w:after="0"/>
              <w:rPr>
                <w:sz w:val="14"/>
                <w:szCs w:val="14"/>
                <w:color w:val="auto"/>
              </w:rPr>
            </w:pPr>
          </w:p>
        </w:tc>
        <w:tc>
          <w:tcPr>
            <w:tcW w:w="880" w:type="dxa"/>
            <w:vAlign w:val="bottom"/>
          </w:tcPr>
          <w:p>
            <w:pPr>
              <w:jc w:val="right"/>
              <w:ind w:right="375"/>
              <w:spacing w:after="0"/>
              <w:rPr>
                <w:sz w:val="20"/>
                <w:szCs w:val="20"/>
                <w:color w:val="auto"/>
              </w:rPr>
            </w:pPr>
            <w:r>
              <w:rPr>
                <w:rFonts w:ascii="Arial" w:cs="Arial" w:eastAsia="Arial" w:hAnsi="Arial"/>
                <w:sz w:val="13"/>
                <w:szCs w:val="13"/>
                <w:b w:val="1"/>
                <w:bCs w:val="1"/>
                <w:color w:val="auto"/>
              </w:rPr>
              <w:t>CERC</w:t>
            </w:r>
          </w:p>
        </w:tc>
      </w:tr>
      <w:tr>
        <w:trPr>
          <w:trHeight w:val="27"/>
        </w:trPr>
        <w:tc>
          <w:tcPr>
            <w:tcW w:w="356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gridSpan w:val="3"/>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69"/>
        </w:trPr>
        <w:tc>
          <w:tcPr>
            <w:tcW w:w="3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40" w:type="dxa"/>
            <w:vAlign w:val="bottom"/>
            <w:gridSpan w:val="3"/>
          </w:tcPr>
          <w:p>
            <w:pPr>
              <w:jc w:val="right"/>
              <w:spacing w:after="0"/>
              <w:rPr>
                <w:sz w:val="20"/>
                <w:szCs w:val="20"/>
                <w:color w:val="auto"/>
              </w:rPr>
            </w:pPr>
            <w:r>
              <w:rPr>
                <w:rFonts w:ascii="Arial" w:cs="Arial" w:eastAsia="Arial" w:hAnsi="Arial"/>
                <w:sz w:val="13"/>
                <w:szCs w:val="13"/>
                <w:b w:val="1"/>
                <w:bCs w:val="1"/>
                <w:color w:val="auto"/>
                <w:w w:val="98"/>
              </w:rPr>
              <w:t>(in millions)</w:t>
            </w: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27"/>
        </w:trPr>
        <w:tc>
          <w:tcPr>
            <w:tcW w:w="3560" w:type="dxa"/>
            <w:vAlign w:val="bottom"/>
          </w:tcPr>
          <w:p>
            <w:pPr>
              <w:spacing w:after="0"/>
              <w:rPr>
                <w:sz w:val="2"/>
                <w:szCs w:val="2"/>
                <w:color w:val="auto"/>
              </w:rPr>
            </w:pPr>
          </w:p>
        </w:tc>
        <w:tc>
          <w:tcPr>
            <w:tcW w:w="5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196"/>
        </w:trPr>
        <w:tc>
          <w:tcPr>
            <w:tcW w:w="3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Operating lease cost</w:t>
            </w:r>
          </w:p>
        </w:tc>
        <w:tc>
          <w:tcPr>
            <w:tcW w:w="540" w:type="dxa"/>
            <w:vAlign w:val="bottom"/>
            <w:tcBorders>
              <w:bottom w:val="single" w:sz="8" w:color="CCEEFF"/>
            </w:tcBorders>
            <w:shd w:val="clear" w:color="auto" w:fill="CCEEFF"/>
          </w:tcPr>
          <w:p>
            <w:pPr>
              <w:jc w:val="right"/>
              <w:ind w:right="395"/>
              <w:spacing w:after="0"/>
              <w:rPr>
                <w:sz w:val="20"/>
                <w:szCs w:val="20"/>
                <w:color w:val="auto"/>
              </w:rPr>
            </w:pPr>
            <w:r>
              <w:rPr>
                <w:rFonts w:ascii="Arial" w:cs="Arial" w:eastAsia="Arial" w:hAnsi="Arial"/>
                <w:sz w:val="13"/>
                <w:szCs w:val="13"/>
                <w:color w:val="auto"/>
                <w:w w:val="82"/>
              </w:rPr>
              <w:t>$</w:t>
            </w:r>
          </w:p>
        </w:tc>
        <w:tc>
          <w:tcPr>
            <w:tcW w:w="7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3"/>
                <w:szCs w:val="13"/>
                <w:color w:val="auto"/>
              </w:rPr>
              <w:t>8</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CCEEFF"/>
            </w:tcBorders>
            <w:shd w:val="clear" w:color="auto" w:fill="CCEEFF"/>
          </w:tcPr>
          <w:p>
            <w:pPr>
              <w:jc w:val="right"/>
              <w:ind w:right="735"/>
              <w:spacing w:after="0"/>
              <w:rPr>
                <w:sz w:val="20"/>
                <w:szCs w:val="20"/>
                <w:color w:val="auto"/>
              </w:rPr>
            </w:pPr>
            <w:r>
              <w:rPr>
                <w:rFonts w:ascii="Arial" w:cs="Arial" w:eastAsia="Arial" w:hAnsi="Arial"/>
                <w:sz w:val="13"/>
                <w:szCs w:val="13"/>
                <w:color w:val="auto"/>
                <w:w w:val="82"/>
              </w:rPr>
              <w:t>$</w:t>
            </w:r>
          </w:p>
        </w:tc>
        <w:tc>
          <w:tcPr>
            <w:tcW w:w="3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3"/>
                <w:szCs w:val="13"/>
                <w:color w:val="auto"/>
              </w:rPr>
              <w:t>1</w:t>
            </w: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3"/>
                <w:szCs w:val="13"/>
                <w:color w:val="auto"/>
              </w:rPr>
              <w:t>$</w:t>
            </w:r>
          </w:p>
        </w:tc>
        <w:tc>
          <w:tcPr>
            <w:tcW w:w="9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3"/>
                <w:szCs w:val="13"/>
                <w:color w:val="auto"/>
              </w:rPr>
              <w:t>19</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2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3"/>
                <w:szCs w:val="13"/>
                <w:color w:val="auto"/>
              </w:rPr>
              <w:t>—</w:t>
            </w:r>
          </w:p>
        </w:tc>
        <w:tc>
          <w:tcPr>
            <w:tcW w:w="360" w:type="dxa"/>
            <w:vAlign w:val="bottom"/>
            <w:tcBorders>
              <w:bottom w:val="single" w:sz="8" w:color="CCEEFF"/>
            </w:tcBorders>
            <w:shd w:val="clear" w:color="auto" w:fill="CCEEFF"/>
          </w:tcPr>
          <w:p>
            <w:pPr>
              <w:jc w:val="right"/>
              <w:ind w:right="215"/>
              <w:spacing w:after="0"/>
              <w:rPr>
                <w:sz w:val="20"/>
                <w:szCs w:val="20"/>
                <w:color w:val="auto"/>
              </w:rPr>
            </w:pPr>
            <w:r>
              <w:rPr>
                <w:rFonts w:ascii="Arial" w:cs="Arial" w:eastAsia="Arial" w:hAnsi="Arial"/>
                <w:sz w:val="13"/>
                <w:szCs w:val="13"/>
                <w:color w:val="auto"/>
                <w:w w:val="82"/>
              </w:rPr>
              <w:t>$</w:t>
            </w:r>
          </w:p>
        </w:tc>
        <w:tc>
          <w:tcPr>
            <w:tcW w:w="8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3"/>
                <w:szCs w:val="13"/>
                <w:color w:val="auto"/>
              </w:rPr>
              <w:t>4</w:t>
            </w:r>
          </w:p>
        </w:tc>
      </w:tr>
      <w:tr>
        <w:trPr>
          <w:trHeight w:val="189"/>
        </w:trPr>
        <w:tc>
          <w:tcPr>
            <w:tcW w:w="3560" w:type="dxa"/>
            <w:vAlign w:val="bottom"/>
          </w:tcPr>
          <w:p>
            <w:pPr>
              <w:ind w:left="20"/>
              <w:spacing w:after="0"/>
              <w:rPr>
                <w:sz w:val="20"/>
                <w:szCs w:val="20"/>
                <w:color w:val="auto"/>
              </w:rPr>
            </w:pPr>
            <w:r>
              <w:rPr>
                <w:rFonts w:ascii="Arial" w:cs="Arial" w:eastAsia="Arial" w:hAnsi="Arial"/>
                <w:sz w:val="13"/>
                <w:szCs w:val="13"/>
                <w:color w:val="auto"/>
              </w:rPr>
              <w:t>Short-term lease cost</w:t>
            </w:r>
          </w:p>
        </w:tc>
        <w:tc>
          <w:tcPr>
            <w:tcW w:w="540" w:type="dxa"/>
            <w:vAlign w:val="bottom"/>
          </w:tcPr>
          <w:p>
            <w:pPr>
              <w:spacing w:after="0"/>
              <w:rPr>
                <w:sz w:val="16"/>
                <w:szCs w:val="16"/>
                <w:color w:val="auto"/>
              </w:rPr>
            </w:pPr>
          </w:p>
        </w:tc>
        <w:tc>
          <w:tcPr>
            <w:tcW w:w="740" w:type="dxa"/>
            <w:vAlign w:val="bottom"/>
          </w:tcPr>
          <w:p>
            <w:pPr>
              <w:jc w:val="right"/>
              <w:ind w:right="55"/>
              <w:spacing w:after="0"/>
              <w:rPr>
                <w:sz w:val="20"/>
                <w:szCs w:val="20"/>
                <w:color w:val="auto"/>
              </w:rPr>
            </w:pPr>
            <w:r>
              <w:rPr>
                <w:rFonts w:ascii="Arial" w:cs="Arial" w:eastAsia="Arial" w:hAnsi="Arial"/>
                <w:sz w:val="13"/>
                <w:szCs w:val="13"/>
                <w:color w:val="auto"/>
              </w:rPr>
              <w:t>23</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right"/>
              <w:ind w:right="55"/>
              <w:spacing w:after="0"/>
              <w:rPr>
                <w:sz w:val="20"/>
                <w:szCs w:val="20"/>
                <w:color w:val="auto"/>
              </w:rPr>
            </w:pPr>
            <w:r>
              <w:rPr>
                <w:rFonts w:ascii="Arial" w:cs="Arial" w:eastAsia="Arial" w:hAnsi="Arial"/>
                <w:sz w:val="13"/>
                <w:szCs w:val="13"/>
                <w:color w:val="auto"/>
              </w:rPr>
              <w:t>7</w:t>
            </w: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6"/>
                <w:szCs w:val="16"/>
                <w:color w:val="auto"/>
              </w:rPr>
            </w:pPr>
          </w:p>
        </w:tc>
        <w:tc>
          <w:tcPr>
            <w:tcW w:w="900" w:type="dxa"/>
            <w:vAlign w:val="bottom"/>
          </w:tcPr>
          <w:p>
            <w:pPr>
              <w:jc w:val="right"/>
              <w:ind w:right="35"/>
              <w:spacing w:after="0"/>
              <w:rPr>
                <w:sz w:val="20"/>
                <w:szCs w:val="20"/>
                <w:color w:val="auto"/>
              </w:rPr>
            </w:pPr>
            <w:r>
              <w:rPr>
                <w:rFonts w:ascii="Arial" w:cs="Arial" w:eastAsia="Arial" w:hAnsi="Arial"/>
                <w:sz w:val="13"/>
                <w:szCs w:val="13"/>
                <w:color w:val="auto"/>
              </w:rPr>
              <w:t>46</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ind w:left="880"/>
              <w:spacing w:after="0"/>
              <w:rPr>
                <w:sz w:val="20"/>
                <w:szCs w:val="20"/>
                <w:color w:val="auto"/>
              </w:rPr>
            </w:pPr>
            <w:r>
              <w:rPr>
                <w:rFonts w:ascii="Arial" w:cs="Arial" w:eastAsia="Arial" w:hAnsi="Arial"/>
                <w:sz w:val="13"/>
                <w:szCs w:val="13"/>
                <w:color w:val="auto"/>
              </w:rPr>
              <w:t>12</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tcPr>
          <w:p>
            <w:pPr>
              <w:jc w:val="right"/>
              <w:ind w:right="35"/>
              <w:spacing w:after="0"/>
              <w:rPr>
                <w:sz w:val="20"/>
                <w:szCs w:val="20"/>
                <w:color w:val="auto"/>
              </w:rPr>
            </w:pPr>
            <w:r>
              <w:rPr>
                <w:rFonts w:ascii="Arial" w:cs="Arial" w:eastAsia="Arial" w:hAnsi="Arial"/>
                <w:sz w:val="13"/>
                <w:szCs w:val="13"/>
                <w:color w:val="auto"/>
              </w:rPr>
              <w:t>—</w:t>
            </w:r>
          </w:p>
        </w:tc>
      </w:tr>
      <w:tr>
        <w:trPr>
          <w:trHeight w:val="27"/>
        </w:trPr>
        <w:tc>
          <w:tcPr>
            <w:tcW w:w="3560" w:type="dxa"/>
            <w:vAlign w:val="bottom"/>
          </w:tcPr>
          <w:p>
            <w:pPr>
              <w:spacing w:after="0"/>
              <w:rPr>
                <w:sz w:val="2"/>
                <w:szCs w:val="2"/>
                <w:color w:val="auto"/>
              </w:rPr>
            </w:pPr>
          </w:p>
        </w:tc>
        <w:tc>
          <w:tcPr>
            <w:tcW w:w="5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16"/>
        </w:trPr>
        <w:tc>
          <w:tcPr>
            <w:tcW w:w="3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Variable lease cost</w:t>
            </w:r>
          </w:p>
        </w:tc>
        <w:tc>
          <w:tcPr>
            <w:tcW w:w="54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3"/>
                <w:szCs w:val="13"/>
                <w:color w:val="auto"/>
              </w:rPr>
              <w:t>1</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24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3"/>
                <w:szCs w:val="13"/>
                <w:color w:val="auto"/>
              </w:rPr>
              <w:t>1</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3"/>
                <w:szCs w:val="13"/>
                <w:color w:val="auto"/>
              </w:rPr>
              <w:t>—</w:t>
            </w:r>
          </w:p>
        </w:tc>
        <w:tc>
          <w:tcPr>
            <w:tcW w:w="3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3"/>
                <w:szCs w:val="13"/>
                <w:color w:val="auto"/>
              </w:rPr>
              <w:t>—</w:t>
            </w:r>
          </w:p>
        </w:tc>
      </w:tr>
      <w:tr>
        <w:trPr>
          <w:trHeight w:val="188"/>
        </w:trPr>
        <w:tc>
          <w:tcPr>
            <w:tcW w:w="3560" w:type="dxa"/>
            <w:vAlign w:val="bottom"/>
          </w:tcPr>
          <w:p>
            <w:pPr>
              <w:ind w:left="20"/>
              <w:spacing w:after="0"/>
              <w:rPr>
                <w:sz w:val="20"/>
                <w:szCs w:val="20"/>
                <w:color w:val="auto"/>
              </w:rPr>
            </w:pPr>
            <w:r>
              <w:rPr>
                <w:rFonts w:ascii="Arial" w:cs="Arial" w:eastAsia="Arial" w:hAnsi="Arial"/>
                <w:sz w:val="13"/>
                <w:szCs w:val="13"/>
                <w:color w:val="auto"/>
              </w:rPr>
              <w:t>Total lease cost</w:t>
            </w:r>
          </w:p>
        </w:tc>
        <w:tc>
          <w:tcPr>
            <w:tcW w:w="540" w:type="dxa"/>
            <w:vAlign w:val="bottom"/>
            <w:tcBorders>
              <w:top w:val="single" w:sz="8" w:color="auto"/>
              <w:bottom w:val="single" w:sz="8" w:color="auto"/>
            </w:tcBorders>
          </w:tcPr>
          <w:p>
            <w:pPr>
              <w:jc w:val="right"/>
              <w:ind w:right="395"/>
              <w:spacing w:after="0"/>
              <w:rPr>
                <w:sz w:val="20"/>
                <w:szCs w:val="20"/>
                <w:color w:val="auto"/>
              </w:rPr>
            </w:pPr>
            <w:r>
              <w:rPr>
                <w:rFonts w:ascii="Arial" w:cs="Arial" w:eastAsia="Arial" w:hAnsi="Arial"/>
                <w:sz w:val="13"/>
                <w:szCs w:val="13"/>
                <w:color w:val="auto"/>
                <w:w w:val="82"/>
              </w:rPr>
              <w:t>$</w:t>
            </w:r>
          </w:p>
        </w:tc>
        <w:tc>
          <w:tcPr>
            <w:tcW w:w="74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3"/>
                <w:szCs w:val="13"/>
                <w:color w:val="auto"/>
              </w:rPr>
              <w:t>32</w:t>
            </w:r>
          </w:p>
        </w:tc>
        <w:tc>
          <w:tcPr>
            <w:tcW w:w="12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06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3"/>
                <w:szCs w:val="13"/>
                <w:color w:val="auto"/>
              </w:rPr>
              <w:t>7</w:t>
            </w:r>
          </w:p>
        </w:tc>
        <w:tc>
          <w:tcPr>
            <w:tcW w:w="120" w:type="dxa"/>
            <w:vAlign w:val="bottom"/>
          </w:tcPr>
          <w:p>
            <w:pPr>
              <w:spacing w:after="0"/>
              <w:rPr>
                <w:sz w:val="16"/>
                <w:szCs w:val="16"/>
                <w:color w:val="auto"/>
              </w:rPr>
            </w:pPr>
          </w:p>
        </w:tc>
        <w:tc>
          <w:tcPr>
            <w:tcW w:w="880" w:type="dxa"/>
            <w:vAlign w:val="bottom"/>
            <w:tcBorders>
              <w:top w:val="single" w:sz="8" w:color="auto"/>
              <w:bottom w:val="single" w:sz="8" w:color="auto"/>
            </w:tcBorders>
          </w:tcPr>
          <w:p>
            <w:pPr>
              <w:jc w:val="right"/>
              <w:ind w:right="735"/>
              <w:spacing w:after="0"/>
              <w:rPr>
                <w:sz w:val="20"/>
                <w:szCs w:val="20"/>
                <w:color w:val="auto"/>
              </w:rPr>
            </w:pPr>
            <w:r>
              <w:rPr>
                <w:rFonts w:ascii="Arial" w:cs="Arial" w:eastAsia="Arial" w:hAnsi="Arial"/>
                <w:sz w:val="13"/>
                <w:szCs w:val="13"/>
                <w:color w:val="auto"/>
                <w:w w:val="82"/>
              </w:rPr>
              <w:t>$</w:t>
            </w:r>
          </w:p>
        </w:tc>
        <w:tc>
          <w:tcPr>
            <w:tcW w:w="38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75"/>
              <w:spacing w:after="0"/>
              <w:rPr>
                <w:sz w:val="20"/>
                <w:szCs w:val="20"/>
                <w:color w:val="auto"/>
              </w:rPr>
            </w:pPr>
            <w:r>
              <w:rPr>
                <w:rFonts w:ascii="Arial" w:cs="Arial" w:eastAsia="Arial" w:hAnsi="Arial"/>
                <w:sz w:val="13"/>
                <w:szCs w:val="13"/>
                <w:color w:val="auto"/>
              </w:rPr>
              <w:t>$</w:t>
            </w:r>
          </w:p>
        </w:tc>
        <w:tc>
          <w:tcPr>
            <w:tcW w:w="90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3"/>
                <w:szCs w:val="13"/>
                <w:color w:val="auto"/>
              </w:rPr>
              <w:t>66</w:t>
            </w:r>
          </w:p>
        </w:tc>
        <w:tc>
          <w:tcPr>
            <w:tcW w:w="12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120" w:type="dxa"/>
            <w:vAlign w:val="bottom"/>
            <w:tcBorders>
              <w:top w:val="single" w:sz="8" w:color="auto"/>
              <w:bottom w:val="single" w:sz="8" w:color="auto"/>
            </w:tcBorders>
          </w:tcPr>
          <w:p>
            <w:pPr>
              <w:ind w:left="880"/>
              <w:spacing w:after="0"/>
              <w:rPr>
                <w:sz w:val="20"/>
                <w:szCs w:val="20"/>
                <w:color w:val="auto"/>
              </w:rPr>
            </w:pPr>
            <w:r>
              <w:rPr>
                <w:rFonts w:ascii="Arial" w:cs="Arial" w:eastAsia="Arial" w:hAnsi="Arial"/>
                <w:sz w:val="13"/>
                <w:szCs w:val="13"/>
                <w:color w:val="auto"/>
              </w:rPr>
              <w:t>12</w:t>
            </w:r>
          </w:p>
        </w:tc>
        <w:tc>
          <w:tcPr>
            <w:tcW w:w="100" w:type="dxa"/>
            <w:vAlign w:val="bottom"/>
          </w:tcPr>
          <w:p>
            <w:pPr>
              <w:spacing w:after="0"/>
              <w:rPr>
                <w:sz w:val="16"/>
                <w:szCs w:val="16"/>
                <w:color w:val="auto"/>
              </w:rPr>
            </w:pPr>
          </w:p>
        </w:tc>
        <w:tc>
          <w:tcPr>
            <w:tcW w:w="360" w:type="dxa"/>
            <w:vAlign w:val="bottom"/>
            <w:tcBorders>
              <w:top w:val="single" w:sz="8" w:color="auto"/>
              <w:bottom w:val="single" w:sz="8" w:color="auto"/>
            </w:tcBorders>
          </w:tcPr>
          <w:p>
            <w:pPr>
              <w:jc w:val="right"/>
              <w:ind w:right="215"/>
              <w:spacing w:after="0"/>
              <w:rPr>
                <w:sz w:val="20"/>
                <w:szCs w:val="20"/>
                <w:color w:val="auto"/>
              </w:rPr>
            </w:pPr>
            <w:r>
              <w:rPr>
                <w:rFonts w:ascii="Arial" w:cs="Arial" w:eastAsia="Arial" w:hAnsi="Arial"/>
                <w:sz w:val="13"/>
                <w:szCs w:val="13"/>
                <w:color w:val="auto"/>
                <w:w w:val="82"/>
              </w:rPr>
              <w:t>$</w:t>
            </w:r>
          </w:p>
        </w:tc>
        <w:tc>
          <w:tcPr>
            <w:tcW w:w="88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3"/>
                <w:szCs w:val="13"/>
                <w:color w:val="auto"/>
              </w:rPr>
              <w:t>4</w:t>
            </w:r>
          </w:p>
        </w:tc>
      </w:tr>
      <w:tr>
        <w:trPr>
          <w:trHeight w:val="20"/>
        </w:trPr>
        <w:tc>
          <w:tcPr>
            <w:tcW w:w="35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61</w:t>
      </w:r>
    </w:p>
    <w:p>
      <w:pPr>
        <w:sectPr>
          <w:pgSz w:w="11900" w:h="16838" w:orient="portrait"/>
          <w:cols w:equalWidth="0" w:num="1">
            <w:col w:w="11460"/>
          </w:cols>
          <w:pgMar w:left="220" w:top="129" w:right="219" w:bottom="1440" w:gutter="0" w:footer="0" w:header="0"/>
        </w:sectPr>
      </w:pPr>
    </w:p>
    <w:bookmarkStart w:id="71" w:name="page72"/>
    <w:bookmarkEnd w:id="71"/>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205" w:lineRule="exact"/>
        <w:rPr>
          <w:sz w:val="20"/>
          <w:szCs w:val="20"/>
          <w:color w:val="auto"/>
        </w:rPr>
      </w:pPr>
    </w:p>
    <w:p>
      <w:pPr>
        <w:ind w:left="260"/>
        <w:spacing w:after="0"/>
        <w:rPr>
          <w:sz w:val="20"/>
          <w:szCs w:val="20"/>
          <w:color w:val="auto"/>
        </w:rPr>
      </w:pPr>
      <w:r>
        <w:rPr>
          <w:rFonts w:ascii="Arial" w:cs="Arial" w:eastAsia="Arial" w:hAnsi="Arial"/>
          <w:sz w:val="14"/>
          <w:szCs w:val="14"/>
          <w:color w:val="auto"/>
        </w:rPr>
        <w:t>Supplemental balance sheet information related to leases was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8"/>
              </w:rPr>
              <w:t>September 30, 2019</w:t>
            </w: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27"/>
        </w:trPr>
        <w:tc>
          <w:tcPr>
            <w:tcW w:w="67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80"/>
        </w:trPr>
        <w:tc>
          <w:tcPr>
            <w:tcW w:w="6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gridSpan w:val="2"/>
          </w:tcPr>
          <w:p>
            <w:pPr>
              <w:ind w:left="40"/>
              <w:spacing w:after="0"/>
              <w:rPr>
                <w:sz w:val="20"/>
                <w:szCs w:val="20"/>
                <w:color w:val="auto"/>
              </w:rPr>
            </w:pPr>
            <w:r>
              <w:rPr>
                <w:rFonts w:ascii="Arial" w:cs="Arial" w:eastAsia="Arial" w:hAnsi="Arial"/>
                <w:sz w:val="13"/>
                <w:szCs w:val="13"/>
                <w:b w:val="1"/>
                <w:bCs w:val="1"/>
                <w:color w:val="auto"/>
              </w:rPr>
              <w:t>CenterPoint Energy</w:t>
            </w:r>
          </w:p>
        </w:tc>
        <w:tc>
          <w:tcPr>
            <w:tcW w:w="140" w:type="dxa"/>
            <w:vAlign w:val="bottom"/>
          </w:tcPr>
          <w:p>
            <w:pPr>
              <w:spacing w:after="0"/>
              <w:rPr>
                <w:sz w:val="15"/>
                <w:szCs w:val="15"/>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9"/>
              </w:rPr>
              <w:t>Houston Electric</w:t>
            </w:r>
          </w:p>
        </w:tc>
        <w:tc>
          <w:tcPr>
            <w:tcW w:w="520" w:type="dxa"/>
            <w:vAlign w:val="bottom"/>
          </w:tcPr>
          <w:p>
            <w:pPr>
              <w:spacing w:after="0"/>
              <w:rPr>
                <w:sz w:val="15"/>
                <w:szCs w:val="15"/>
                <w:color w:val="auto"/>
              </w:rPr>
            </w:pPr>
          </w:p>
        </w:tc>
        <w:tc>
          <w:tcPr>
            <w:tcW w:w="960" w:type="dxa"/>
            <w:vAlign w:val="bottom"/>
          </w:tcPr>
          <w:p>
            <w:pPr>
              <w:jc w:val="right"/>
              <w:ind w:right="495"/>
              <w:spacing w:after="0"/>
              <w:rPr>
                <w:sz w:val="20"/>
                <w:szCs w:val="20"/>
                <w:color w:val="auto"/>
              </w:rPr>
            </w:pPr>
            <w:r>
              <w:rPr>
                <w:rFonts w:ascii="Arial" w:cs="Arial" w:eastAsia="Arial" w:hAnsi="Arial"/>
                <w:sz w:val="13"/>
                <w:szCs w:val="13"/>
                <w:b w:val="1"/>
                <w:bCs w:val="1"/>
                <w:color w:val="auto"/>
              </w:rPr>
              <w:t>CERC</w:t>
            </w:r>
          </w:p>
        </w:tc>
      </w:tr>
      <w:tr>
        <w:trPr>
          <w:trHeight w:val="27"/>
        </w:trPr>
        <w:tc>
          <w:tcPr>
            <w:tcW w:w="67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580" w:type="dxa"/>
            <w:vAlign w:val="bottom"/>
            <w:tcBorders>
              <w:bottom w:val="single" w:sz="8" w:color="auto"/>
            </w:tcBorders>
            <w:gridSpan w:val="6"/>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69"/>
        </w:trPr>
        <w:tc>
          <w:tcPr>
            <w:tcW w:w="6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580" w:type="dxa"/>
            <w:vAlign w:val="bottom"/>
            <w:gridSpan w:val="6"/>
          </w:tcPr>
          <w:p>
            <w:pPr>
              <w:jc w:val="center"/>
              <w:ind w:left="775"/>
              <w:spacing w:after="0"/>
              <w:rPr>
                <w:sz w:val="20"/>
                <w:szCs w:val="20"/>
                <w:color w:val="auto"/>
              </w:rPr>
            </w:pPr>
            <w:r>
              <w:rPr>
                <w:rFonts w:ascii="Arial" w:cs="Arial" w:eastAsia="Arial" w:hAnsi="Arial"/>
                <w:sz w:val="13"/>
                <w:szCs w:val="13"/>
                <w:b w:val="1"/>
                <w:bCs w:val="1"/>
                <w:color w:val="auto"/>
                <w:w w:val="88"/>
              </w:rPr>
              <w:t>(in millions, except lease term and discount rate)</w:t>
            </w:r>
          </w:p>
        </w:tc>
        <w:tc>
          <w:tcPr>
            <w:tcW w:w="960" w:type="dxa"/>
            <w:vAlign w:val="bottom"/>
          </w:tcPr>
          <w:p>
            <w:pPr>
              <w:spacing w:after="0"/>
              <w:rPr>
                <w:sz w:val="14"/>
                <w:szCs w:val="14"/>
                <w:color w:val="auto"/>
              </w:rPr>
            </w:pPr>
          </w:p>
        </w:tc>
      </w:tr>
      <w:tr>
        <w:trPr>
          <w:trHeight w:val="216"/>
        </w:trPr>
        <w:tc>
          <w:tcPr>
            <w:tcW w:w="6780" w:type="dxa"/>
            <w:vAlign w:val="bottom"/>
          </w:tcPr>
          <w:p>
            <w:pPr>
              <w:ind w:left="20"/>
              <w:spacing w:after="0"/>
              <w:rPr>
                <w:sz w:val="20"/>
                <w:szCs w:val="20"/>
                <w:color w:val="auto"/>
              </w:rPr>
            </w:pPr>
            <w:r>
              <w:rPr>
                <w:rFonts w:ascii="Arial" w:cs="Arial" w:eastAsia="Arial" w:hAnsi="Arial"/>
                <w:sz w:val="13"/>
                <w:szCs w:val="13"/>
                <w:color w:val="auto"/>
              </w:rPr>
              <w:t>Assets:</w:t>
            </w: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7"/>
        </w:trPr>
        <w:tc>
          <w:tcPr>
            <w:tcW w:w="6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16"/>
        </w:trPr>
        <w:tc>
          <w:tcPr>
            <w:tcW w:w="6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 xml:space="preserve">Operating ROU assets </w:t>
            </w:r>
            <w:r>
              <w:rPr>
                <w:rFonts w:ascii="Arial" w:cs="Arial" w:eastAsia="Arial" w:hAnsi="Arial"/>
                <w:sz w:val="10"/>
                <w:szCs w:val="10"/>
                <w:color w:val="auto"/>
              </w:rPr>
              <w:t>(1)</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3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3"/>
                <w:szCs w:val="13"/>
                <w:color w:val="auto"/>
              </w:rPr>
              <w:t>67</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3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3"/>
                <w:szCs w:val="13"/>
                <w:color w:val="auto"/>
              </w:rPr>
              <w:t>1</w:t>
            </w:r>
          </w:p>
        </w:tc>
        <w:tc>
          <w:tcPr>
            <w:tcW w:w="12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jc w:val="right"/>
              <w:ind w:right="375"/>
              <w:spacing w:after="0"/>
              <w:rPr>
                <w:sz w:val="20"/>
                <w:szCs w:val="20"/>
                <w:color w:val="auto"/>
              </w:rPr>
            </w:pPr>
            <w:r>
              <w:rPr>
                <w:rFonts w:ascii="Arial" w:cs="Arial" w:eastAsia="Arial" w:hAnsi="Arial"/>
                <w:sz w:val="13"/>
                <w:szCs w:val="13"/>
                <w:color w:val="auto"/>
                <w:w w:val="82"/>
              </w:rPr>
              <w:t>$</w:t>
            </w:r>
          </w:p>
        </w:tc>
        <w:tc>
          <w:tcPr>
            <w:tcW w:w="9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3"/>
                <w:szCs w:val="13"/>
                <w:color w:val="auto"/>
              </w:rPr>
              <w:t>25</w:t>
            </w:r>
          </w:p>
        </w:tc>
      </w:tr>
      <w:tr>
        <w:trPr>
          <w:trHeight w:val="228"/>
        </w:trPr>
        <w:tc>
          <w:tcPr>
            <w:tcW w:w="678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Total leased assets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360" w:type="dxa"/>
            <w:vAlign w:val="bottom"/>
            <w:tcBorders>
              <w:top w:val="single" w:sz="8" w:color="auto"/>
              <w:bottom w:val="single" w:sz="8" w:color="auto"/>
            </w:tcBorders>
          </w:tcPr>
          <w:p>
            <w:pPr>
              <w:jc w:val="right"/>
              <w:ind w:right="75"/>
              <w:spacing w:after="0"/>
              <w:rPr>
                <w:sz w:val="20"/>
                <w:szCs w:val="20"/>
                <w:color w:val="auto"/>
              </w:rPr>
            </w:pPr>
            <w:r>
              <w:rPr>
                <w:rFonts w:ascii="Arial" w:cs="Arial" w:eastAsia="Arial" w:hAnsi="Arial"/>
                <w:sz w:val="13"/>
                <w:szCs w:val="13"/>
                <w:color w:val="auto"/>
              </w:rPr>
              <w:t>67</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34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3"/>
                <w:szCs w:val="13"/>
                <w:color w:val="auto"/>
              </w:rPr>
              <w:t>1</w:t>
            </w:r>
          </w:p>
        </w:tc>
        <w:tc>
          <w:tcPr>
            <w:tcW w:w="120" w:type="dxa"/>
            <w:vAlign w:val="bottom"/>
            <w:tcBorders>
              <w:bottom w:val="single" w:sz="8" w:color="CCEEFF"/>
            </w:tcBorders>
          </w:tcPr>
          <w:p>
            <w:pPr>
              <w:spacing w:after="0"/>
              <w:rPr>
                <w:sz w:val="19"/>
                <w:szCs w:val="19"/>
                <w:color w:val="auto"/>
              </w:rPr>
            </w:pPr>
          </w:p>
        </w:tc>
        <w:tc>
          <w:tcPr>
            <w:tcW w:w="520" w:type="dxa"/>
            <w:vAlign w:val="bottom"/>
            <w:tcBorders>
              <w:top w:val="single" w:sz="8" w:color="auto"/>
              <w:bottom w:val="single" w:sz="8" w:color="auto"/>
            </w:tcBorders>
          </w:tcPr>
          <w:p>
            <w:pPr>
              <w:jc w:val="right"/>
              <w:ind w:right="375"/>
              <w:spacing w:after="0"/>
              <w:rPr>
                <w:sz w:val="20"/>
                <w:szCs w:val="20"/>
                <w:color w:val="auto"/>
              </w:rPr>
            </w:pPr>
            <w:r>
              <w:rPr>
                <w:rFonts w:ascii="Arial" w:cs="Arial" w:eastAsia="Arial" w:hAnsi="Arial"/>
                <w:sz w:val="13"/>
                <w:szCs w:val="13"/>
                <w:color w:val="auto"/>
                <w:w w:val="82"/>
              </w:rPr>
              <w:t>$</w:t>
            </w:r>
          </w:p>
        </w:tc>
        <w:tc>
          <w:tcPr>
            <w:tcW w:w="96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3"/>
                <w:szCs w:val="13"/>
                <w:color w:val="auto"/>
              </w:rPr>
              <w:t>25</w:t>
            </w:r>
          </w:p>
        </w:tc>
      </w:tr>
      <w:tr>
        <w:trPr>
          <w:trHeight w:val="176"/>
        </w:trPr>
        <w:tc>
          <w:tcPr>
            <w:tcW w:w="6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Liabilities:</w:t>
            </w:r>
          </w:p>
        </w:tc>
        <w:tc>
          <w:tcPr>
            <w:tcW w:w="14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spacing w:after="0"/>
              <w:rPr>
                <w:sz w:val="15"/>
                <w:szCs w:val="15"/>
                <w:color w:val="auto"/>
              </w:rPr>
            </w:pPr>
          </w:p>
        </w:tc>
      </w:tr>
      <w:tr>
        <w:trPr>
          <w:trHeight w:val="189"/>
        </w:trPr>
        <w:tc>
          <w:tcPr>
            <w:tcW w:w="6780" w:type="dxa"/>
            <w:vAlign w:val="bottom"/>
          </w:tcPr>
          <w:p>
            <w:pPr>
              <w:ind w:left="20"/>
              <w:spacing w:after="0"/>
              <w:rPr>
                <w:sz w:val="20"/>
                <w:szCs w:val="20"/>
                <w:color w:val="auto"/>
              </w:rPr>
            </w:pPr>
            <w:r>
              <w:rPr>
                <w:rFonts w:ascii="Arial" w:cs="Arial" w:eastAsia="Arial" w:hAnsi="Arial"/>
                <w:sz w:val="13"/>
                <w:szCs w:val="13"/>
                <w:color w:val="auto"/>
              </w:rPr>
              <w:t xml:space="preserve">Current operating lease liability </w:t>
            </w:r>
            <w:r>
              <w:rPr>
                <w:rFonts w:ascii="Arial" w:cs="Arial" w:eastAsia="Arial" w:hAnsi="Arial"/>
                <w:sz w:val="10"/>
                <w:szCs w:val="10"/>
                <w:color w:val="auto"/>
              </w:rPr>
              <w:t>(2)</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360" w:type="dxa"/>
            <w:vAlign w:val="bottom"/>
          </w:tcPr>
          <w:p>
            <w:pPr>
              <w:jc w:val="right"/>
              <w:ind w:right="75"/>
              <w:spacing w:after="0"/>
              <w:rPr>
                <w:sz w:val="20"/>
                <w:szCs w:val="20"/>
                <w:color w:val="auto"/>
              </w:rPr>
            </w:pPr>
            <w:r>
              <w:rPr>
                <w:rFonts w:ascii="Arial" w:cs="Arial" w:eastAsia="Arial" w:hAnsi="Arial"/>
                <w:sz w:val="13"/>
                <w:szCs w:val="13"/>
                <w:color w:val="auto"/>
              </w:rPr>
              <w:t>21</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4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520" w:type="dxa"/>
            <w:vAlign w:val="bottom"/>
          </w:tcPr>
          <w:p>
            <w:pPr>
              <w:jc w:val="right"/>
              <w:ind w:right="375"/>
              <w:spacing w:after="0"/>
              <w:rPr>
                <w:sz w:val="20"/>
                <w:szCs w:val="20"/>
                <w:color w:val="auto"/>
              </w:rPr>
            </w:pPr>
            <w:r>
              <w:rPr>
                <w:rFonts w:ascii="Arial" w:cs="Arial" w:eastAsia="Arial" w:hAnsi="Arial"/>
                <w:sz w:val="13"/>
                <w:szCs w:val="13"/>
                <w:color w:val="auto"/>
                <w:w w:val="82"/>
              </w:rPr>
              <w:t>$</w:t>
            </w:r>
          </w:p>
        </w:tc>
        <w:tc>
          <w:tcPr>
            <w:tcW w:w="960" w:type="dxa"/>
            <w:vAlign w:val="bottom"/>
          </w:tcPr>
          <w:p>
            <w:pPr>
              <w:jc w:val="right"/>
              <w:ind w:right="55"/>
              <w:spacing w:after="0"/>
              <w:rPr>
                <w:sz w:val="20"/>
                <w:szCs w:val="20"/>
                <w:color w:val="auto"/>
              </w:rPr>
            </w:pPr>
            <w:r>
              <w:rPr>
                <w:rFonts w:ascii="Arial" w:cs="Arial" w:eastAsia="Arial" w:hAnsi="Arial"/>
                <w:sz w:val="13"/>
                <w:szCs w:val="13"/>
                <w:color w:val="auto"/>
              </w:rPr>
              <w:t>4</w:t>
            </w:r>
          </w:p>
        </w:tc>
      </w:tr>
      <w:tr>
        <w:trPr>
          <w:trHeight w:val="27"/>
        </w:trPr>
        <w:tc>
          <w:tcPr>
            <w:tcW w:w="6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16"/>
        </w:trPr>
        <w:tc>
          <w:tcPr>
            <w:tcW w:w="6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 xml:space="preserve">Non-current operating lease liability </w:t>
            </w:r>
            <w:r>
              <w:rPr>
                <w:rFonts w:ascii="Arial" w:cs="Arial" w:eastAsia="Arial" w:hAnsi="Arial"/>
                <w:sz w:val="10"/>
                <w:szCs w:val="10"/>
                <w:color w:val="auto"/>
              </w:rPr>
              <w:t>(3)</w:t>
            </w:r>
          </w:p>
        </w:tc>
        <w:tc>
          <w:tcPr>
            <w:tcW w:w="14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3"/>
                <w:szCs w:val="13"/>
                <w:color w:val="auto"/>
              </w:rPr>
              <w:t>46</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3"/>
                <w:szCs w:val="13"/>
                <w:color w:val="auto"/>
              </w:rPr>
              <w:t>1</w:t>
            </w:r>
          </w:p>
        </w:tc>
        <w:tc>
          <w:tcPr>
            <w:tcW w:w="12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3"/>
                <w:szCs w:val="13"/>
                <w:color w:val="auto"/>
              </w:rPr>
              <w:t>21</w:t>
            </w:r>
          </w:p>
        </w:tc>
      </w:tr>
      <w:tr>
        <w:trPr>
          <w:trHeight w:val="228"/>
        </w:trPr>
        <w:tc>
          <w:tcPr>
            <w:tcW w:w="678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Total leased liabilities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360" w:type="dxa"/>
            <w:vAlign w:val="bottom"/>
            <w:tcBorders>
              <w:top w:val="single" w:sz="8" w:color="auto"/>
              <w:bottom w:val="single" w:sz="8" w:color="auto"/>
            </w:tcBorders>
          </w:tcPr>
          <w:p>
            <w:pPr>
              <w:jc w:val="right"/>
              <w:ind w:right="75"/>
              <w:spacing w:after="0"/>
              <w:rPr>
                <w:sz w:val="20"/>
                <w:szCs w:val="20"/>
                <w:color w:val="auto"/>
              </w:rPr>
            </w:pPr>
            <w:r>
              <w:rPr>
                <w:rFonts w:ascii="Arial" w:cs="Arial" w:eastAsia="Arial" w:hAnsi="Arial"/>
                <w:sz w:val="13"/>
                <w:szCs w:val="13"/>
                <w:color w:val="auto"/>
              </w:rPr>
              <w:t>67</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34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3"/>
                <w:szCs w:val="13"/>
                <w:color w:val="auto"/>
              </w:rPr>
              <w:t>1</w:t>
            </w:r>
          </w:p>
        </w:tc>
        <w:tc>
          <w:tcPr>
            <w:tcW w:w="120" w:type="dxa"/>
            <w:vAlign w:val="bottom"/>
            <w:tcBorders>
              <w:bottom w:val="single" w:sz="8" w:color="CCEEFF"/>
            </w:tcBorders>
          </w:tcPr>
          <w:p>
            <w:pPr>
              <w:spacing w:after="0"/>
              <w:rPr>
                <w:sz w:val="19"/>
                <w:szCs w:val="19"/>
                <w:color w:val="auto"/>
              </w:rPr>
            </w:pPr>
          </w:p>
        </w:tc>
        <w:tc>
          <w:tcPr>
            <w:tcW w:w="520" w:type="dxa"/>
            <w:vAlign w:val="bottom"/>
            <w:tcBorders>
              <w:top w:val="single" w:sz="8" w:color="auto"/>
              <w:bottom w:val="single" w:sz="8" w:color="auto"/>
            </w:tcBorders>
          </w:tcPr>
          <w:p>
            <w:pPr>
              <w:jc w:val="right"/>
              <w:ind w:right="375"/>
              <w:spacing w:after="0"/>
              <w:rPr>
                <w:sz w:val="20"/>
                <w:szCs w:val="20"/>
                <w:color w:val="auto"/>
              </w:rPr>
            </w:pPr>
            <w:r>
              <w:rPr>
                <w:rFonts w:ascii="Arial" w:cs="Arial" w:eastAsia="Arial" w:hAnsi="Arial"/>
                <w:sz w:val="13"/>
                <w:szCs w:val="13"/>
                <w:color w:val="auto"/>
                <w:w w:val="82"/>
              </w:rPr>
              <w:t>$</w:t>
            </w:r>
          </w:p>
        </w:tc>
        <w:tc>
          <w:tcPr>
            <w:tcW w:w="96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3"/>
                <w:szCs w:val="13"/>
                <w:color w:val="auto"/>
              </w:rPr>
              <w:t>25</w:t>
            </w:r>
          </w:p>
        </w:tc>
      </w:tr>
      <w:tr>
        <w:trPr>
          <w:trHeight w:val="239"/>
        </w:trPr>
        <w:tc>
          <w:tcPr>
            <w:tcW w:w="67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r>
      <w:tr>
        <w:trPr>
          <w:trHeight w:val="189"/>
        </w:trPr>
        <w:tc>
          <w:tcPr>
            <w:tcW w:w="6780" w:type="dxa"/>
            <w:vAlign w:val="bottom"/>
          </w:tcPr>
          <w:p>
            <w:pPr>
              <w:ind w:left="20"/>
              <w:spacing w:after="0"/>
              <w:rPr>
                <w:sz w:val="20"/>
                <w:szCs w:val="20"/>
                <w:color w:val="auto"/>
              </w:rPr>
            </w:pPr>
            <w:r>
              <w:rPr>
                <w:rFonts w:ascii="Arial" w:cs="Arial" w:eastAsia="Arial" w:hAnsi="Arial"/>
                <w:sz w:val="13"/>
                <w:szCs w:val="13"/>
                <w:color w:val="auto"/>
              </w:rPr>
              <w:t>Weighted-average remaining lease term (in years) - operating leases</w:t>
            </w:r>
          </w:p>
        </w:tc>
        <w:tc>
          <w:tcPr>
            <w:tcW w:w="140" w:type="dxa"/>
            <w:vAlign w:val="bottom"/>
          </w:tcPr>
          <w:p>
            <w:pPr>
              <w:spacing w:after="0"/>
              <w:rPr>
                <w:sz w:val="16"/>
                <w:szCs w:val="16"/>
                <w:color w:val="auto"/>
              </w:rPr>
            </w:pPr>
          </w:p>
        </w:tc>
        <w:tc>
          <w:tcPr>
            <w:tcW w:w="1360" w:type="dxa"/>
            <w:vAlign w:val="bottom"/>
          </w:tcPr>
          <w:p>
            <w:pPr>
              <w:jc w:val="right"/>
              <w:ind w:right="75"/>
              <w:spacing w:after="0"/>
              <w:rPr>
                <w:sz w:val="20"/>
                <w:szCs w:val="20"/>
                <w:color w:val="auto"/>
              </w:rPr>
            </w:pPr>
            <w:r>
              <w:rPr>
                <w:rFonts w:ascii="Arial" w:cs="Arial" w:eastAsia="Arial" w:hAnsi="Arial"/>
                <w:sz w:val="13"/>
                <w:szCs w:val="13"/>
                <w:color w:val="auto"/>
              </w:rPr>
              <w:t>5.2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jc w:val="right"/>
              <w:ind w:right="55"/>
              <w:spacing w:after="0"/>
              <w:rPr>
                <w:sz w:val="20"/>
                <w:szCs w:val="20"/>
                <w:color w:val="auto"/>
              </w:rPr>
            </w:pPr>
            <w:r>
              <w:rPr>
                <w:rFonts w:ascii="Arial" w:cs="Arial" w:eastAsia="Arial" w:hAnsi="Arial"/>
                <w:sz w:val="13"/>
                <w:szCs w:val="13"/>
                <w:color w:val="auto"/>
              </w:rPr>
              <w:t>5.4</w:t>
            </w: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60" w:type="dxa"/>
            <w:vAlign w:val="bottom"/>
          </w:tcPr>
          <w:p>
            <w:pPr>
              <w:jc w:val="right"/>
              <w:ind w:right="55"/>
              <w:spacing w:after="0"/>
              <w:rPr>
                <w:sz w:val="20"/>
                <w:szCs w:val="20"/>
                <w:color w:val="auto"/>
              </w:rPr>
            </w:pPr>
            <w:r>
              <w:rPr>
                <w:rFonts w:ascii="Arial" w:cs="Arial" w:eastAsia="Arial" w:hAnsi="Arial"/>
                <w:sz w:val="13"/>
                <w:szCs w:val="13"/>
                <w:color w:val="auto"/>
              </w:rPr>
              <w:t>7.9</w:t>
            </w:r>
          </w:p>
        </w:tc>
      </w:tr>
      <w:tr>
        <w:trPr>
          <w:trHeight w:val="27"/>
        </w:trPr>
        <w:tc>
          <w:tcPr>
            <w:tcW w:w="6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189"/>
        </w:trPr>
        <w:tc>
          <w:tcPr>
            <w:tcW w:w="6780" w:type="dxa"/>
            <w:vAlign w:val="bottom"/>
            <w:shd w:val="clear" w:color="auto" w:fill="CCEEFF"/>
          </w:tcPr>
          <w:p>
            <w:pPr>
              <w:ind w:left="20"/>
              <w:spacing w:after="0"/>
              <w:rPr>
                <w:sz w:val="20"/>
                <w:szCs w:val="20"/>
                <w:color w:val="auto"/>
              </w:rPr>
            </w:pPr>
            <w:r>
              <w:rPr>
                <w:rFonts w:ascii="Arial" w:cs="Arial" w:eastAsia="Arial" w:hAnsi="Arial"/>
                <w:sz w:val="13"/>
                <w:szCs w:val="13"/>
                <w:color w:val="auto"/>
              </w:rPr>
              <w:t>Weighted-average discount rate - operating leases</w:t>
            </w:r>
          </w:p>
        </w:tc>
        <w:tc>
          <w:tcPr>
            <w:tcW w:w="140" w:type="dxa"/>
            <w:vAlign w:val="bottom"/>
            <w:shd w:val="clear" w:color="auto" w:fill="CCEEFF"/>
          </w:tcPr>
          <w:p>
            <w:pPr>
              <w:spacing w:after="0"/>
              <w:rPr>
                <w:sz w:val="16"/>
                <w:szCs w:val="16"/>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3.41%</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3.51%</w:t>
            </w: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3.66%</w:t>
            </w:r>
          </w:p>
        </w:tc>
      </w:tr>
      <w:tr>
        <w:trPr>
          <w:trHeight w:val="27"/>
        </w:trPr>
        <w:tc>
          <w:tcPr>
            <w:tcW w:w="67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r>
    </w:tbl>
    <w:p>
      <w:pPr>
        <w:spacing w:after="0" w:line="162" w:lineRule="exact"/>
        <w:rPr>
          <w:sz w:val="20"/>
          <w:szCs w:val="20"/>
          <w:color w:val="auto"/>
        </w:rPr>
      </w:pPr>
    </w:p>
    <w:p>
      <w:pPr>
        <w:ind w:left="520" w:hanging="255"/>
        <w:spacing w:after="0"/>
        <w:tabs>
          <w:tab w:leader="none" w:pos="520" w:val="left"/>
        </w:tabs>
        <w:numPr>
          <w:ilvl w:val="0"/>
          <w:numId w:val="52"/>
        </w:numPr>
        <w:rPr>
          <w:rFonts w:ascii="Arial" w:cs="Arial" w:eastAsia="Arial" w:hAnsi="Arial"/>
          <w:sz w:val="14"/>
          <w:szCs w:val="14"/>
          <w:color w:val="auto"/>
        </w:rPr>
      </w:pPr>
      <w:r>
        <w:rPr>
          <w:rFonts w:ascii="Arial" w:cs="Arial" w:eastAsia="Arial" w:hAnsi="Arial"/>
          <w:sz w:val="14"/>
          <w:szCs w:val="14"/>
          <w:color w:val="auto"/>
        </w:rPr>
        <w:t>Reported within Other assets in the Condensed Consolidated Balance Sheets.</w:t>
      </w:r>
    </w:p>
    <w:p>
      <w:pPr>
        <w:spacing w:after="0" w:line="183" w:lineRule="exact"/>
        <w:rPr>
          <w:rFonts w:ascii="Arial" w:cs="Arial" w:eastAsia="Arial" w:hAnsi="Arial"/>
          <w:sz w:val="14"/>
          <w:szCs w:val="14"/>
          <w:color w:val="auto"/>
        </w:rPr>
      </w:pPr>
    </w:p>
    <w:p>
      <w:pPr>
        <w:ind w:left="520" w:hanging="255"/>
        <w:spacing w:after="0"/>
        <w:tabs>
          <w:tab w:leader="none" w:pos="520" w:val="left"/>
        </w:tabs>
        <w:numPr>
          <w:ilvl w:val="0"/>
          <w:numId w:val="52"/>
        </w:numPr>
        <w:rPr>
          <w:rFonts w:ascii="Arial" w:cs="Arial" w:eastAsia="Arial" w:hAnsi="Arial"/>
          <w:sz w:val="14"/>
          <w:szCs w:val="14"/>
          <w:color w:val="auto"/>
        </w:rPr>
      </w:pPr>
      <w:r>
        <w:rPr>
          <w:rFonts w:ascii="Arial" w:cs="Arial" w:eastAsia="Arial" w:hAnsi="Arial"/>
          <w:sz w:val="14"/>
          <w:szCs w:val="14"/>
          <w:color w:val="auto"/>
        </w:rPr>
        <w:t>Reported within Current other liabilities in the Condensed Consolidated Balance Sheets.</w:t>
      </w:r>
    </w:p>
    <w:p>
      <w:pPr>
        <w:spacing w:after="0" w:line="183" w:lineRule="exact"/>
        <w:rPr>
          <w:rFonts w:ascii="Arial" w:cs="Arial" w:eastAsia="Arial" w:hAnsi="Arial"/>
          <w:sz w:val="14"/>
          <w:szCs w:val="14"/>
          <w:color w:val="auto"/>
        </w:rPr>
      </w:pPr>
    </w:p>
    <w:p>
      <w:pPr>
        <w:ind w:left="520" w:hanging="255"/>
        <w:spacing w:after="0"/>
        <w:tabs>
          <w:tab w:leader="none" w:pos="520" w:val="left"/>
        </w:tabs>
        <w:numPr>
          <w:ilvl w:val="0"/>
          <w:numId w:val="52"/>
        </w:numPr>
        <w:rPr>
          <w:rFonts w:ascii="Arial" w:cs="Arial" w:eastAsia="Arial" w:hAnsi="Arial"/>
          <w:sz w:val="14"/>
          <w:szCs w:val="14"/>
          <w:color w:val="auto"/>
        </w:rPr>
      </w:pPr>
      <w:r>
        <w:rPr>
          <w:rFonts w:ascii="Arial" w:cs="Arial" w:eastAsia="Arial" w:hAnsi="Arial"/>
          <w:sz w:val="14"/>
          <w:szCs w:val="14"/>
          <w:color w:val="auto"/>
        </w:rPr>
        <w:t>Reported within Other liabilities in the Condensed Consolidated Balance Sheets.</w:t>
      </w:r>
    </w:p>
    <w:p>
      <w:pPr>
        <w:spacing w:after="0" w:line="184" w:lineRule="exact"/>
        <w:rPr>
          <w:sz w:val="20"/>
          <w:szCs w:val="20"/>
          <w:color w:val="auto"/>
        </w:rPr>
      </w:pPr>
    </w:p>
    <w:p>
      <w:pPr>
        <w:ind w:left="260"/>
        <w:spacing w:after="0"/>
        <w:rPr>
          <w:sz w:val="20"/>
          <w:szCs w:val="20"/>
          <w:color w:val="auto"/>
        </w:rPr>
      </w:pPr>
      <w:r>
        <w:rPr>
          <w:rFonts w:ascii="Arial" w:cs="Arial" w:eastAsia="Arial" w:hAnsi="Arial"/>
          <w:sz w:val="14"/>
          <w:szCs w:val="14"/>
          <w:color w:val="auto"/>
        </w:rPr>
        <w:t>As of September 30, 2019, maturities of operating lease liabilities were as follows: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6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60" w:type="dxa"/>
            <w:vAlign w:val="bottom"/>
            <w:gridSpan w:val="2"/>
            <w:vMerge w:val="restart"/>
          </w:tcPr>
          <w:p>
            <w:pPr>
              <w:ind w:left="100"/>
              <w:spacing w:after="0"/>
              <w:rPr>
                <w:sz w:val="20"/>
                <w:szCs w:val="20"/>
                <w:color w:val="auto"/>
              </w:rPr>
            </w:pPr>
            <w:r>
              <w:rPr>
                <w:rFonts w:ascii="Arial" w:cs="Arial" w:eastAsia="Arial" w:hAnsi="Arial"/>
                <w:sz w:val="11"/>
                <w:szCs w:val="11"/>
                <w:b w:val="1"/>
                <w:bCs w:val="1"/>
                <w:color w:val="auto"/>
              </w:rPr>
              <w:t>CenterPoint Energy</w:t>
            </w:r>
          </w:p>
        </w:tc>
        <w:tc>
          <w:tcPr>
            <w:tcW w:w="260" w:type="dxa"/>
            <w:vAlign w:val="bottom"/>
          </w:tcPr>
          <w:p>
            <w:pPr>
              <w:spacing w:after="0"/>
              <w:rPr>
                <w:sz w:val="10"/>
                <w:szCs w:val="10"/>
                <w:color w:val="auto"/>
              </w:rPr>
            </w:pPr>
          </w:p>
        </w:tc>
        <w:tc>
          <w:tcPr>
            <w:tcW w:w="1340" w:type="dxa"/>
            <w:vAlign w:val="bottom"/>
            <w:gridSpan w:val="2"/>
          </w:tcPr>
          <w:p>
            <w:pPr>
              <w:jc w:val="center"/>
              <w:ind w:right="380"/>
              <w:spacing w:after="0"/>
              <w:rPr>
                <w:sz w:val="20"/>
                <w:szCs w:val="20"/>
                <w:color w:val="auto"/>
              </w:rPr>
            </w:pPr>
            <w:r>
              <w:rPr>
                <w:rFonts w:ascii="Arial" w:cs="Arial" w:eastAsia="Arial" w:hAnsi="Arial"/>
                <w:sz w:val="11"/>
                <w:szCs w:val="11"/>
                <w:b w:val="1"/>
                <w:bCs w:val="1"/>
                <w:color w:val="auto"/>
                <w:w w:val="89"/>
              </w:rPr>
              <w:t>Houston</w:t>
            </w:r>
          </w:p>
        </w:tc>
        <w:tc>
          <w:tcPr>
            <w:tcW w:w="320" w:type="dxa"/>
            <w:vAlign w:val="bottom"/>
          </w:tcPr>
          <w:p>
            <w:pPr>
              <w:spacing w:after="0"/>
              <w:rPr>
                <w:sz w:val="10"/>
                <w:szCs w:val="10"/>
                <w:color w:val="auto"/>
              </w:rPr>
            </w:pPr>
          </w:p>
        </w:tc>
        <w:tc>
          <w:tcPr>
            <w:tcW w:w="1140" w:type="dxa"/>
            <w:vAlign w:val="bottom"/>
            <w:vMerge w:val="restart"/>
          </w:tcPr>
          <w:p>
            <w:pPr>
              <w:jc w:val="right"/>
              <w:ind w:right="489"/>
              <w:spacing w:after="0"/>
              <w:rPr>
                <w:sz w:val="20"/>
                <w:szCs w:val="20"/>
                <w:color w:val="auto"/>
              </w:rPr>
            </w:pPr>
            <w:r>
              <w:rPr>
                <w:rFonts w:ascii="Arial" w:cs="Arial" w:eastAsia="Arial" w:hAnsi="Arial"/>
                <w:sz w:val="11"/>
                <w:szCs w:val="11"/>
                <w:b w:val="1"/>
                <w:bCs w:val="1"/>
                <w:color w:val="auto"/>
              </w:rPr>
              <w:t>CERC</w:t>
            </w:r>
          </w:p>
        </w:tc>
        <w:tc>
          <w:tcPr>
            <w:tcW w:w="0" w:type="dxa"/>
            <w:vAlign w:val="bottom"/>
          </w:tcPr>
          <w:p>
            <w:pPr>
              <w:spacing w:after="0"/>
              <w:rPr>
                <w:sz w:val="1"/>
                <w:szCs w:val="1"/>
                <w:color w:val="auto"/>
              </w:rPr>
            </w:pPr>
          </w:p>
        </w:tc>
      </w:tr>
      <w:tr>
        <w:trPr>
          <w:trHeight w:val="153"/>
        </w:trPr>
        <w:tc>
          <w:tcPr>
            <w:tcW w:w="67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gridSpan w:val="2"/>
            <w:vMerge w:val="continue"/>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1"/>
                <w:szCs w:val="11"/>
                <w:b w:val="1"/>
                <w:bCs w:val="1"/>
                <w:color w:val="auto"/>
                <w:w w:val="95"/>
              </w:rPr>
              <w:t>Electric</w:t>
            </w:r>
          </w:p>
        </w:tc>
        <w:tc>
          <w:tcPr>
            <w:tcW w:w="3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6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gridSpan w:val="2"/>
          </w:tcPr>
          <w:p>
            <w:pPr>
              <w:jc w:val="center"/>
              <w:ind w:right="400"/>
              <w:spacing w:after="0"/>
              <w:rPr>
                <w:sz w:val="20"/>
                <w:szCs w:val="20"/>
                <w:color w:val="auto"/>
              </w:rPr>
            </w:pPr>
            <w:r>
              <w:rPr>
                <w:rFonts w:ascii="Arial" w:cs="Arial" w:eastAsia="Arial" w:hAnsi="Arial"/>
                <w:sz w:val="11"/>
                <w:szCs w:val="11"/>
                <w:b w:val="1"/>
                <w:bCs w:val="1"/>
                <w:color w:val="auto"/>
                <w:w w:val="93"/>
              </w:rPr>
              <w:t>(in millions)</w:t>
            </w: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6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Remaining three months of 2019</w:t>
            </w: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34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6</w:t>
            </w: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CCEEFF"/>
            </w:tcBorders>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93"/>
        </w:trPr>
        <w:tc>
          <w:tcPr>
            <w:tcW w:w="6780" w:type="dxa"/>
            <w:vAlign w:val="bottom"/>
          </w:tcPr>
          <w:p>
            <w:pPr>
              <w:ind w:left="20"/>
              <w:spacing w:after="0"/>
              <w:rPr>
                <w:sz w:val="20"/>
                <w:szCs w:val="20"/>
                <w:color w:val="auto"/>
              </w:rPr>
            </w:pPr>
            <w:r>
              <w:rPr>
                <w:rFonts w:ascii="Arial" w:cs="Arial" w:eastAsia="Arial" w:hAnsi="Arial"/>
                <w:sz w:val="14"/>
                <w:szCs w:val="14"/>
                <w:color w:val="auto"/>
              </w:rPr>
              <w:t>2020</w:t>
            </w:r>
          </w:p>
        </w:tc>
        <w:tc>
          <w:tcPr>
            <w:tcW w:w="160" w:type="dxa"/>
            <w:vAlign w:val="bottom"/>
          </w:tcPr>
          <w:p>
            <w:pPr>
              <w:spacing w:after="0"/>
              <w:rPr>
                <w:sz w:val="16"/>
                <w:szCs w:val="16"/>
                <w:color w:val="auto"/>
              </w:rPr>
            </w:pPr>
          </w:p>
        </w:tc>
        <w:tc>
          <w:tcPr>
            <w:tcW w:w="1340" w:type="dxa"/>
            <w:vAlign w:val="bottom"/>
          </w:tcPr>
          <w:p>
            <w:pPr>
              <w:jc w:val="right"/>
              <w:ind w:right="49"/>
              <w:spacing w:after="0"/>
              <w:rPr>
                <w:sz w:val="20"/>
                <w:szCs w:val="20"/>
                <w:color w:val="auto"/>
              </w:rPr>
            </w:pPr>
            <w:r>
              <w:rPr>
                <w:rFonts w:ascii="Arial" w:cs="Arial" w:eastAsia="Arial" w:hAnsi="Arial"/>
                <w:sz w:val="14"/>
                <w:szCs w:val="14"/>
                <w:color w:val="auto"/>
              </w:rPr>
              <w:t>22</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ind w:right="31"/>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jc w:val="right"/>
              <w:ind w:right="29"/>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3"/>
        </w:trPr>
        <w:tc>
          <w:tcPr>
            <w:tcW w:w="6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2021</w:t>
            </w:r>
          </w:p>
        </w:tc>
        <w:tc>
          <w:tcPr>
            <w:tcW w:w="16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15</w:t>
            </w: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93"/>
        </w:trPr>
        <w:tc>
          <w:tcPr>
            <w:tcW w:w="6780" w:type="dxa"/>
            <w:vAlign w:val="bottom"/>
          </w:tcPr>
          <w:p>
            <w:pPr>
              <w:ind w:left="20"/>
              <w:spacing w:after="0"/>
              <w:rPr>
                <w:sz w:val="20"/>
                <w:szCs w:val="20"/>
                <w:color w:val="auto"/>
              </w:rPr>
            </w:pPr>
            <w:r>
              <w:rPr>
                <w:rFonts w:ascii="Arial" w:cs="Arial" w:eastAsia="Arial" w:hAnsi="Arial"/>
                <w:sz w:val="14"/>
                <w:szCs w:val="14"/>
                <w:color w:val="auto"/>
              </w:rPr>
              <w:t>2022</w:t>
            </w:r>
          </w:p>
        </w:tc>
        <w:tc>
          <w:tcPr>
            <w:tcW w:w="160" w:type="dxa"/>
            <w:vAlign w:val="bottom"/>
          </w:tcPr>
          <w:p>
            <w:pPr>
              <w:spacing w:after="0"/>
              <w:rPr>
                <w:sz w:val="16"/>
                <w:szCs w:val="16"/>
                <w:color w:val="auto"/>
              </w:rPr>
            </w:pPr>
          </w:p>
        </w:tc>
        <w:tc>
          <w:tcPr>
            <w:tcW w:w="1340" w:type="dxa"/>
            <w:vAlign w:val="bottom"/>
          </w:tcPr>
          <w:p>
            <w:pPr>
              <w:jc w:val="right"/>
              <w:ind w:right="49"/>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1140" w:type="dxa"/>
            <w:vAlign w:val="bottom"/>
          </w:tcPr>
          <w:p>
            <w:pPr>
              <w:jc w:val="right"/>
              <w:ind w:right="29"/>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3"/>
        </w:trPr>
        <w:tc>
          <w:tcPr>
            <w:tcW w:w="6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2023</w:t>
            </w:r>
          </w:p>
        </w:tc>
        <w:tc>
          <w:tcPr>
            <w:tcW w:w="16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7</w:t>
            </w: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93"/>
        </w:trPr>
        <w:tc>
          <w:tcPr>
            <w:tcW w:w="6780" w:type="dxa"/>
            <w:vAlign w:val="bottom"/>
          </w:tcPr>
          <w:p>
            <w:pPr>
              <w:ind w:left="20"/>
              <w:spacing w:after="0"/>
              <w:rPr>
                <w:sz w:val="20"/>
                <w:szCs w:val="20"/>
                <w:color w:val="auto"/>
              </w:rPr>
            </w:pPr>
            <w:r>
              <w:rPr>
                <w:rFonts w:ascii="Arial" w:cs="Arial" w:eastAsia="Arial" w:hAnsi="Arial"/>
                <w:sz w:val="14"/>
                <w:szCs w:val="14"/>
                <w:color w:val="auto"/>
              </w:rPr>
              <w:t>2024</w:t>
            </w:r>
          </w:p>
        </w:tc>
        <w:tc>
          <w:tcPr>
            <w:tcW w:w="160" w:type="dxa"/>
            <w:vAlign w:val="bottom"/>
          </w:tcPr>
          <w:p>
            <w:pPr>
              <w:spacing w:after="0"/>
              <w:rPr>
                <w:sz w:val="16"/>
                <w:szCs w:val="16"/>
                <w:color w:val="auto"/>
              </w:rPr>
            </w:pPr>
          </w:p>
        </w:tc>
        <w:tc>
          <w:tcPr>
            <w:tcW w:w="1340" w:type="dxa"/>
            <w:vAlign w:val="bottom"/>
          </w:tcPr>
          <w:p>
            <w:pPr>
              <w:jc w:val="right"/>
              <w:ind w:right="49"/>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1140" w:type="dxa"/>
            <w:vAlign w:val="bottom"/>
          </w:tcPr>
          <w:p>
            <w:pPr>
              <w:jc w:val="right"/>
              <w:ind w:right="29"/>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3"/>
        </w:trPr>
        <w:tc>
          <w:tcPr>
            <w:tcW w:w="6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6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2025 and beyond</w:t>
            </w:r>
          </w:p>
        </w:tc>
        <w:tc>
          <w:tcPr>
            <w:tcW w:w="16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12</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84"/>
        </w:trPr>
        <w:tc>
          <w:tcPr>
            <w:tcW w:w="6780" w:type="dxa"/>
            <w:vAlign w:val="bottom"/>
          </w:tcPr>
          <w:p>
            <w:pPr>
              <w:ind w:left="20"/>
              <w:spacing w:after="0"/>
              <w:rPr>
                <w:sz w:val="20"/>
                <w:szCs w:val="20"/>
                <w:color w:val="auto"/>
              </w:rPr>
            </w:pPr>
            <w:r>
              <w:rPr>
                <w:rFonts w:ascii="Arial" w:cs="Arial" w:eastAsia="Arial" w:hAnsi="Arial"/>
                <w:sz w:val="14"/>
                <w:szCs w:val="14"/>
                <w:color w:val="auto"/>
              </w:rPr>
              <w:t>Total lease payments</w:t>
            </w:r>
          </w:p>
        </w:tc>
        <w:tc>
          <w:tcPr>
            <w:tcW w:w="16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74</w:t>
            </w:r>
          </w:p>
        </w:tc>
        <w:tc>
          <w:tcPr>
            <w:tcW w:w="12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jc w:val="right"/>
              <w:ind w:right="31"/>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23"/>
        </w:trPr>
        <w:tc>
          <w:tcPr>
            <w:tcW w:w="6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Less: Interest</w:t>
            </w:r>
          </w:p>
        </w:tc>
        <w:tc>
          <w:tcPr>
            <w:tcW w:w="16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7</w:t>
            </w: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93"/>
        </w:trPr>
        <w:tc>
          <w:tcPr>
            <w:tcW w:w="6780" w:type="dxa"/>
            <w:vAlign w:val="bottom"/>
          </w:tcPr>
          <w:p>
            <w:pPr>
              <w:ind w:left="20"/>
              <w:spacing w:after="0"/>
              <w:rPr>
                <w:sz w:val="20"/>
                <w:szCs w:val="20"/>
                <w:color w:val="auto"/>
              </w:rPr>
            </w:pPr>
            <w:r>
              <w:rPr>
                <w:rFonts w:ascii="Arial" w:cs="Arial" w:eastAsia="Arial" w:hAnsi="Arial"/>
                <w:sz w:val="14"/>
                <w:szCs w:val="14"/>
                <w:color w:val="auto"/>
              </w:rPr>
              <w:t>Present value of lease liabilities</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340" w:type="dxa"/>
            <w:vAlign w:val="bottom"/>
          </w:tcPr>
          <w:p>
            <w:pPr>
              <w:jc w:val="right"/>
              <w:ind w:right="49"/>
              <w:spacing w:after="0"/>
              <w:rPr>
                <w:sz w:val="20"/>
                <w:szCs w:val="20"/>
                <w:color w:val="auto"/>
              </w:rPr>
            </w:pPr>
            <w:r>
              <w:rPr>
                <w:rFonts w:ascii="Arial" w:cs="Arial" w:eastAsia="Arial" w:hAnsi="Arial"/>
                <w:sz w:val="14"/>
                <w:szCs w:val="14"/>
                <w:color w:val="auto"/>
              </w:rPr>
              <w:t>67</w:t>
            </w:r>
          </w:p>
        </w:tc>
        <w:tc>
          <w:tcPr>
            <w:tcW w:w="120" w:type="dxa"/>
            <w:vAlign w:val="bottom"/>
          </w:tcPr>
          <w:p>
            <w:pPr>
              <w:spacing w:after="0"/>
              <w:rPr>
                <w:sz w:val="16"/>
                <w:szCs w:val="16"/>
                <w:color w:val="auto"/>
              </w:rPr>
            </w:pP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1220" w:type="dxa"/>
            <w:vAlign w:val="bottom"/>
          </w:tcPr>
          <w:p>
            <w:pPr>
              <w:jc w:val="right"/>
              <w:ind w:right="31"/>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6"/>
                <w:szCs w:val="16"/>
                <w:color w:val="auto"/>
              </w:rPr>
            </w:pP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140" w:type="dxa"/>
            <w:vAlign w:val="bottom"/>
          </w:tcPr>
          <w:p>
            <w:pPr>
              <w:jc w:val="right"/>
              <w:ind w:right="29"/>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23"/>
        </w:trPr>
        <w:tc>
          <w:tcPr>
            <w:tcW w:w="6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6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4"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following table sets forth information concerning the Registrants’ obligations under non-cancelable long-term operating leases as of December 31, 2018:</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6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60" w:type="dxa"/>
            <w:vAlign w:val="bottom"/>
            <w:gridSpan w:val="2"/>
            <w:vMerge w:val="restart"/>
          </w:tcPr>
          <w:p>
            <w:pPr>
              <w:ind w:left="100"/>
              <w:spacing w:after="0"/>
              <w:rPr>
                <w:sz w:val="20"/>
                <w:szCs w:val="20"/>
                <w:color w:val="auto"/>
              </w:rPr>
            </w:pPr>
            <w:r>
              <w:rPr>
                <w:rFonts w:ascii="Arial" w:cs="Arial" w:eastAsia="Arial" w:hAnsi="Arial"/>
                <w:sz w:val="11"/>
                <w:szCs w:val="11"/>
                <w:b w:val="1"/>
                <w:bCs w:val="1"/>
                <w:color w:val="auto"/>
              </w:rPr>
              <w:t>CenterPoint Energy</w:t>
            </w:r>
          </w:p>
        </w:tc>
        <w:tc>
          <w:tcPr>
            <w:tcW w:w="260" w:type="dxa"/>
            <w:vAlign w:val="bottom"/>
          </w:tcPr>
          <w:p>
            <w:pPr>
              <w:spacing w:after="0"/>
              <w:rPr>
                <w:sz w:val="10"/>
                <w:szCs w:val="10"/>
                <w:color w:val="auto"/>
              </w:rPr>
            </w:pPr>
          </w:p>
        </w:tc>
        <w:tc>
          <w:tcPr>
            <w:tcW w:w="1340" w:type="dxa"/>
            <w:vAlign w:val="bottom"/>
            <w:gridSpan w:val="2"/>
          </w:tcPr>
          <w:p>
            <w:pPr>
              <w:jc w:val="center"/>
              <w:ind w:right="380"/>
              <w:spacing w:after="0"/>
              <w:rPr>
                <w:sz w:val="20"/>
                <w:szCs w:val="20"/>
                <w:color w:val="auto"/>
              </w:rPr>
            </w:pPr>
            <w:r>
              <w:rPr>
                <w:rFonts w:ascii="Arial" w:cs="Arial" w:eastAsia="Arial" w:hAnsi="Arial"/>
                <w:sz w:val="11"/>
                <w:szCs w:val="11"/>
                <w:b w:val="1"/>
                <w:bCs w:val="1"/>
                <w:color w:val="auto"/>
                <w:w w:val="89"/>
              </w:rPr>
              <w:t>Houston</w:t>
            </w:r>
          </w:p>
        </w:tc>
        <w:tc>
          <w:tcPr>
            <w:tcW w:w="320" w:type="dxa"/>
            <w:vAlign w:val="bottom"/>
          </w:tcPr>
          <w:p>
            <w:pPr>
              <w:spacing w:after="0"/>
              <w:rPr>
                <w:sz w:val="10"/>
                <w:szCs w:val="10"/>
                <w:color w:val="auto"/>
              </w:rPr>
            </w:pPr>
          </w:p>
        </w:tc>
        <w:tc>
          <w:tcPr>
            <w:tcW w:w="1140" w:type="dxa"/>
            <w:vAlign w:val="bottom"/>
            <w:vMerge w:val="restart"/>
          </w:tcPr>
          <w:p>
            <w:pPr>
              <w:jc w:val="right"/>
              <w:ind w:right="490"/>
              <w:spacing w:after="0"/>
              <w:rPr>
                <w:sz w:val="20"/>
                <w:szCs w:val="20"/>
                <w:color w:val="auto"/>
              </w:rPr>
            </w:pPr>
            <w:r>
              <w:rPr>
                <w:rFonts w:ascii="Arial" w:cs="Arial" w:eastAsia="Arial" w:hAnsi="Arial"/>
                <w:sz w:val="11"/>
                <w:szCs w:val="11"/>
                <w:b w:val="1"/>
                <w:bCs w:val="1"/>
                <w:color w:val="auto"/>
              </w:rPr>
              <w:t>CERC</w:t>
            </w:r>
          </w:p>
        </w:tc>
        <w:tc>
          <w:tcPr>
            <w:tcW w:w="0" w:type="dxa"/>
            <w:vAlign w:val="bottom"/>
          </w:tcPr>
          <w:p>
            <w:pPr>
              <w:spacing w:after="0"/>
              <w:rPr>
                <w:sz w:val="1"/>
                <w:szCs w:val="1"/>
                <w:color w:val="auto"/>
              </w:rPr>
            </w:pPr>
          </w:p>
        </w:tc>
      </w:tr>
      <w:tr>
        <w:trPr>
          <w:trHeight w:val="153"/>
        </w:trPr>
        <w:tc>
          <w:tcPr>
            <w:tcW w:w="67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gridSpan w:val="2"/>
            <w:vMerge w:val="continue"/>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1"/>
                <w:szCs w:val="11"/>
                <w:b w:val="1"/>
                <w:bCs w:val="1"/>
                <w:color w:val="auto"/>
                <w:w w:val="95"/>
              </w:rPr>
              <w:t>Electric</w:t>
            </w:r>
          </w:p>
        </w:tc>
        <w:tc>
          <w:tcPr>
            <w:tcW w:w="3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6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gridSpan w:val="2"/>
          </w:tcPr>
          <w:p>
            <w:pPr>
              <w:jc w:val="center"/>
              <w:ind w:right="400"/>
              <w:spacing w:after="0"/>
              <w:rPr>
                <w:sz w:val="20"/>
                <w:szCs w:val="20"/>
                <w:color w:val="auto"/>
              </w:rPr>
            </w:pPr>
            <w:r>
              <w:rPr>
                <w:rFonts w:ascii="Arial" w:cs="Arial" w:eastAsia="Arial" w:hAnsi="Arial"/>
                <w:sz w:val="11"/>
                <w:szCs w:val="11"/>
                <w:b w:val="1"/>
                <w:bCs w:val="1"/>
                <w:color w:val="auto"/>
                <w:w w:val="93"/>
              </w:rPr>
              <w:t>(in millions)</w:t>
            </w: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6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2019</w:t>
            </w: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6</w:t>
            </w: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1</w:t>
            </w:r>
          </w:p>
        </w:tc>
        <w:tc>
          <w:tcPr>
            <w:tcW w:w="1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93"/>
        </w:trPr>
        <w:tc>
          <w:tcPr>
            <w:tcW w:w="6780" w:type="dxa"/>
            <w:vAlign w:val="bottom"/>
          </w:tcPr>
          <w:p>
            <w:pPr>
              <w:ind w:left="20"/>
              <w:spacing w:after="0"/>
              <w:rPr>
                <w:sz w:val="20"/>
                <w:szCs w:val="20"/>
                <w:color w:val="auto"/>
              </w:rPr>
            </w:pPr>
            <w:r>
              <w:rPr>
                <w:rFonts w:ascii="Arial" w:cs="Arial" w:eastAsia="Arial" w:hAnsi="Arial"/>
                <w:sz w:val="14"/>
                <w:szCs w:val="14"/>
                <w:color w:val="auto"/>
              </w:rPr>
              <w:t>2020</w:t>
            </w:r>
          </w:p>
        </w:tc>
        <w:tc>
          <w:tcPr>
            <w:tcW w:w="160" w:type="dxa"/>
            <w:vAlign w:val="bottom"/>
          </w:tcPr>
          <w:p>
            <w:pPr>
              <w:spacing w:after="0"/>
              <w:rPr>
                <w:sz w:val="16"/>
                <w:szCs w:val="16"/>
                <w:color w:val="auto"/>
              </w:rPr>
            </w:pPr>
          </w:p>
        </w:tc>
        <w:tc>
          <w:tcPr>
            <w:tcW w:w="1340" w:type="dxa"/>
            <w:vAlign w:val="bottom"/>
          </w:tcPr>
          <w:p>
            <w:pPr>
              <w:jc w:val="right"/>
              <w:ind w:right="50"/>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1140" w:type="dxa"/>
            <w:vAlign w:val="bottom"/>
          </w:tcPr>
          <w:p>
            <w:pPr>
              <w:jc w:val="right"/>
              <w:ind w:right="30"/>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3"/>
        </w:trPr>
        <w:tc>
          <w:tcPr>
            <w:tcW w:w="6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2021</w:t>
            </w:r>
          </w:p>
        </w:tc>
        <w:tc>
          <w:tcPr>
            <w:tcW w:w="16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5</w:t>
            </w: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93"/>
        </w:trPr>
        <w:tc>
          <w:tcPr>
            <w:tcW w:w="6780" w:type="dxa"/>
            <w:vAlign w:val="bottom"/>
          </w:tcPr>
          <w:p>
            <w:pPr>
              <w:ind w:left="20"/>
              <w:spacing w:after="0"/>
              <w:rPr>
                <w:sz w:val="20"/>
                <w:szCs w:val="20"/>
                <w:color w:val="auto"/>
              </w:rPr>
            </w:pPr>
            <w:r>
              <w:rPr>
                <w:rFonts w:ascii="Arial" w:cs="Arial" w:eastAsia="Arial" w:hAnsi="Arial"/>
                <w:sz w:val="14"/>
                <w:szCs w:val="14"/>
                <w:color w:val="auto"/>
              </w:rPr>
              <w:t>2022</w:t>
            </w:r>
          </w:p>
        </w:tc>
        <w:tc>
          <w:tcPr>
            <w:tcW w:w="160" w:type="dxa"/>
            <w:vAlign w:val="bottom"/>
          </w:tcPr>
          <w:p>
            <w:pPr>
              <w:spacing w:after="0"/>
              <w:rPr>
                <w:sz w:val="16"/>
                <w:szCs w:val="16"/>
                <w:color w:val="auto"/>
              </w:rPr>
            </w:pPr>
          </w:p>
        </w:tc>
        <w:tc>
          <w:tcPr>
            <w:tcW w:w="1340" w:type="dxa"/>
            <w:vAlign w:val="bottom"/>
          </w:tcPr>
          <w:p>
            <w:pPr>
              <w:jc w:val="right"/>
              <w:ind w:right="50"/>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1140" w:type="dxa"/>
            <w:vAlign w:val="bottom"/>
          </w:tcPr>
          <w:p>
            <w:pPr>
              <w:jc w:val="right"/>
              <w:ind w:right="30"/>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3"/>
        </w:trPr>
        <w:tc>
          <w:tcPr>
            <w:tcW w:w="6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2023</w:t>
            </w:r>
          </w:p>
        </w:tc>
        <w:tc>
          <w:tcPr>
            <w:tcW w:w="16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3</w:t>
            </w: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93"/>
        </w:trPr>
        <w:tc>
          <w:tcPr>
            <w:tcW w:w="6780" w:type="dxa"/>
            <w:vAlign w:val="bottom"/>
          </w:tcPr>
          <w:p>
            <w:pPr>
              <w:ind w:left="20"/>
              <w:spacing w:after="0"/>
              <w:rPr>
                <w:sz w:val="20"/>
                <w:szCs w:val="20"/>
                <w:color w:val="auto"/>
              </w:rPr>
            </w:pPr>
            <w:r>
              <w:rPr>
                <w:rFonts w:ascii="Arial" w:cs="Arial" w:eastAsia="Arial" w:hAnsi="Arial"/>
                <w:sz w:val="14"/>
                <w:szCs w:val="14"/>
                <w:color w:val="auto"/>
              </w:rPr>
              <w:t>2024 and beyond</w:t>
            </w:r>
          </w:p>
        </w:tc>
        <w:tc>
          <w:tcPr>
            <w:tcW w:w="160" w:type="dxa"/>
            <w:vAlign w:val="bottom"/>
          </w:tcPr>
          <w:p>
            <w:pPr>
              <w:spacing w:after="0"/>
              <w:rPr>
                <w:sz w:val="16"/>
                <w:szCs w:val="16"/>
                <w:color w:val="auto"/>
              </w:rPr>
            </w:pPr>
          </w:p>
        </w:tc>
        <w:tc>
          <w:tcPr>
            <w:tcW w:w="1340" w:type="dxa"/>
            <w:vAlign w:val="bottom"/>
          </w:tcPr>
          <w:p>
            <w:pPr>
              <w:jc w:val="right"/>
              <w:ind w:right="50"/>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1140" w:type="dxa"/>
            <w:vAlign w:val="bottom"/>
          </w:tcPr>
          <w:p>
            <w:pPr>
              <w:jc w:val="right"/>
              <w:ind w:right="30"/>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23"/>
        </w:trPr>
        <w:tc>
          <w:tcPr>
            <w:tcW w:w="67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67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 xml:space="preserve">Total </w:t>
            </w:r>
            <w:r>
              <w:rPr>
                <w:rFonts w:ascii="Arial" w:cs="Arial" w:eastAsia="Arial" w:hAnsi="Arial"/>
                <w:sz w:val="11"/>
                <w:szCs w:val="11"/>
                <w:color w:val="auto"/>
              </w:rPr>
              <w:t>(1)</w:t>
            </w: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3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36</w:t>
            </w: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1</w:t>
            </w:r>
          </w:p>
        </w:tc>
        <w:tc>
          <w:tcPr>
            <w:tcW w:w="1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20"/>
        </w:trPr>
        <w:tc>
          <w:tcPr>
            <w:tcW w:w="6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2" w:lineRule="exact"/>
        <w:rPr>
          <w:sz w:val="20"/>
          <w:szCs w:val="20"/>
          <w:color w:val="auto"/>
        </w:rPr>
      </w:pPr>
    </w:p>
    <w:p>
      <w:pPr>
        <w:ind w:left="5660" w:right="4820" w:hanging="5395"/>
        <w:spacing w:after="0" w:line="917" w:lineRule="auto"/>
        <w:tabs>
          <w:tab w:leader="none" w:pos="521" w:val="left"/>
        </w:tabs>
        <w:numPr>
          <w:ilvl w:val="0"/>
          <w:numId w:val="53"/>
        </w:numPr>
        <w:rPr>
          <w:rFonts w:ascii="Arial" w:cs="Arial" w:eastAsia="Arial" w:hAnsi="Arial"/>
          <w:sz w:val="13"/>
          <w:szCs w:val="13"/>
          <w:color w:val="auto"/>
        </w:rPr>
      </w:pPr>
      <w:r>
        <w:rPr>
          <w:rFonts w:ascii="Arial" w:cs="Arial" w:eastAsia="Arial" w:hAnsi="Arial"/>
          <w:sz w:val="13"/>
          <w:szCs w:val="13"/>
          <w:color w:val="auto"/>
        </w:rPr>
        <w:t>The Merger was completed on February 1, 2019. As such, these amounts are exclusive of Vectren’s leases. 62</w:t>
      </w:r>
    </w:p>
    <w:p>
      <w:pPr>
        <w:sectPr>
          <w:pgSz w:w="11900" w:h="16838" w:orient="portrait"/>
          <w:cols w:equalWidth="0" w:num="1">
            <w:col w:w="11460"/>
          </w:cols>
          <w:pgMar w:left="220" w:top="129" w:right="219" w:bottom="1440" w:gutter="0" w:footer="0" w:header="0"/>
        </w:sectPr>
      </w:pPr>
    </w:p>
    <w:bookmarkStart w:id="72" w:name="page73"/>
    <w:bookmarkEnd w:id="72"/>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205" w:lineRule="exact"/>
        <w:rPr>
          <w:sz w:val="20"/>
          <w:szCs w:val="20"/>
          <w:color w:val="auto"/>
        </w:rPr>
      </w:pPr>
    </w:p>
    <w:p>
      <w:pPr>
        <w:ind w:left="260"/>
        <w:spacing w:after="0"/>
        <w:rPr>
          <w:sz w:val="20"/>
          <w:szCs w:val="20"/>
          <w:color w:val="auto"/>
        </w:rPr>
      </w:pPr>
      <w:r>
        <w:rPr>
          <w:rFonts w:ascii="Arial" w:cs="Arial" w:eastAsia="Arial" w:hAnsi="Arial"/>
          <w:sz w:val="14"/>
          <w:szCs w:val="14"/>
          <w:color w:val="auto"/>
        </w:rPr>
        <w:t>As of September 30, 2019, maturities of undiscounted operating lease payments to be received are as follows: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4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20" w:type="dxa"/>
            <w:vAlign w:val="bottom"/>
            <w:gridSpan w:val="3"/>
            <w:vMerge w:val="restart"/>
          </w:tcPr>
          <w:p>
            <w:pPr>
              <w:jc w:val="right"/>
              <w:ind w:right="260"/>
              <w:spacing w:after="0"/>
              <w:rPr>
                <w:sz w:val="20"/>
                <w:szCs w:val="20"/>
                <w:color w:val="auto"/>
              </w:rPr>
            </w:pPr>
            <w:r>
              <w:rPr>
                <w:rFonts w:ascii="Arial" w:cs="Arial" w:eastAsia="Arial" w:hAnsi="Arial"/>
                <w:sz w:val="11"/>
                <w:szCs w:val="11"/>
                <w:b w:val="1"/>
                <w:bCs w:val="1"/>
                <w:color w:val="auto"/>
              </w:rPr>
              <w:t>CenterPoint Energy</w:t>
            </w:r>
          </w:p>
        </w:tc>
        <w:tc>
          <w:tcPr>
            <w:tcW w:w="120" w:type="dxa"/>
            <w:vAlign w:val="bottom"/>
          </w:tcPr>
          <w:p>
            <w:pPr>
              <w:spacing w:after="0"/>
              <w:rPr>
                <w:sz w:val="10"/>
                <w:szCs w:val="10"/>
                <w:color w:val="auto"/>
              </w:rPr>
            </w:pPr>
          </w:p>
        </w:tc>
        <w:tc>
          <w:tcPr>
            <w:tcW w:w="1600" w:type="dxa"/>
            <w:vAlign w:val="bottom"/>
            <w:gridSpan w:val="3"/>
          </w:tcPr>
          <w:p>
            <w:pPr>
              <w:jc w:val="center"/>
              <w:ind w:right="120"/>
              <w:spacing w:after="0"/>
              <w:rPr>
                <w:sz w:val="20"/>
                <w:szCs w:val="20"/>
                <w:color w:val="auto"/>
              </w:rPr>
            </w:pPr>
            <w:r>
              <w:rPr>
                <w:rFonts w:ascii="Arial" w:cs="Arial" w:eastAsia="Arial" w:hAnsi="Arial"/>
                <w:sz w:val="11"/>
                <w:szCs w:val="11"/>
                <w:b w:val="1"/>
                <w:bCs w:val="1"/>
                <w:color w:val="auto"/>
                <w:w w:val="89"/>
              </w:rPr>
              <w:t>Houston</w:t>
            </w: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80" w:type="dxa"/>
            <w:vAlign w:val="bottom"/>
            <w:vMerge w:val="restart"/>
          </w:tcPr>
          <w:p>
            <w:pPr>
              <w:jc w:val="right"/>
              <w:ind w:right="492"/>
              <w:spacing w:after="0"/>
              <w:rPr>
                <w:sz w:val="20"/>
                <w:szCs w:val="20"/>
                <w:color w:val="auto"/>
              </w:rPr>
            </w:pPr>
            <w:r>
              <w:rPr>
                <w:rFonts w:ascii="Arial" w:cs="Arial" w:eastAsia="Arial" w:hAnsi="Arial"/>
                <w:sz w:val="11"/>
                <w:szCs w:val="11"/>
                <w:b w:val="1"/>
                <w:bCs w:val="1"/>
                <w:color w:val="auto"/>
              </w:rPr>
              <w:t>CERC</w:t>
            </w:r>
          </w:p>
        </w:tc>
        <w:tc>
          <w:tcPr>
            <w:tcW w:w="0" w:type="dxa"/>
            <w:vAlign w:val="bottom"/>
          </w:tcPr>
          <w:p>
            <w:pPr>
              <w:spacing w:after="0"/>
              <w:rPr>
                <w:sz w:val="1"/>
                <w:szCs w:val="1"/>
                <w:color w:val="auto"/>
              </w:rPr>
            </w:pPr>
          </w:p>
        </w:tc>
      </w:tr>
      <w:tr>
        <w:trPr>
          <w:trHeight w:val="153"/>
        </w:trPr>
        <w:tc>
          <w:tcPr>
            <w:tcW w:w="44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gridSpan w:val="3"/>
            <w:vMerge w:val="continue"/>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1"/>
                <w:szCs w:val="11"/>
                <w:b w:val="1"/>
                <w:bCs w:val="1"/>
                <w:color w:val="auto"/>
                <w:w w:val="95"/>
              </w:rPr>
              <w:t>Electric</w:t>
            </w:r>
          </w:p>
        </w:tc>
        <w:tc>
          <w:tcPr>
            <w:tcW w:w="2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4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gridSpan w:val="3"/>
          </w:tcPr>
          <w:p>
            <w:pPr>
              <w:jc w:val="center"/>
              <w:ind w:right="140"/>
              <w:spacing w:after="0"/>
              <w:rPr>
                <w:sz w:val="20"/>
                <w:szCs w:val="20"/>
                <w:color w:val="auto"/>
              </w:rPr>
            </w:pPr>
            <w:r>
              <w:rPr>
                <w:rFonts w:ascii="Arial" w:cs="Arial" w:eastAsia="Arial" w:hAnsi="Arial"/>
                <w:sz w:val="11"/>
                <w:szCs w:val="11"/>
                <w:b w:val="1"/>
                <w:bCs w:val="1"/>
                <w:color w:val="auto"/>
                <w:w w:val="93"/>
              </w:rPr>
              <w:t>(in millions)</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Remaining three months of 2019</w:t>
            </w:r>
          </w:p>
        </w:tc>
        <w:tc>
          <w:tcPr>
            <w:tcW w:w="48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w:t>
            </w:r>
          </w:p>
        </w:tc>
        <w:tc>
          <w:tcPr>
            <w:tcW w:w="8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4"/>
                <w:szCs w:val="14"/>
                <w:color w:val="auto"/>
                <w:w w:val="76"/>
              </w:rPr>
              <w:t>$</w:t>
            </w:r>
          </w:p>
        </w:tc>
        <w:tc>
          <w:tcPr>
            <w:tcW w:w="24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3"/>
        </w:trPr>
        <w:tc>
          <w:tcPr>
            <w:tcW w:w="4480" w:type="dxa"/>
            <w:vAlign w:val="bottom"/>
          </w:tcPr>
          <w:p>
            <w:pPr>
              <w:ind w:left="20"/>
              <w:spacing w:after="0"/>
              <w:rPr>
                <w:sz w:val="20"/>
                <w:szCs w:val="20"/>
                <w:color w:val="auto"/>
              </w:rPr>
            </w:pPr>
            <w:r>
              <w:rPr>
                <w:rFonts w:ascii="Arial" w:cs="Arial" w:eastAsia="Arial" w:hAnsi="Arial"/>
                <w:sz w:val="14"/>
                <w:szCs w:val="14"/>
                <w:color w:val="auto"/>
              </w:rPr>
              <w:t>2020</w:t>
            </w:r>
          </w:p>
        </w:tc>
        <w:tc>
          <w:tcPr>
            <w:tcW w:w="4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
        </w:trPr>
        <w:tc>
          <w:tcPr>
            <w:tcW w:w="4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2021</w:t>
            </w:r>
          </w:p>
        </w:tc>
        <w:tc>
          <w:tcPr>
            <w:tcW w:w="48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w:t>
            </w:r>
          </w:p>
        </w:tc>
        <w:tc>
          <w:tcPr>
            <w:tcW w:w="12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3"/>
        </w:trPr>
        <w:tc>
          <w:tcPr>
            <w:tcW w:w="4480" w:type="dxa"/>
            <w:vAlign w:val="bottom"/>
          </w:tcPr>
          <w:p>
            <w:pPr>
              <w:ind w:left="20"/>
              <w:spacing w:after="0"/>
              <w:rPr>
                <w:sz w:val="20"/>
                <w:szCs w:val="20"/>
                <w:color w:val="auto"/>
              </w:rPr>
            </w:pPr>
            <w:r>
              <w:rPr>
                <w:rFonts w:ascii="Arial" w:cs="Arial" w:eastAsia="Arial" w:hAnsi="Arial"/>
                <w:sz w:val="14"/>
                <w:szCs w:val="14"/>
                <w:color w:val="auto"/>
              </w:rPr>
              <w:t>2022</w:t>
            </w:r>
          </w:p>
        </w:tc>
        <w:tc>
          <w:tcPr>
            <w:tcW w:w="4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
        </w:trPr>
        <w:tc>
          <w:tcPr>
            <w:tcW w:w="4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2023</w:t>
            </w:r>
          </w:p>
        </w:tc>
        <w:tc>
          <w:tcPr>
            <w:tcW w:w="48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w:t>
            </w:r>
          </w:p>
        </w:tc>
        <w:tc>
          <w:tcPr>
            <w:tcW w:w="12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3"/>
        </w:trPr>
        <w:tc>
          <w:tcPr>
            <w:tcW w:w="4480" w:type="dxa"/>
            <w:vAlign w:val="bottom"/>
          </w:tcPr>
          <w:p>
            <w:pPr>
              <w:ind w:left="20"/>
              <w:spacing w:after="0"/>
              <w:rPr>
                <w:sz w:val="20"/>
                <w:szCs w:val="20"/>
                <w:color w:val="auto"/>
              </w:rPr>
            </w:pPr>
            <w:r>
              <w:rPr>
                <w:rFonts w:ascii="Arial" w:cs="Arial" w:eastAsia="Arial" w:hAnsi="Arial"/>
                <w:sz w:val="14"/>
                <w:szCs w:val="14"/>
                <w:color w:val="auto"/>
              </w:rPr>
              <w:t>2024</w:t>
            </w:r>
          </w:p>
        </w:tc>
        <w:tc>
          <w:tcPr>
            <w:tcW w:w="4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
        </w:trPr>
        <w:tc>
          <w:tcPr>
            <w:tcW w:w="4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2025 and beyond</w:t>
            </w:r>
          </w:p>
        </w:tc>
        <w:tc>
          <w:tcPr>
            <w:tcW w:w="48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10</w:t>
            </w:r>
          </w:p>
        </w:tc>
        <w:tc>
          <w:tcPr>
            <w:tcW w:w="12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4"/>
        </w:trPr>
        <w:tc>
          <w:tcPr>
            <w:tcW w:w="4480" w:type="dxa"/>
            <w:vAlign w:val="bottom"/>
          </w:tcPr>
          <w:p>
            <w:pPr>
              <w:ind w:left="20"/>
              <w:spacing w:after="0"/>
              <w:rPr>
                <w:sz w:val="20"/>
                <w:szCs w:val="20"/>
                <w:color w:val="auto"/>
              </w:rPr>
            </w:pPr>
            <w:r>
              <w:rPr>
                <w:rFonts w:ascii="Arial" w:cs="Arial" w:eastAsia="Arial" w:hAnsi="Arial"/>
                <w:sz w:val="14"/>
                <w:szCs w:val="14"/>
                <w:color w:val="auto"/>
              </w:rPr>
              <w:t>Total lease payments to be received</w:t>
            </w:r>
          </w:p>
        </w:tc>
        <w:tc>
          <w:tcPr>
            <w:tcW w:w="4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Borders>
              <w:top w:val="single" w:sz="8" w:color="auto"/>
            </w:tcBorders>
          </w:tcPr>
          <w:p>
            <w:pPr>
              <w:jc w:val="right"/>
              <w:ind w:right="33"/>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gridSpan w:val="2"/>
          </w:tcPr>
          <w:p>
            <w:pPr>
              <w:jc w:val="right"/>
              <w:ind w:right="120"/>
              <w:spacing w:after="0"/>
              <w:rPr>
                <w:sz w:val="20"/>
                <w:szCs w:val="20"/>
                <w:color w:val="auto"/>
              </w:rPr>
            </w:pPr>
            <w:r>
              <w:rPr>
                <w:rFonts w:ascii="Arial" w:cs="Arial" w:eastAsia="Arial" w:hAnsi="Arial"/>
                <w:sz w:val="14"/>
                <w:szCs w:val="14"/>
                <w:color w:val="auto"/>
              </w:rPr>
              <w:t>21</w:t>
            </w:r>
          </w:p>
        </w:tc>
        <w:tc>
          <w:tcPr>
            <w:tcW w:w="120" w:type="dxa"/>
            <w:vAlign w:val="bottom"/>
          </w:tcPr>
          <w:p>
            <w:pPr>
              <w:spacing w:after="0"/>
              <w:rPr>
                <w:sz w:val="15"/>
                <w:szCs w:val="15"/>
                <w:color w:val="auto"/>
              </w:rPr>
            </w:pPr>
          </w:p>
        </w:tc>
        <w:tc>
          <w:tcPr>
            <w:tcW w:w="72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tcPr>
          <w:p>
            <w:pPr>
              <w:jc w:val="right"/>
              <w:ind w:right="32"/>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5"/>
                <w:szCs w:val="15"/>
                <w:color w:val="auto"/>
              </w:rPr>
            </w:pPr>
          </w:p>
        </w:tc>
        <w:tc>
          <w:tcPr>
            <w:tcW w:w="240" w:type="dxa"/>
            <w:vAlign w:val="bottom"/>
            <w:tcBorders>
              <w:top w:val="single" w:sz="8" w:color="auto"/>
            </w:tcBorders>
          </w:tcPr>
          <w:p>
            <w:pPr>
              <w:jc w:val="right"/>
              <w:ind w:right="93"/>
              <w:spacing w:after="0"/>
              <w:rPr>
                <w:sz w:val="20"/>
                <w:szCs w:val="20"/>
                <w:color w:val="auto"/>
              </w:rPr>
            </w:pPr>
            <w:r>
              <w:rPr>
                <w:rFonts w:ascii="Arial" w:cs="Arial" w:eastAsia="Arial" w:hAnsi="Arial"/>
                <w:sz w:val="14"/>
                <w:szCs w:val="14"/>
                <w:color w:val="auto"/>
                <w:w w:val="76"/>
              </w:rPr>
              <w:t>$</w:t>
            </w:r>
          </w:p>
        </w:tc>
        <w:tc>
          <w:tcPr>
            <w:tcW w:w="24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jc w:val="right"/>
              <w:ind w:right="3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
        </w:trPr>
        <w:tc>
          <w:tcPr>
            <w:tcW w:w="4480" w:type="dxa"/>
            <w:vAlign w:val="bottom"/>
            <w:vMerge w:val="restart"/>
          </w:tcPr>
          <w:p>
            <w:pPr>
              <w:ind w:left="260"/>
              <w:spacing w:after="0"/>
              <w:rPr>
                <w:sz w:val="20"/>
                <w:szCs w:val="20"/>
                <w:color w:val="auto"/>
              </w:rPr>
            </w:pPr>
            <w:r>
              <w:rPr>
                <w:rFonts w:ascii="Arial" w:cs="Arial" w:eastAsia="Arial" w:hAnsi="Arial"/>
                <w:sz w:val="14"/>
                <w:szCs w:val="14"/>
                <w:color w:val="auto"/>
              </w:rPr>
              <w:t>Other information related to leases is as follows:</w:t>
            </w:r>
          </w:p>
        </w:tc>
        <w:tc>
          <w:tcPr>
            <w:tcW w:w="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480" w:type="dxa"/>
            <w:vAlign w:val="bottom"/>
            <w:vMerge w:val="continu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9"/>
        </w:trPr>
        <w:tc>
          <w:tcPr>
            <w:tcW w:w="4480" w:type="dxa"/>
            <w:vAlign w:val="bottom"/>
            <w:vMerge w:val="continue"/>
          </w:tcPr>
          <w:p>
            <w:pPr>
              <w:spacing w:after="0"/>
              <w:rPr>
                <w:sz w:val="24"/>
                <w:szCs w:val="24"/>
                <w:color w:val="auto"/>
              </w:rPr>
            </w:pPr>
          </w:p>
        </w:tc>
        <w:tc>
          <w:tcPr>
            <w:tcW w:w="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448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gridSpan w:val="5"/>
          </w:tcPr>
          <w:p>
            <w:pPr>
              <w:ind w:left="380"/>
              <w:spacing w:after="0"/>
              <w:rPr>
                <w:sz w:val="20"/>
                <w:szCs w:val="20"/>
                <w:color w:val="auto"/>
              </w:rPr>
            </w:pPr>
            <w:r>
              <w:rPr>
                <w:rFonts w:ascii="Arial" w:cs="Arial" w:eastAsia="Arial" w:hAnsi="Arial"/>
                <w:sz w:val="11"/>
                <w:szCs w:val="11"/>
                <w:b w:val="1"/>
                <w:bCs w:val="1"/>
                <w:color w:val="auto"/>
              </w:rPr>
              <w:t>Three Months Ended September 30,</w:t>
            </w: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6"/>
          </w:tcPr>
          <w:p>
            <w:pPr>
              <w:jc w:val="center"/>
              <w:ind w:right="232"/>
              <w:spacing w:after="0"/>
              <w:rPr>
                <w:sz w:val="20"/>
                <w:szCs w:val="20"/>
                <w:color w:val="auto"/>
              </w:rPr>
            </w:pPr>
            <w:r>
              <w:rPr>
                <w:rFonts w:ascii="Arial" w:cs="Arial" w:eastAsia="Arial" w:hAnsi="Arial"/>
                <w:sz w:val="11"/>
                <w:szCs w:val="11"/>
                <w:b w:val="1"/>
                <w:bCs w:val="1"/>
                <w:color w:val="auto"/>
                <w:w w:val="95"/>
              </w:rPr>
              <w:t>Nine Months Ended September 30,</w:t>
            </w:r>
          </w:p>
        </w:tc>
        <w:tc>
          <w:tcPr>
            <w:tcW w:w="0" w:type="dxa"/>
            <w:vAlign w:val="bottom"/>
          </w:tcPr>
          <w:p>
            <w:pPr>
              <w:spacing w:after="0"/>
              <w:rPr>
                <w:sz w:val="1"/>
                <w:szCs w:val="1"/>
                <w:color w:val="auto"/>
              </w:rPr>
            </w:pPr>
          </w:p>
        </w:tc>
      </w:tr>
      <w:tr>
        <w:trPr>
          <w:trHeight w:val="196"/>
        </w:trPr>
        <w:tc>
          <w:tcPr>
            <w:tcW w:w="448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63"/>
              <w:spacing w:after="0"/>
              <w:rPr>
                <w:sz w:val="20"/>
                <w:szCs w:val="20"/>
                <w:color w:val="auto"/>
              </w:rPr>
            </w:pPr>
            <w:r>
              <w:rPr>
                <w:rFonts w:ascii="Arial" w:cs="Arial" w:eastAsia="Arial" w:hAnsi="Arial"/>
                <w:sz w:val="11"/>
                <w:szCs w:val="11"/>
                <w:b w:val="1"/>
                <w:bCs w:val="1"/>
                <w:color w:val="auto"/>
              </w:rPr>
              <w:t>2019</w:t>
            </w:r>
          </w:p>
        </w:tc>
        <w:tc>
          <w:tcPr>
            <w:tcW w:w="1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1"/>
                <w:szCs w:val="11"/>
                <w:b w:val="1"/>
                <w:bCs w:val="1"/>
                <w:color w:val="auto"/>
              </w:rPr>
              <w:t>2019</w:t>
            </w:r>
          </w:p>
        </w:tc>
        <w:tc>
          <w:tcPr>
            <w:tcW w:w="24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18"/>
        </w:trPr>
        <w:tc>
          <w:tcPr>
            <w:tcW w:w="4480" w:type="dxa"/>
            <w:vAlign w:val="bottom"/>
          </w:tcPr>
          <w:p>
            <w:pPr>
              <w:spacing w:after="0"/>
              <w:rPr>
                <w:sz w:val="10"/>
                <w:szCs w:val="10"/>
                <w:color w:val="auto"/>
              </w:rPr>
            </w:pPr>
          </w:p>
        </w:tc>
        <w:tc>
          <w:tcPr>
            <w:tcW w:w="110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CenterPoint Energy</w:t>
            </w:r>
          </w:p>
        </w:tc>
        <w:tc>
          <w:tcPr>
            <w:tcW w:w="160" w:type="dxa"/>
            <w:vAlign w:val="bottom"/>
          </w:tcPr>
          <w:p>
            <w:pPr>
              <w:spacing w:after="0"/>
              <w:rPr>
                <w:sz w:val="10"/>
                <w:szCs w:val="10"/>
                <w:color w:val="auto"/>
              </w:rPr>
            </w:pPr>
          </w:p>
        </w:tc>
        <w:tc>
          <w:tcPr>
            <w:tcW w:w="1040" w:type="dxa"/>
            <w:vAlign w:val="bottom"/>
            <w:vMerge w:val="restart"/>
          </w:tcPr>
          <w:p>
            <w:pPr>
              <w:jc w:val="right"/>
              <w:ind w:right="143"/>
              <w:spacing w:after="0"/>
              <w:rPr>
                <w:sz w:val="20"/>
                <w:szCs w:val="20"/>
                <w:color w:val="auto"/>
              </w:rPr>
            </w:pPr>
            <w:r>
              <w:rPr>
                <w:rFonts w:ascii="Arial" w:cs="Arial" w:eastAsia="Arial" w:hAnsi="Arial"/>
                <w:sz w:val="11"/>
                <w:szCs w:val="11"/>
                <w:b w:val="1"/>
                <w:bCs w:val="1"/>
                <w:color w:val="auto"/>
                <w:w w:val="93"/>
              </w:rPr>
              <w:t>Houston Electric</w:t>
            </w:r>
          </w:p>
        </w:tc>
        <w:tc>
          <w:tcPr>
            <w:tcW w:w="180" w:type="dxa"/>
            <w:vAlign w:val="bottom"/>
          </w:tcPr>
          <w:p>
            <w:pPr>
              <w:spacing w:after="0"/>
              <w:rPr>
                <w:sz w:val="10"/>
                <w:szCs w:val="10"/>
                <w:color w:val="auto"/>
              </w:rPr>
            </w:pPr>
          </w:p>
        </w:tc>
        <w:tc>
          <w:tcPr>
            <w:tcW w:w="1020" w:type="dxa"/>
            <w:vAlign w:val="bottom"/>
            <w:vMerge w:val="restart"/>
          </w:tcPr>
          <w:p>
            <w:pPr>
              <w:jc w:val="right"/>
              <w:ind w:right="363"/>
              <w:spacing w:after="0"/>
              <w:rPr>
                <w:sz w:val="20"/>
                <w:szCs w:val="20"/>
                <w:color w:val="auto"/>
              </w:rPr>
            </w:pPr>
            <w:r>
              <w:rPr>
                <w:rFonts w:ascii="Arial" w:cs="Arial" w:eastAsia="Arial" w:hAnsi="Arial"/>
                <w:sz w:val="11"/>
                <w:szCs w:val="11"/>
                <w:b w:val="1"/>
                <w:bCs w:val="1"/>
                <w:color w:val="auto"/>
              </w:rPr>
              <w:t>CERC</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gridSpan w:val="2"/>
          </w:tcPr>
          <w:p>
            <w:pPr>
              <w:jc w:val="right"/>
              <w:ind w:right="160"/>
              <w:spacing w:after="0" w:line="119" w:lineRule="exact"/>
              <w:rPr>
                <w:sz w:val="20"/>
                <w:szCs w:val="20"/>
                <w:color w:val="auto"/>
              </w:rPr>
            </w:pPr>
            <w:r>
              <w:rPr>
                <w:rFonts w:ascii="Arial" w:cs="Arial" w:eastAsia="Arial" w:hAnsi="Arial"/>
                <w:sz w:val="11"/>
                <w:szCs w:val="11"/>
                <w:b w:val="1"/>
                <w:bCs w:val="1"/>
                <w:color w:val="auto"/>
                <w:w w:val="96"/>
              </w:rPr>
              <w:t>CenterPoint</w:t>
            </w:r>
          </w:p>
        </w:tc>
        <w:tc>
          <w:tcPr>
            <w:tcW w:w="1120" w:type="dxa"/>
            <w:vAlign w:val="bottom"/>
            <w:gridSpan w:val="3"/>
            <w:vMerge w:val="restart"/>
          </w:tcPr>
          <w:p>
            <w:pPr>
              <w:jc w:val="right"/>
              <w:ind w:right="53"/>
              <w:spacing w:after="0"/>
              <w:rPr>
                <w:sz w:val="20"/>
                <w:szCs w:val="20"/>
                <w:color w:val="auto"/>
              </w:rPr>
            </w:pPr>
            <w:r>
              <w:rPr>
                <w:rFonts w:ascii="Arial" w:cs="Arial" w:eastAsia="Arial" w:hAnsi="Arial"/>
                <w:sz w:val="11"/>
                <w:szCs w:val="11"/>
                <w:b w:val="1"/>
                <w:bCs w:val="1"/>
                <w:color w:val="auto"/>
              </w:rPr>
              <w:t>Houston Electric</w:t>
            </w:r>
          </w:p>
        </w:tc>
        <w:tc>
          <w:tcPr>
            <w:tcW w:w="240" w:type="dxa"/>
            <w:vAlign w:val="bottom"/>
          </w:tcPr>
          <w:p>
            <w:pPr>
              <w:spacing w:after="0"/>
              <w:rPr>
                <w:sz w:val="10"/>
                <w:szCs w:val="10"/>
                <w:color w:val="auto"/>
              </w:rPr>
            </w:pPr>
          </w:p>
        </w:tc>
        <w:tc>
          <w:tcPr>
            <w:tcW w:w="980" w:type="dxa"/>
            <w:vAlign w:val="bottom"/>
            <w:vMerge w:val="restart"/>
          </w:tcPr>
          <w:p>
            <w:pPr>
              <w:jc w:val="right"/>
              <w:ind w:right="332"/>
              <w:spacing w:after="0"/>
              <w:rPr>
                <w:sz w:val="20"/>
                <w:szCs w:val="20"/>
                <w:color w:val="auto"/>
              </w:rPr>
            </w:pPr>
            <w:r>
              <w:rPr>
                <w:rFonts w:ascii="Arial" w:cs="Arial" w:eastAsia="Arial" w:hAnsi="Arial"/>
                <w:sz w:val="11"/>
                <w:szCs w:val="11"/>
                <w:b w:val="1"/>
                <w:bCs w:val="1"/>
                <w:color w:val="auto"/>
              </w:rPr>
              <w:t>CERC</w:t>
            </w:r>
          </w:p>
        </w:tc>
        <w:tc>
          <w:tcPr>
            <w:tcW w:w="0" w:type="dxa"/>
            <w:vAlign w:val="bottom"/>
          </w:tcPr>
          <w:p>
            <w:pPr>
              <w:spacing w:after="0"/>
              <w:rPr>
                <w:sz w:val="1"/>
                <w:szCs w:val="1"/>
                <w:color w:val="auto"/>
              </w:rPr>
            </w:pPr>
          </w:p>
        </w:tc>
      </w:tr>
      <w:tr>
        <w:trPr>
          <w:trHeight w:val="153"/>
        </w:trPr>
        <w:tc>
          <w:tcPr>
            <w:tcW w:w="4480" w:type="dxa"/>
            <w:vAlign w:val="bottom"/>
          </w:tcPr>
          <w:p>
            <w:pPr>
              <w:spacing w:after="0"/>
              <w:rPr>
                <w:sz w:val="13"/>
                <w:szCs w:val="13"/>
                <w:color w:val="auto"/>
              </w:rPr>
            </w:pPr>
          </w:p>
        </w:tc>
        <w:tc>
          <w:tcPr>
            <w:tcW w:w="1100" w:type="dxa"/>
            <w:vAlign w:val="bottom"/>
            <w:tcBorders>
              <w:bottom w:val="single" w:sz="8" w:color="auto"/>
            </w:tcBorders>
            <w:gridSpan w:val="2"/>
            <w:vMerge w:val="continue"/>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vMerge w:val="continue"/>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Energy</w:t>
            </w:r>
          </w:p>
        </w:tc>
        <w:tc>
          <w:tcPr>
            <w:tcW w:w="1120" w:type="dxa"/>
            <w:vAlign w:val="bottom"/>
            <w:tcBorders>
              <w:bottom w:val="single" w:sz="8" w:color="auto"/>
            </w:tcBorders>
            <w:gridSpan w:val="3"/>
            <w:vMerge w:val="continue"/>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4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gridSpan w:val="3"/>
          </w:tcPr>
          <w:p>
            <w:pPr>
              <w:jc w:val="right"/>
              <w:spacing w:after="0"/>
              <w:rPr>
                <w:sz w:val="20"/>
                <w:szCs w:val="20"/>
                <w:color w:val="auto"/>
              </w:rPr>
            </w:pPr>
            <w:r>
              <w:rPr>
                <w:rFonts w:ascii="Arial" w:cs="Arial" w:eastAsia="Arial" w:hAnsi="Arial"/>
                <w:sz w:val="11"/>
                <w:szCs w:val="11"/>
                <w:b w:val="1"/>
                <w:bCs w:val="1"/>
                <w:color w:val="auto"/>
              </w:rPr>
              <w:t>(in millions)</w:t>
            </w: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4480" w:type="dxa"/>
            <w:vAlign w:val="bottom"/>
            <w:shd w:val="clear" w:color="auto" w:fill="CCEEFF"/>
          </w:tcPr>
          <w:p>
            <w:pPr>
              <w:ind w:left="20"/>
              <w:spacing w:after="0"/>
              <w:rPr>
                <w:sz w:val="20"/>
                <w:szCs w:val="20"/>
                <w:color w:val="auto"/>
              </w:rPr>
            </w:pPr>
            <w:r>
              <w:rPr>
                <w:rFonts w:ascii="Arial" w:cs="Arial" w:eastAsia="Arial" w:hAnsi="Arial"/>
                <w:sz w:val="11"/>
                <w:szCs w:val="11"/>
                <w:color w:val="auto"/>
              </w:rPr>
              <w:t>Operating cash flows from operating leases included in the measurement of lease liabilities</w:t>
            </w:r>
          </w:p>
        </w:tc>
        <w:tc>
          <w:tcPr>
            <w:tcW w:w="480" w:type="dxa"/>
            <w:vAlign w:val="bottom"/>
            <w:shd w:val="clear" w:color="auto" w:fill="CCEEFF"/>
          </w:tcPr>
          <w:p>
            <w:pPr>
              <w:ind w:left="20"/>
              <w:spacing w:after="0"/>
              <w:rPr>
                <w:sz w:val="20"/>
                <w:szCs w:val="20"/>
                <w:color w:val="auto"/>
              </w:rPr>
            </w:pPr>
            <w:r>
              <w:rPr>
                <w:rFonts w:ascii="Arial" w:cs="Arial" w:eastAsia="Arial" w:hAnsi="Arial"/>
                <w:sz w:val="11"/>
                <w:szCs w:val="11"/>
                <w:color w:val="auto"/>
              </w:rPr>
              <w:t>$</w:t>
            </w:r>
          </w:p>
        </w:tc>
        <w:tc>
          <w:tcPr>
            <w:tcW w:w="620" w:type="dxa"/>
            <w:vAlign w:val="bottom"/>
            <w:shd w:val="clear" w:color="auto" w:fill="CCEEFF"/>
          </w:tcPr>
          <w:p>
            <w:pPr>
              <w:ind w:left="380"/>
              <w:spacing w:after="0"/>
              <w:rPr>
                <w:sz w:val="20"/>
                <w:szCs w:val="20"/>
                <w:color w:val="auto"/>
              </w:rPr>
            </w:pPr>
            <w:r>
              <w:rPr>
                <w:rFonts w:ascii="Arial" w:cs="Arial" w:eastAsia="Arial" w:hAnsi="Arial"/>
                <w:sz w:val="11"/>
                <w:szCs w:val="11"/>
                <w:color w:val="auto"/>
              </w:rPr>
              <w:t>6</w:t>
            </w:r>
          </w:p>
        </w:tc>
        <w:tc>
          <w:tcPr>
            <w:tcW w:w="1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40" w:type="dxa"/>
            <w:vAlign w:val="bottom"/>
            <w:shd w:val="clear" w:color="auto" w:fill="CCEEFF"/>
          </w:tcPr>
          <w:p>
            <w:pPr>
              <w:jc w:val="right"/>
              <w:ind w:right="163"/>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jc w:val="right"/>
              <w:ind w:right="13"/>
              <w:spacing w:after="0"/>
              <w:rPr>
                <w:sz w:val="20"/>
                <w:szCs w:val="20"/>
                <w:color w:val="auto"/>
              </w:rPr>
            </w:pPr>
            <w:r>
              <w:rPr>
                <w:rFonts w:ascii="Arial" w:cs="Arial" w:eastAsia="Arial" w:hAnsi="Arial"/>
                <w:sz w:val="11"/>
                <w:szCs w:val="11"/>
                <w:color w:val="auto"/>
              </w:rPr>
              <w:t>$</w:t>
            </w:r>
          </w:p>
        </w:tc>
        <w:tc>
          <w:tcPr>
            <w:tcW w:w="102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2</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18</w:t>
            </w:r>
          </w:p>
        </w:tc>
        <w:tc>
          <w:tcPr>
            <w:tcW w:w="760" w:type="dxa"/>
            <w:vAlign w:val="bottom"/>
            <w:shd w:val="clear" w:color="auto" w:fill="CCEEFF"/>
          </w:tcPr>
          <w:p>
            <w:pPr>
              <w:jc w:val="right"/>
              <w:ind w:right="532"/>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3"/>
              <w:spacing w:after="0"/>
              <w:rPr>
                <w:sz w:val="20"/>
                <w:szCs w:val="20"/>
                <w:color w:val="auto"/>
              </w:rPr>
            </w:pPr>
            <w:r>
              <w:rPr>
                <w:rFonts w:ascii="Arial" w:cs="Arial" w:eastAsia="Arial" w:hAnsi="Arial"/>
                <w:sz w:val="11"/>
                <w:szCs w:val="11"/>
                <w:color w:val="auto"/>
              </w:rPr>
              <w:t>1</w:t>
            </w:r>
          </w:p>
        </w:tc>
        <w:tc>
          <w:tcPr>
            <w:tcW w:w="24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w:t>
            </w:r>
          </w:p>
        </w:tc>
        <w:tc>
          <w:tcPr>
            <w:tcW w:w="980" w:type="dxa"/>
            <w:vAlign w:val="bottom"/>
            <w:shd w:val="clear" w:color="auto" w:fill="CCEEFF"/>
          </w:tcPr>
          <w:p>
            <w:pPr>
              <w:jc w:val="right"/>
              <w:ind w:right="32"/>
              <w:spacing w:after="0"/>
              <w:rPr>
                <w:sz w:val="20"/>
                <w:szCs w:val="20"/>
                <w:color w:val="auto"/>
              </w:rPr>
            </w:pPr>
            <w:r>
              <w:rPr>
                <w:rFonts w:ascii="Arial" w:cs="Arial" w:eastAsia="Arial" w:hAnsi="Arial"/>
                <w:sz w:val="11"/>
                <w:szCs w:val="11"/>
                <w:color w:val="auto"/>
              </w:rPr>
              <w:t>4</w:t>
            </w:r>
          </w:p>
        </w:tc>
        <w:tc>
          <w:tcPr>
            <w:tcW w:w="0" w:type="dxa"/>
            <w:vAlign w:val="bottom"/>
          </w:tcPr>
          <w:p>
            <w:pPr>
              <w:spacing w:after="0"/>
              <w:rPr>
                <w:sz w:val="1"/>
                <w:szCs w:val="1"/>
                <w:color w:val="auto"/>
              </w:rPr>
            </w:pPr>
          </w:p>
        </w:tc>
      </w:tr>
    </w:tbl>
    <w:p>
      <w:pPr>
        <w:spacing w:after="0" w:line="33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(20) Equity</w:t>
      </w:r>
    </w:p>
    <w:p>
      <w:pPr>
        <w:spacing w:after="0" w:line="18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Dividends Declared and Paid (CenterPoint Energy)</w:t>
      </w:r>
    </w:p>
    <w:p>
      <w:pPr>
        <w:spacing w:after="0" w:line="184" w:lineRule="exact"/>
        <w:rPr>
          <w:sz w:val="20"/>
          <w:szCs w:val="20"/>
          <w:color w:val="auto"/>
        </w:rPr>
      </w:pPr>
    </w:p>
    <w:p>
      <w:pPr>
        <w:ind w:left="260"/>
        <w:spacing w:after="0"/>
        <w:rPr>
          <w:sz w:val="20"/>
          <w:szCs w:val="20"/>
          <w:color w:val="auto"/>
        </w:rPr>
      </w:pPr>
      <w:r>
        <w:rPr>
          <w:rFonts w:ascii="Arial" w:cs="Arial" w:eastAsia="Arial" w:hAnsi="Arial"/>
          <w:sz w:val="14"/>
          <w:szCs w:val="14"/>
          <w:color w:val="auto"/>
        </w:rPr>
        <w:t>CenterPoint Energy paid dividends on its Common Stock during the nine months ended September 30, 2019 and 2018 as presented in the table below:</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52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4"/>
              </w:rPr>
              <w:t>Declaration Date</w:t>
            </w:r>
          </w:p>
        </w:tc>
        <w:tc>
          <w:tcPr>
            <w:tcW w:w="120" w:type="dxa"/>
            <w:vAlign w:val="bottom"/>
            <w:vMerge w:val="restart"/>
          </w:tcPr>
          <w:p>
            <w:pPr>
              <w:spacing w:after="0"/>
              <w:rPr>
                <w:sz w:val="10"/>
                <w:szCs w:val="10"/>
                <w:color w:val="auto"/>
              </w:rPr>
            </w:pPr>
          </w:p>
        </w:tc>
        <w:tc>
          <w:tcPr>
            <w:tcW w:w="2520" w:type="dxa"/>
            <w:vAlign w:val="bottom"/>
            <w:vMerge w:val="restart"/>
          </w:tcPr>
          <w:p>
            <w:pPr>
              <w:ind w:left="960"/>
              <w:spacing w:after="0"/>
              <w:rPr>
                <w:sz w:val="20"/>
                <w:szCs w:val="20"/>
                <w:color w:val="auto"/>
              </w:rPr>
            </w:pPr>
            <w:r>
              <w:rPr>
                <w:rFonts w:ascii="Arial" w:cs="Arial" w:eastAsia="Arial" w:hAnsi="Arial"/>
                <w:sz w:val="11"/>
                <w:szCs w:val="11"/>
                <w:b w:val="1"/>
                <w:bCs w:val="1"/>
                <w:color w:val="auto"/>
              </w:rPr>
              <w:t>Record Date</w:t>
            </w:r>
          </w:p>
        </w:tc>
        <w:tc>
          <w:tcPr>
            <w:tcW w:w="120" w:type="dxa"/>
            <w:vAlign w:val="bottom"/>
            <w:vMerge w:val="restart"/>
          </w:tcPr>
          <w:p>
            <w:pPr>
              <w:spacing w:after="0"/>
              <w:rPr>
                <w:sz w:val="10"/>
                <w:szCs w:val="10"/>
                <w:color w:val="auto"/>
              </w:rPr>
            </w:pPr>
          </w:p>
        </w:tc>
        <w:tc>
          <w:tcPr>
            <w:tcW w:w="2520" w:type="dxa"/>
            <w:vAlign w:val="bottom"/>
            <w:vMerge w:val="restart"/>
          </w:tcPr>
          <w:p>
            <w:pPr>
              <w:ind w:left="920"/>
              <w:spacing w:after="0"/>
              <w:rPr>
                <w:sz w:val="20"/>
                <w:szCs w:val="20"/>
                <w:color w:val="auto"/>
              </w:rPr>
            </w:pPr>
            <w:r>
              <w:rPr>
                <w:rFonts w:ascii="Arial" w:cs="Arial" w:eastAsia="Arial" w:hAnsi="Arial"/>
                <w:sz w:val="11"/>
                <w:szCs w:val="11"/>
                <w:b w:val="1"/>
                <w:bCs w:val="1"/>
                <w:color w:val="auto"/>
              </w:rPr>
              <w:t>Payment Date</w:t>
            </w:r>
          </w:p>
        </w:tc>
        <w:tc>
          <w:tcPr>
            <w:tcW w:w="120" w:type="dxa"/>
            <w:vAlign w:val="bottom"/>
            <w:vMerge w:val="restart"/>
          </w:tcPr>
          <w:p>
            <w:pPr>
              <w:spacing w:after="0"/>
              <w:rPr>
                <w:sz w:val="10"/>
                <w:szCs w:val="10"/>
                <w:color w:val="auto"/>
              </w:rPr>
            </w:pPr>
          </w:p>
        </w:tc>
        <w:tc>
          <w:tcPr>
            <w:tcW w:w="114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Per Share</w:t>
            </w: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360" w:type="dxa"/>
            <w:vAlign w:val="bottom"/>
          </w:tcPr>
          <w:p>
            <w:pPr>
              <w:jc w:val="center"/>
              <w:ind w:right="257"/>
              <w:spacing w:after="0"/>
              <w:rPr>
                <w:sz w:val="20"/>
                <w:szCs w:val="20"/>
                <w:color w:val="auto"/>
              </w:rPr>
            </w:pPr>
            <w:r>
              <w:rPr>
                <w:rFonts w:ascii="Arial" w:cs="Arial" w:eastAsia="Arial" w:hAnsi="Arial"/>
                <w:sz w:val="11"/>
                <w:szCs w:val="11"/>
                <w:b w:val="1"/>
                <w:bCs w:val="1"/>
                <w:color w:val="auto"/>
                <w:w w:val="91"/>
              </w:rPr>
              <w:t>Total</w:t>
            </w:r>
          </w:p>
        </w:tc>
        <w:tc>
          <w:tcPr>
            <w:tcW w:w="0" w:type="dxa"/>
            <w:vAlign w:val="bottom"/>
          </w:tcPr>
          <w:p>
            <w:pPr>
              <w:spacing w:after="0"/>
              <w:rPr>
                <w:sz w:val="1"/>
                <w:szCs w:val="1"/>
                <w:color w:val="auto"/>
              </w:rPr>
            </w:pPr>
          </w:p>
        </w:tc>
      </w:tr>
      <w:tr>
        <w:trPr>
          <w:trHeight w:val="153"/>
        </w:trPr>
        <w:tc>
          <w:tcPr>
            <w:tcW w:w="2520" w:type="dxa"/>
            <w:vAlign w:val="bottom"/>
            <w:tcBorders>
              <w:bottom w:val="single" w:sz="8" w:color="auto"/>
            </w:tcBorders>
            <w:vMerge w:val="continue"/>
          </w:tcPr>
          <w:p>
            <w:pPr>
              <w:spacing w:after="0"/>
              <w:rPr>
                <w:sz w:val="13"/>
                <w:szCs w:val="13"/>
                <w:color w:val="auto"/>
              </w:rPr>
            </w:pPr>
          </w:p>
        </w:tc>
        <w:tc>
          <w:tcPr>
            <w:tcW w:w="120" w:type="dxa"/>
            <w:vAlign w:val="bottom"/>
            <w:tcBorders>
              <w:bottom w:val="single" w:sz="8" w:color="CCEEFF"/>
            </w:tcBorders>
            <w:vMerge w:val="continue"/>
          </w:tcPr>
          <w:p>
            <w:pPr>
              <w:spacing w:after="0"/>
              <w:rPr>
                <w:sz w:val="13"/>
                <w:szCs w:val="13"/>
                <w:color w:val="auto"/>
              </w:rPr>
            </w:pPr>
          </w:p>
        </w:tc>
        <w:tc>
          <w:tcPr>
            <w:tcW w:w="2520" w:type="dxa"/>
            <w:vAlign w:val="bottom"/>
            <w:tcBorders>
              <w:bottom w:val="single" w:sz="8" w:color="auto"/>
            </w:tcBorders>
            <w:vMerge w:val="continue"/>
          </w:tcPr>
          <w:p>
            <w:pPr>
              <w:spacing w:after="0"/>
              <w:rPr>
                <w:sz w:val="13"/>
                <w:szCs w:val="13"/>
                <w:color w:val="auto"/>
              </w:rPr>
            </w:pPr>
          </w:p>
        </w:tc>
        <w:tc>
          <w:tcPr>
            <w:tcW w:w="120" w:type="dxa"/>
            <w:vAlign w:val="bottom"/>
            <w:tcBorders>
              <w:bottom w:val="single" w:sz="8" w:color="CCEEFF"/>
            </w:tcBorders>
            <w:vMerge w:val="continue"/>
          </w:tcPr>
          <w:p>
            <w:pPr>
              <w:spacing w:after="0"/>
              <w:rPr>
                <w:sz w:val="13"/>
                <w:szCs w:val="13"/>
                <w:color w:val="auto"/>
              </w:rPr>
            </w:pPr>
          </w:p>
        </w:tc>
        <w:tc>
          <w:tcPr>
            <w:tcW w:w="2520" w:type="dxa"/>
            <w:vAlign w:val="bottom"/>
            <w:tcBorders>
              <w:bottom w:val="single" w:sz="8" w:color="auto"/>
            </w:tcBorders>
            <w:vMerge w:val="continue"/>
          </w:tcPr>
          <w:p>
            <w:pPr>
              <w:spacing w:after="0"/>
              <w:rPr>
                <w:sz w:val="13"/>
                <w:szCs w:val="13"/>
                <w:color w:val="auto"/>
              </w:rPr>
            </w:pPr>
          </w:p>
        </w:tc>
        <w:tc>
          <w:tcPr>
            <w:tcW w:w="120" w:type="dxa"/>
            <w:vAlign w:val="bottom"/>
            <w:tcBorders>
              <w:bottom w:val="single" w:sz="8" w:color="CCEEFF"/>
            </w:tcBorders>
            <w:vMerge w:val="continue"/>
          </w:tcPr>
          <w:p>
            <w:pPr>
              <w:spacing w:after="0"/>
              <w:rPr>
                <w:sz w:val="13"/>
                <w:szCs w:val="13"/>
                <w:color w:val="auto"/>
              </w:rPr>
            </w:pPr>
          </w:p>
        </w:tc>
        <w:tc>
          <w:tcPr>
            <w:tcW w:w="1140" w:type="dxa"/>
            <w:vAlign w:val="bottom"/>
            <w:tcBorders>
              <w:bottom w:val="single" w:sz="8" w:color="auto"/>
            </w:tcBorders>
            <w:vMerge w:val="continue"/>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center"/>
              <w:ind w:right="257"/>
              <w:spacing w:after="0"/>
              <w:rPr>
                <w:sz w:val="20"/>
                <w:szCs w:val="20"/>
                <w:color w:val="auto"/>
              </w:rPr>
            </w:pPr>
            <w:r>
              <w:rPr>
                <w:rFonts w:ascii="Arial" w:cs="Arial" w:eastAsia="Arial" w:hAnsi="Arial"/>
                <w:sz w:val="11"/>
                <w:szCs w:val="11"/>
                <w:b w:val="1"/>
                <w:bCs w:val="1"/>
                <w:color w:val="auto"/>
                <w:w w:val="97"/>
              </w:rPr>
              <w:t>(in millions)</w:t>
            </w:r>
          </w:p>
        </w:tc>
        <w:tc>
          <w:tcPr>
            <w:tcW w:w="0" w:type="dxa"/>
            <w:vAlign w:val="bottom"/>
          </w:tcPr>
          <w:p>
            <w:pPr>
              <w:spacing w:after="0"/>
              <w:rPr>
                <w:sz w:val="1"/>
                <w:szCs w:val="1"/>
                <w:color w:val="auto"/>
              </w:rPr>
            </w:pPr>
          </w:p>
        </w:tc>
      </w:tr>
      <w:tr>
        <w:trPr>
          <w:trHeight w:val="180"/>
        </w:trPr>
        <w:tc>
          <w:tcPr>
            <w:tcW w:w="2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December 12, 2018</w:t>
            </w:r>
          </w:p>
        </w:tc>
        <w:tc>
          <w:tcPr>
            <w:tcW w:w="2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February 21, 2019</w:t>
            </w:r>
          </w:p>
        </w:tc>
        <w:tc>
          <w:tcPr>
            <w:tcW w:w="2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March 14, 2019</w:t>
            </w:r>
          </w:p>
        </w:tc>
        <w:tc>
          <w:tcPr>
            <w:tcW w:w="1140" w:type="dxa"/>
            <w:vAlign w:val="bottom"/>
            <w:tcBorders>
              <w:bottom w:val="single" w:sz="8" w:color="CCEEFF"/>
            </w:tcBorders>
            <w:shd w:val="clear" w:color="auto" w:fill="CCEEFF"/>
          </w:tcPr>
          <w:p>
            <w:pPr>
              <w:jc w:val="right"/>
              <w:ind w:right="977"/>
              <w:spacing w:after="0"/>
              <w:rPr>
                <w:sz w:val="20"/>
                <w:szCs w:val="20"/>
                <w:color w:val="auto"/>
              </w:rPr>
            </w:pPr>
            <w:r>
              <w:rPr>
                <w:rFonts w:ascii="Arial" w:cs="Arial" w:eastAsia="Arial" w:hAnsi="Arial"/>
                <w:sz w:val="13"/>
                <w:szCs w:val="13"/>
                <w:color w:val="auto"/>
              </w:rPr>
              <w:t>$</w:t>
            </w:r>
          </w:p>
        </w:tc>
        <w:tc>
          <w:tcPr>
            <w:tcW w:w="5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3"/>
                <w:szCs w:val="13"/>
                <w:color w:val="auto"/>
              </w:rPr>
              <w:t>0.2875</w:t>
            </w:r>
          </w:p>
        </w:tc>
        <w:tc>
          <w:tcPr>
            <w:tcW w:w="12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jc w:val="right"/>
              <w:ind w:right="175"/>
              <w:spacing w:after="0"/>
              <w:rPr>
                <w:sz w:val="20"/>
                <w:szCs w:val="20"/>
                <w:color w:val="auto"/>
              </w:rPr>
            </w:pPr>
            <w:r>
              <w:rPr>
                <w:rFonts w:ascii="Arial" w:cs="Arial" w:eastAsia="Arial" w:hAnsi="Arial"/>
                <w:sz w:val="13"/>
                <w:szCs w:val="13"/>
                <w:color w:val="auto"/>
                <w:w w:val="82"/>
              </w:rPr>
              <w:t>$</w:t>
            </w:r>
          </w:p>
        </w:tc>
        <w:tc>
          <w:tcPr>
            <w:tcW w:w="13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144</w:t>
            </w:r>
          </w:p>
        </w:tc>
        <w:tc>
          <w:tcPr>
            <w:tcW w:w="0" w:type="dxa"/>
            <w:vAlign w:val="bottom"/>
          </w:tcPr>
          <w:p>
            <w:pPr>
              <w:spacing w:after="0"/>
              <w:rPr>
                <w:sz w:val="1"/>
                <w:szCs w:val="1"/>
                <w:color w:val="auto"/>
              </w:rPr>
            </w:pPr>
          </w:p>
        </w:tc>
      </w:tr>
      <w:tr>
        <w:trPr>
          <w:trHeight w:val="189"/>
        </w:trPr>
        <w:tc>
          <w:tcPr>
            <w:tcW w:w="2640" w:type="dxa"/>
            <w:vAlign w:val="bottom"/>
            <w:gridSpan w:val="2"/>
          </w:tcPr>
          <w:p>
            <w:pPr>
              <w:ind w:left="20"/>
              <w:spacing w:after="0"/>
              <w:rPr>
                <w:sz w:val="20"/>
                <w:szCs w:val="20"/>
                <w:color w:val="auto"/>
              </w:rPr>
            </w:pPr>
            <w:r>
              <w:rPr>
                <w:rFonts w:ascii="Arial" w:cs="Arial" w:eastAsia="Arial" w:hAnsi="Arial"/>
                <w:sz w:val="13"/>
                <w:szCs w:val="13"/>
                <w:color w:val="auto"/>
              </w:rPr>
              <w:t>April 25, 2019</w:t>
            </w:r>
          </w:p>
        </w:tc>
        <w:tc>
          <w:tcPr>
            <w:tcW w:w="2640" w:type="dxa"/>
            <w:vAlign w:val="bottom"/>
            <w:gridSpan w:val="2"/>
          </w:tcPr>
          <w:p>
            <w:pPr>
              <w:ind w:left="20"/>
              <w:spacing w:after="0"/>
              <w:rPr>
                <w:sz w:val="20"/>
                <w:szCs w:val="20"/>
                <w:color w:val="auto"/>
              </w:rPr>
            </w:pPr>
            <w:r>
              <w:rPr>
                <w:rFonts w:ascii="Arial" w:cs="Arial" w:eastAsia="Arial" w:hAnsi="Arial"/>
                <w:sz w:val="13"/>
                <w:szCs w:val="13"/>
                <w:color w:val="auto"/>
              </w:rPr>
              <w:t>May 16, 2019</w:t>
            </w:r>
          </w:p>
        </w:tc>
        <w:tc>
          <w:tcPr>
            <w:tcW w:w="2640" w:type="dxa"/>
            <w:vAlign w:val="bottom"/>
            <w:gridSpan w:val="2"/>
          </w:tcPr>
          <w:p>
            <w:pPr>
              <w:ind w:left="20"/>
              <w:spacing w:after="0"/>
              <w:rPr>
                <w:sz w:val="20"/>
                <w:szCs w:val="20"/>
                <w:color w:val="auto"/>
              </w:rPr>
            </w:pPr>
            <w:r>
              <w:rPr>
                <w:rFonts w:ascii="Arial" w:cs="Arial" w:eastAsia="Arial" w:hAnsi="Arial"/>
                <w:sz w:val="13"/>
                <w:szCs w:val="13"/>
                <w:color w:val="auto"/>
              </w:rPr>
              <w:t>June 13, 2019</w:t>
            </w:r>
          </w:p>
        </w:tc>
        <w:tc>
          <w:tcPr>
            <w:tcW w:w="1140" w:type="dxa"/>
            <w:vAlign w:val="bottom"/>
          </w:tcPr>
          <w:p>
            <w:pPr>
              <w:spacing w:after="0"/>
              <w:rPr>
                <w:sz w:val="16"/>
                <w:szCs w:val="16"/>
                <w:color w:val="auto"/>
              </w:rPr>
            </w:pPr>
          </w:p>
        </w:tc>
        <w:tc>
          <w:tcPr>
            <w:tcW w:w="560" w:type="dxa"/>
            <w:vAlign w:val="bottom"/>
          </w:tcPr>
          <w:p>
            <w:pPr>
              <w:jc w:val="right"/>
              <w:ind w:right="35"/>
              <w:spacing w:after="0"/>
              <w:rPr>
                <w:sz w:val="20"/>
                <w:szCs w:val="20"/>
                <w:color w:val="auto"/>
              </w:rPr>
            </w:pPr>
            <w:r>
              <w:rPr>
                <w:rFonts w:ascii="Arial" w:cs="Arial" w:eastAsia="Arial" w:hAnsi="Arial"/>
                <w:sz w:val="13"/>
                <w:szCs w:val="13"/>
                <w:color w:val="auto"/>
              </w:rPr>
              <w:t>0.2875</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60" w:type="dxa"/>
            <w:vAlign w:val="bottom"/>
          </w:tcPr>
          <w:p>
            <w:pPr>
              <w:jc w:val="right"/>
              <w:ind w:right="37"/>
              <w:spacing w:after="0"/>
              <w:rPr>
                <w:sz w:val="20"/>
                <w:szCs w:val="20"/>
                <w:color w:val="auto"/>
              </w:rPr>
            </w:pPr>
            <w:r>
              <w:rPr>
                <w:rFonts w:ascii="Arial" w:cs="Arial" w:eastAsia="Arial" w:hAnsi="Arial"/>
                <w:sz w:val="13"/>
                <w:szCs w:val="13"/>
                <w:color w:val="auto"/>
              </w:rPr>
              <w:t>144</w:t>
            </w:r>
          </w:p>
        </w:tc>
        <w:tc>
          <w:tcPr>
            <w:tcW w:w="0" w:type="dxa"/>
            <w:vAlign w:val="bottom"/>
          </w:tcPr>
          <w:p>
            <w:pPr>
              <w:spacing w:after="0"/>
              <w:rPr>
                <w:sz w:val="1"/>
                <w:szCs w:val="1"/>
                <w:color w:val="auto"/>
              </w:rPr>
            </w:pPr>
          </w:p>
        </w:tc>
      </w:tr>
      <w:tr>
        <w:trPr>
          <w:trHeight w:val="27"/>
        </w:trPr>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July 31, 2019</w:t>
            </w:r>
          </w:p>
        </w:tc>
        <w:tc>
          <w:tcPr>
            <w:tcW w:w="2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August 15, 2019</w:t>
            </w:r>
          </w:p>
        </w:tc>
        <w:tc>
          <w:tcPr>
            <w:tcW w:w="2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September 12, 2019</w:t>
            </w:r>
          </w:p>
        </w:tc>
        <w:tc>
          <w:tcPr>
            <w:tcW w:w="114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3"/>
                <w:szCs w:val="13"/>
                <w:color w:val="auto"/>
              </w:rPr>
              <w:t>0.2875</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145</w:t>
            </w:r>
          </w:p>
        </w:tc>
        <w:tc>
          <w:tcPr>
            <w:tcW w:w="0" w:type="dxa"/>
            <w:vAlign w:val="bottom"/>
          </w:tcPr>
          <w:p>
            <w:pPr>
              <w:spacing w:after="0"/>
              <w:rPr>
                <w:sz w:val="1"/>
                <w:szCs w:val="1"/>
                <w:color w:val="auto"/>
              </w:rPr>
            </w:pPr>
          </w:p>
        </w:tc>
      </w:tr>
      <w:tr>
        <w:trPr>
          <w:trHeight w:val="228"/>
        </w:trPr>
        <w:tc>
          <w:tcPr>
            <w:tcW w:w="2640" w:type="dxa"/>
            <w:vAlign w:val="bottom"/>
            <w:tcBorders>
              <w:bottom w:val="single" w:sz="8" w:color="CCEEFF"/>
            </w:tcBorders>
            <w:gridSpan w:val="2"/>
          </w:tcPr>
          <w:p>
            <w:pPr>
              <w:jc w:val="center"/>
              <w:ind w:right="100"/>
              <w:spacing w:after="0"/>
              <w:rPr>
                <w:sz w:val="20"/>
                <w:szCs w:val="20"/>
                <w:color w:val="auto"/>
              </w:rPr>
            </w:pPr>
            <w:r>
              <w:rPr>
                <w:rFonts w:ascii="Arial" w:cs="Arial" w:eastAsia="Arial" w:hAnsi="Arial"/>
                <w:sz w:val="13"/>
                <w:szCs w:val="13"/>
                <w:b w:val="1"/>
                <w:bCs w:val="1"/>
                <w:color w:val="auto"/>
                <w:w w:val="91"/>
              </w:rPr>
              <w:t>Total 2019</w:t>
            </w:r>
          </w:p>
        </w:tc>
        <w:tc>
          <w:tcPr>
            <w:tcW w:w="25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5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977"/>
              <w:spacing w:after="0"/>
              <w:rPr>
                <w:sz w:val="20"/>
                <w:szCs w:val="20"/>
                <w:color w:val="auto"/>
              </w:rPr>
            </w:pPr>
            <w:r>
              <w:rPr>
                <w:rFonts w:ascii="Arial" w:cs="Arial" w:eastAsia="Arial" w:hAnsi="Arial"/>
                <w:sz w:val="13"/>
                <w:szCs w:val="13"/>
                <w:color w:val="auto"/>
              </w:rPr>
              <w:t>$</w:t>
            </w:r>
          </w:p>
        </w:tc>
        <w:tc>
          <w:tcPr>
            <w:tcW w:w="56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3"/>
                <w:szCs w:val="13"/>
                <w:color w:val="auto"/>
              </w:rPr>
              <w:t>0.8625</w:t>
            </w:r>
          </w:p>
        </w:tc>
        <w:tc>
          <w:tcPr>
            <w:tcW w:w="12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jc w:val="right"/>
              <w:ind w:right="175"/>
              <w:spacing w:after="0"/>
              <w:rPr>
                <w:sz w:val="20"/>
                <w:szCs w:val="20"/>
                <w:color w:val="auto"/>
              </w:rPr>
            </w:pPr>
            <w:r>
              <w:rPr>
                <w:rFonts w:ascii="Arial" w:cs="Arial" w:eastAsia="Arial" w:hAnsi="Arial"/>
                <w:sz w:val="13"/>
                <w:szCs w:val="13"/>
                <w:color w:val="auto"/>
                <w:w w:val="82"/>
              </w:rPr>
              <w:t>$</w:t>
            </w:r>
          </w:p>
        </w:tc>
        <w:tc>
          <w:tcPr>
            <w:tcW w:w="136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433</w:t>
            </w:r>
          </w:p>
        </w:tc>
        <w:tc>
          <w:tcPr>
            <w:tcW w:w="0" w:type="dxa"/>
            <w:vAlign w:val="bottom"/>
          </w:tcPr>
          <w:p>
            <w:pPr>
              <w:spacing w:after="0"/>
              <w:rPr>
                <w:sz w:val="1"/>
                <w:szCs w:val="1"/>
                <w:color w:val="auto"/>
              </w:rPr>
            </w:pPr>
          </w:p>
        </w:tc>
      </w:tr>
      <w:tr>
        <w:trPr>
          <w:trHeight w:val="239"/>
        </w:trPr>
        <w:tc>
          <w:tcPr>
            <w:tcW w:w="25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5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5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2640" w:type="dxa"/>
            <w:vAlign w:val="bottom"/>
            <w:gridSpan w:val="2"/>
          </w:tcPr>
          <w:p>
            <w:pPr>
              <w:ind w:left="20"/>
              <w:spacing w:after="0"/>
              <w:rPr>
                <w:sz w:val="20"/>
                <w:szCs w:val="20"/>
                <w:color w:val="auto"/>
              </w:rPr>
            </w:pPr>
            <w:r>
              <w:rPr>
                <w:rFonts w:ascii="Arial" w:cs="Arial" w:eastAsia="Arial" w:hAnsi="Arial"/>
                <w:sz w:val="13"/>
                <w:szCs w:val="13"/>
                <w:color w:val="auto"/>
              </w:rPr>
              <w:t>December 13, 2017</w:t>
            </w:r>
          </w:p>
        </w:tc>
        <w:tc>
          <w:tcPr>
            <w:tcW w:w="2640" w:type="dxa"/>
            <w:vAlign w:val="bottom"/>
            <w:gridSpan w:val="2"/>
          </w:tcPr>
          <w:p>
            <w:pPr>
              <w:ind w:left="20"/>
              <w:spacing w:after="0"/>
              <w:rPr>
                <w:sz w:val="20"/>
                <w:szCs w:val="20"/>
                <w:color w:val="auto"/>
              </w:rPr>
            </w:pPr>
            <w:r>
              <w:rPr>
                <w:rFonts w:ascii="Arial" w:cs="Arial" w:eastAsia="Arial" w:hAnsi="Arial"/>
                <w:sz w:val="13"/>
                <w:szCs w:val="13"/>
                <w:color w:val="auto"/>
              </w:rPr>
              <w:t>February 15, 2018</w:t>
            </w:r>
          </w:p>
        </w:tc>
        <w:tc>
          <w:tcPr>
            <w:tcW w:w="2640" w:type="dxa"/>
            <w:vAlign w:val="bottom"/>
            <w:gridSpan w:val="2"/>
          </w:tcPr>
          <w:p>
            <w:pPr>
              <w:ind w:left="20"/>
              <w:spacing w:after="0"/>
              <w:rPr>
                <w:sz w:val="20"/>
                <w:szCs w:val="20"/>
                <w:color w:val="auto"/>
              </w:rPr>
            </w:pPr>
            <w:r>
              <w:rPr>
                <w:rFonts w:ascii="Arial" w:cs="Arial" w:eastAsia="Arial" w:hAnsi="Arial"/>
                <w:sz w:val="13"/>
                <w:szCs w:val="13"/>
                <w:color w:val="auto"/>
              </w:rPr>
              <w:t>March 8, 2018</w:t>
            </w:r>
          </w:p>
        </w:tc>
        <w:tc>
          <w:tcPr>
            <w:tcW w:w="1140" w:type="dxa"/>
            <w:vAlign w:val="bottom"/>
          </w:tcPr>
          <w:p>
            <w:pPr>
              <w:jc w:val="right"/>
              <w:ind w:right="977"/>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35"/>
              <w:spacing w:after="0"/>
              <w:rPr>
                <w:sz w:val="20"/>
                <w:szCs w:val="20"/>
                <w:color w:val="auto"/>
              </w:rPr>
            </w:pPr>
            <w:r>
              <w:rPr>
                <w:rFonts w:ascii="Arial" w:cs="Arial" w:eastAsia="Arial" w:hAnsi="Arial"/>
                <w:sz w:val="13"/>
                <w:szCs w:val="13"/>
                <w:color w:val="auto"/>
              </w:rPr>
              <w:t>0.2775</w:t>
            </w:r>
          </w:p>
        </w:tc>
        <w:tc>
          <w:tcPr>
            <w:tcW w:w="120" w:type="dxa"/>
            <w:vAlign w:val="bottom"/>
          </w:tcPr>
          <w:p>
            <w:pPr>
              <w:spacing w:after="0"/>
              <w:rPr>
                <w:sz w:val="16"/>
                <w:szCs w:val="16"/>
                <w:color w:val="auto"/>
              </w:rPr>
            </w:pPr>
          </w:p>
        </w:tc>
        <w:tc>
          <w:tcPr>
            <w:tcW w:w="320" w:type="dxa"/>
            <w:vAlign w:val="bottom"/>
          </w:tcPr>
          <w:p>
            <w:pPr>
              <w:jc w:val="right"/>
              <w:ind w:right="175"/>
              <w:spacing w:after="0"/>
              <w:rPr>
                <w:sz w:val="20"/>
                <w:szCs w:val="20"/>
                <w:color w:val="auto"/>
              </w:rPr>
            </w:pPr>
            <w:r>
              <w:rPr>
                <w:rFonts w:ascii="Arial" w:cs="Arial" w:eastAsia="Arial" w:hAnsi="Arial"/>
                <w:sz w:val="13"/>
                <w:szCs w:val="13"/>
                <w:color w:val="auto"/>
                <w:w w:val="82"/>
              </w:rPr>
              <w:t>$</w:t>
            </w:r>
          </w:p>
        </w:tc>
        <w:tc>
          <w:tcPr>
            <w:tcW w:w="1360" w:type="dxa"/>
            <w:vAlign w:val="bottom"/>
          </w:tcPr>
          <w:p>
            <w:pPr>
              <w:jc w:val="right"/>
              <w:ind w:right="37"/>
              <w:spacing w:after="0"/>
              <w:rPr>
                <w:sz w:val="20"/>
                <w:szCs w:val="20"/>
                <w:color w:val="auto"/>
              </w:rPr>
            </w:pPr>
            <w:r>
              <w:rPr>
                <w:rFonts w:ascii="Arial" w:cs="Arial" w:eastAsia="Arial" w:hAnsi="Arial"/>
                <w:sz w:val="13"/>
                <w:szCs w:val="13"/>
                <w:color w:val="auto"/>
              </w:rPr>
              <w:t>120</w:t>
            </w:r>
          </w:p>
        </w:tc>
        <w:tc>
          <w:tcPr>
            <w:tcW w:w="0" w:type="dxa"/>
            <w:vAlign w:val="bottom"/>
          </w:tcPr>
          <w:p>
            <w:pPr>
              <w:spacing w:after="0"/>
              <w:rPr>
                <w:sz w:val="1"/>
                <w:szCs w:val="1"/>
                <w:color w:val="auto"/>
              </w:rPr>
            </w:pPr>
          </w:p>
        </w:tc>
      </w:tr>
      <w:tr>
        <w:trPr>
          <w:trHeight w:val="27"/>
        </w:trPr>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April 26, 2018</w:t>
            </w:r>
          </w:p>
        </w:tc>
        <w:tc>
          <w:tcPr>
            <w:tcW w:w="2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May 17, 2018</w:t>
            </w:r>
          </w:p>
        </w:tc>
        <w:tc>
          <w:tcPr>
            <w:tcW w:w="2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June 14, 2018</w:t>
            </w:r>
          </w:p>
        </w:tc>
        <w:tc>
          <w:tcPr>
            <w:tcW w:w="114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3"/>
                <w:szCs w:val="13"/>
                <w:color w:val="auto"/>
              </w:rPr>
              <w:t>0.2775</w:t>
            </w:r>
          </w:p>
        </w:tc>
        <w:tc>
          <w:tcPr>
            <w:tcW w:w="1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120</w:t>
            </w:r>
          </w:p>
        </w:tc>
        <w:tc>
          <w:tcPr>
            <w:tcW w:w="0" w:type="dxa"/>
            <w:vAlign w:val="bottom"/>
          </w:tcPr>
          <w:p>
            <w:pPr>
              <w:spacing w:after="0"/>
              <w:rPr>
                <w:sz w:val="1"/>
                <w:szCs w:val="1"/>
                <w:color w:val="auto"/>
              </w:rPr>
            </w:pPr>
          </w:p>
        </w:tc>
      </w:tr>
      <w:tr>
        <w:trPr>
          <w:trHeight w:val="189"/>
        </w:trPr>
        <w:tc>
          <w:tcPr>
            <w:tcW w:w="2640" w:type="dxa"/>
            <w:vAlign w:val="bottom"/>
            <w:gridSpan w:val="2"/>
          </w:tcPr>
          <w:p>
            <w:pPr>
              <w:ind w:left="20"/>
              <w:spacing w:after="0"/>
              <w:rPr>
                <w:sz w:val="20"/>
                <w:szCs w:val="20"/>
                <w:color w:val="auto"/>
              </w:rPr>
            </w:pPr>
            <w:r>
              <w:rPr>
                <w:rFonts w:ascii="Arial" w:cs="Arial" w:eastAsia="Arial" w:hAnsi="Arial"/>
                <w:sz w:val="13"/>
                <w:szCs w:val="13"/>
                <w:color w:val="auto"/>
              </w:rPr>
              <w:t>July 26, 2018</w:t>
            </w:r>
          </w:p>
        </w:tc>
        <w:tc>
          <w:tcPr>
            <w:tcW w:w="2640" w:type="dxa"/>
            <w:vAlign w:val="bottom"/>
            <w:gridSpan w:val="2"/>
          </w:tcPr>
          <w:p>
            <w:pPr>
              <w:ind w:left="20"/>
              <w:spacing w:after="0"/>
              <w:rPr>
                <w:sz w:val="20"/>
                <w:szCs w:val="20"/>
                <w:color w:val="auto"/>
              </w:rPr>
            </w:pPr>
            <w:r>
              <w:rPr>
                <w:rFonts w:ascii="Arial" w:cs="Arial" w:eastAsia="Arial" w:hAnsi="Arial"/>
                <w:sz w:val="13"/>
                <w:szCs w:val="13"/>
                <w:color w:val="auto"/>
              </w:rPr>
              <w:t>August 16, 2018</w:t>
            </w:r>
          </w:p>
        </w:tc>
        <w:tc>
          <w:tcPr>
            <w:tcW w:w="2640" w:type="dxa"/>
            <w:vAlign w:val="bottom"/>
            <w:gridSpan w:val="2"/>
          </w:tcPr>
          <w:p>
            <w:pPr>
              <w:ind w:left="20"/>
              <w:spacing w:after="0"/>
              <w:rPr>
                <w:sz w:val="20"/>
                <w:szCs w:val="20"/>
                <w:color w:val="auto"/>
              </w:rPr>
            </w:pPr>
            <w:r>
              <w:rPr>
                <w:rFonts w:ascii="Arial" w:cs="Arial" w:eastAsia="Arial" w:hAnsi="Arial"/>
                <w:sz w:val="13"/>
                <w:szCs w:val="13"/>
                <w:color w:val="auto"/>
              </w:rPr>
              <w:t>September 13, 2018</w:t>
            </w:r>
          </w:p>
        </w:tc>
        <w:tc>
          <w:tcPr>
            <w:tcW w:w="1140" w:type="dxa"/>
            <w:vAlign w:val="bottom"/>
          </w:tcPr>
          <w:p>
            <w:pPr>
              <w:spacing w:after="0"/>
              <w:rPr>
                <w:sz w:val="16"/>
                <w:szCs w:val="16"/>
                <w:color w:val="auto"/>
              </w:rPr>
            </w:pPr>
          </w:p>
        </w:tc>
        <w:tc>
          <w:tcPr>
            <w:tcW w:w="560" w:type="dxa"/>
            <w:vAlign w:val="bottom"/>
          </w:tcPr>
          <w:p>
            <w:pPr>
              <w:jc w:val="right"/>
              <w:ind w:right="35"/>
              <w:spacing w:after="0"/>
              <w:rPr>
                <w:sz w:val="20"/>
                <w:szCs w:val="20"/>
                <w:color w:val="auto"/>
              </w:rPr>
            </w:pPr>
            <w:r>
              <w:rPr>
                <w:rFonts w:ascii="Arial" w:cs="Arial" w:eastAsia="Arial" w:hAnsi="Arial"/>
                <w:sz w:val="13"/>
                <w:szCs w:val="13"/>
                <w:color w:val="auto"/>
              </w:rPr>
              <w:t>0.2775</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60" w:type="dxa"/>
            <w:vAlign w:val="bottom"/>
          </w:tcPr>
          <w:p>
            <w:pPr>
              <w:jc w:val="right"/>
              <w:ind w:right="37"/>
              <w:spacing w:after="0"/>
              <w:rPr>
                <w:sz w:val="20"/>
                <w:szCs w:val="20"/>
                <w:color w:val="auto"/>
              </w:rPr>
            </w:pPr>
            <w:r>
              <w:rPr>
                <w:rFonts w:ascii="Arial" w:cs="Arial" w:eastAsia="Arial" w:hAnsi="Arial"/>
                <w:sz w:val="13"/>
                <w:szCs w:val="13"/>
                <w:color w:val="auto"/>
              </w:rPr>
              <w:t>120</w:t>
            </w:r>
          </w:p>
        </w:tc>
        <w:tc>
          <w:tcPr>
            <w:tcW w:w="0" w:type="dxa"/>
            <w:vAlign w:val="bottom"/>
          </w:tcPr>
          <w:p>
            <w:pPr>
              <w:spacing w:after="0"/>
              <w:rPr>
                <w:sz w:val="1"/>
                <w:szCs w:val="1"/>
                <w:color w:val="auto"/>
              </w:rPr>
            </w:pPr>
          </w:p>
        </w:tc>
      </w:tr>
      <w:tr>
        <w:trPr>
          <w:trHeight w:val="27"/>
        </w:trPr>
        <w:tc>
          <w:tcPr>
            <w:tcW w:w="25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5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5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26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3"/>
                <w:szCs w:val="13"/>
                <w:b w:val="1"/>
                <w:bCs w:val="1"/>
                <w:color w:val="auto"/>
                <w:w w:val="91"/>
              </w:rPr>
              <w:t>Total 2018</w:t>
            </w:r>
          </w:p>
        </w:tc>
        <w:tc>
          <w:tcPr>
            <w:tcW w:w="25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5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ind w:right="977"/>
              <w:spacing w:after="0"/>
              <w:rPr>
                <w:sz w:val="20"/>
                <w:szCs w:val="20"/>
                <w:color w:val="auto"/>
              </w:rPr>
            </w:pPr>
            <w:r>
              <w:rPr>
                <w:rFonts w:ascii="Arial" w:cs="Arial" w:eastAsia="Arial" w:hAnsi="Arial"/>
                <w:sz w:val="13"/>
                <w:szCs w:val="13"/>
                <w:color w:val="auto"/>
              </w:rPr>
              <w:t>$</w:t>
            </w:r>
          </w:p>
        </w:tc>
        <w:tc>
          <w:tcPr>
            <w:tcW w:w="5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3"/>
                <w:szCs w:val="13"/>
                <w:color w:val="auto"/>
              </w:rPr>
              <w:t>0.8325</w:t>
            </w:r>
          </w:p>
        </w:tc>
        <w:tc>
          <w:tcPr>
            <w:tcW w:w="1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75"/>
              <w:spacing w:after="0"/>
              <w:rPr>
                <w:sz w:val="20"/>
                <w:szCs w:val="20"/>
                <w:color w:val="auto"/>
              </w:rPr>
            </w:pPr>
            <w:r>
              <w:rPr>
                <w:rFonts w:ascii="Arial" w:cs="Arial" w:eastAsia="Arial" w:hAnsi="Arial"/>
                <w:sz w:val="13"/>
                <w:szCs w:val="13"/>
                <w:color w:val="auto"/>
                <w:w w:val="82"/>
              </w:rPr>
              <w:t>$</w:t>
            </w:r>
          </w:p>
        </w:tc>
        <w:tc>
          <w:tcPr>
            <w:tcW w:w="13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360</w:t>
            </w:r>
          </w:p>
        </w:tc>
        <w:tc>
          <w:tcPr>
            <w:tcW w:w="0" w:type="dxa"/>
            <w:vAlign w:val="bottom"/>
          </w:tcPr>
          <w:p>
            <w:pPr>
              <w:spacing w:after="0"/>
              <w:rPr>
                <w:sz w:val="1"/>
                <w:szCs w:val="1"/>
                <w:color w:val="auto"/>
              </w:rPr>
            </w:pPr>
          </w:p>
        </w:tc>
      </w:tr>
      <w:tr>
        <w:trPr>
          <w:trHeight w:val="20"/>
        </w:trPr>
        <w:tc>
          <w:tcPr>
            <w:tcW w:w="2520" w:type="dxa"/>
            <w:vAlign w:val="bottom"/>
          </w:tcPr>
          <w:p>
            <w:pPr>
              <w:spacing w:after="0" w:line="20" w:lineRule="exact"/>
              <w:rPr>
                <w:sz w:val="1"/>
                <w:szCs w:val="1"/>
                <w:color w:val="auto"/>
              </w:rPr>
            </w:pPr>
          </w:p>
        </w:tc>
        <w:tc>
          <w:tcPr>
            <w:tcW w:w="2640" w:type="dxa"/>
            <w:vAlign w:val="bottom"/>
            <w:gridSpan w:val="2"/>
          </w:tcPr>
          <w:p>
            <w:pPr>
              <w:spacing w:after="0" w:line="20" w:lineRule="exact"/>
              <w:rPr>
                <w:sz w:val="1"/>
                <w:szCs w:val="1"/>
                <w:color w:val="auto"/>
              </w:rPr>
            </w:pPr>
          </w:p>
        </w:tc>
        <w:tc>
          <w:tcPr>
            <w:tcW w:w="26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4"/>
        </w:trPr>
        <w:tc>
          <w:tcPr>
            <w:tcW w:w="9740" w:type="dxa"/>
            <w:vAlign w:val="bottom"/>
            <w:gridSpan w:val="9"/>
          </w:tcPr>
          <w:p>
            <w:pPr>
              <w:ind w:left="260"/>
              <w:spacing w:after="0"/>
              <w:rPr>
                <w:sz w:val="20"/>
                <w:szCs w:val="20"/>
                <w:color w:val="auto"/>
              </w:rPr>
            </w:pPr>
            <w:r>
              <w:rPr>
                <w:rFonts w:ascii="Arial" w:cs="Arial" w:eastAsia="Arial" w:hAnsi="Arial"/>
                <w:sz w:val="14"/>
                <w:szCs w:val="14"/>
                <w:color w:val="auto"/>
                <w:w w:val="93"/>
              </w:rPr>
              <w:t>CenterPoint Energy declared no dividends on its Series A Preferred Stock or Series B Preferred Stock during the three or nine months ended September 30, 2018.</w:t>
            </w:r>
          </w:p>
        </w:tc>
        <w:tc>
          <w:tcPr>
            <w:tcW w:w="3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9060" w:type="dxa"/>
            <w:vAlign w:val="bottom"/>
            <w:gridSpan w:val="7"/>
          </w:tcPr>
          <w:p>
            <w:pPr>
              <w:ind w:left="260"/>
              <w:spacing w:after="0"/>
              <w:rPr>
                <w:sz w:val="20"/>
                <w:szCs w:val="20"/>
                <w:color w:val="auto"/>
              </w:rPr>
            </w:pPr>
            <w:r>
              <w:rPr>
                <w:rFonts w:ascii="Arial" w:cs="Arial" w:eastAsia="Arial" w:hAnsi="Arial"/>
                <w:sz w:val="14"/>
                <w:szCs w:val="14"/>
                <w:color w:val="auto"/>
                <w:w w:val="94"/>
              </w:rPr>
              <w:t>CenterPoint Energy paid dividends on its Series A Preferred Stock during the nine months ended September 30, 2019 as presented in the table below:</w:t>
            </w: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252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4"/>
              </w:rPr>
              <w:t>Declaration Date</w:t>
            </w:r>
          </w:p>
        </w:tc>
        <w:tc>
          <w:tcPr>
            <w:tcW w:w="120" w:type="dxa"/>
            <w:vAlign w:val="bottom"/>
            <w:vMerge w:val="restart"/>
          </w:tcPr>
          <w:p>
            <w:pPr>
              <w:spacing w:after="0"/>
              <w:rPr>
                <w:sz w:val="20"/>
                <w:szCs w:val="20"/>
                <w:color w:val="auto"/>
              </w:rPr>
            </w:pPr>
          </w:p>
        </w:tc>
        <w:tc>
          <w:tcPr>
            <w:tcW w:w="2520" w:type="dxa"/>
            <w:vAlign w:val="bottom"/>
            <w:vMerge w:val="restart"/>
          </w:tcPr>
          <w:p>
            <w:pPr>
              <w:ind w:left="960"/>
              <w:spacing w:after="0"/>
              <w:rPr>
                <w:sz w:val="20"/>
                <w:szCs w:val="20"/>
                <w:color w:val="auto"/>
              </w:rPr>
            </w:pPr>
            <w:r>
              <w:rPr>
                <w:rFonts w:ascii="Arial" w:cs="Arial" w:eastAsia="Arial" w:hAnsi="Arial"/>
                <w:sz w:val="11"/>
                <w:szCs w:val="11"/>
                <w:b w:val="1"/>
                <w:bCs w:val="1"/>
                <w:color w:val="auto"/>
              </w:rPr>
              <w:t>Record Date</w:t>
            </w:r>
          </w:p>
        </w:tc>
        <w:tc>
          <w:tcPr>
            <w:tcW w:w="120" w:type="dxa"/>
            <w:vAlign w:val="bottom"/>
            <w:vMerge w:val="restart"/>
          </w:tcPr>
          <w:p>
            <w:pPr>
              <w:spacing w:after="0"/>
              <w:rPr>
                <w:sz w:val="20"/>
                <w:szCs w:val="20"/>
                <w:color w:val="auto"/>
              </w:rPr>
            </w:pPr>
          </w:p>
        </w:tc>
        <w:tc>
          <w:tcPr>
            <w:tcW w:w="2520" w:type="dxa"/>
            <w:vAlign w:val="bottom"/>
            <w:vMerge w:val="restart"/>
          </w:tcPr>
          <w:p>
            <w:pPr>
              <w:ind w:left="920"/>
              <w:spacing w:after="0"/>
              <w:rPr>
                <w:sz w:val="20"/>
                <w:szCs w:val="20"/>
                <w:color w:val="auto"/>
              </w:rPr>
            </w:pPr>
            <w:r>
              <w:rPr>
                <w:rFonts w:ascii="Arial" w:cs="Arial" w:eastAsia="Arial" w:hAnsi="Arial"/>
                <w:sz w:val="11"/>
                <w:szCs w:val="11"/>
                <w:b w:val="1"/>
                <w:bCs w:val="1"/>
                <w:color w:val="auto"/>
              </w:rPr>
              <w:t>Payment Date</w:t>
            </w:r>
          </w:p>
        </w:tc>
        <w:tc>
          <w:tcPr>
            <w:tcW w:w="120" w:type="dxa"/>
            <w:vAlign w:val="bottom"/>
            <w:vMerge w:val="restart"/>
          </w:tcPr>
          <w:p>
            <w:pPr>
              <w:spacing w:after="0"/>
              <w:rPr>
                <w:sz w:val="20"/>
                <w:szCs w:val="20"/>
                <w:color w:val="auto"/>
              </w:rPr>
            </w:pPr>
          </w:p>
        </w:tc>
        <w:tc>
          <w:tcPr>
            <w:tcW w:w="114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Per Share</w:t>
            </w: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60" w:type="dxa"/>
            <w:vAlign w:val="bottom"/>
          </w:tcPr>
          <w:p>
            <w:pPr>
              <w:jc w:val="center"/>
              <w:ind w:right="257"/>
              <w:spacing w:after="0"/>
              <w:rPr>
                <w:sz w:val="20"/>
                <w:szCs w:val="20"/>
                <w:color w:val="auto"/>
              </w:rPr>
            </w:pPr>
            <w:r>
              <w:rPr>
                <w:rFonts w:ascii="Arial" w:cs="Arial" w:eastAsia="Arial" w:hAnsi="Arial"/>
                <w:sz w:val="11"/>
                <w:szCs w:val="11"/>
                <w:b w:val="1"/>
                <w:bCs w:val="1"/>
                <w:color w:val="auto"/>
                <w:w w:val="91"/>
              </w:rPr>
              <w:t>Total</w:t>
            </w:r>
          </w:p>
        </w:tc>
        <w:tc>
          <w:tcPr>
            <w:tcW w:w="0" w:type="dxa"/>
            <w:vAlign w:val="bottom"/>
          </w:tcPr>
          <w:p>
            <w:pPr>
              <w:spacing w:after="0"/>
              <w:rPr>
                <w:sz w:val="1"/>
                <w:szCs w:val="1"/>
                <w:color w:val="auto"/>
              </w:rPr>
            </w:pPr>
          </w:p>
        </w:tc>
      </w:tr>
      <w:tr>
        <w:trPr>
          <w:trHeight w:val="153"/>
        </w:trPr>
        <w:tc>
          <w:tcPr>
            <w:tcW w:w="2520" w:type="dxa"/>
            <w:vAlign w:val="bottom"/>
            <w:tcBorders>
              <w:bottom w:val="single" w:sz="8" w:color="auto"/>
            </w:tcBorders>
            <w:vMerge w:val="continue"/>
          </w:tcPr>
          <w:p>
            <w:pPr>
              <w:spacing w:after="0"/>
              <w:rPr>
                <w:sz w:val="13"/>
                <w:szCs w:val="13"/>
                <w:color w:val="auto"/>
              </w:rPr>
            </w:pPr>
          </w:p>
        </w:tc>
        <w:tc>
          <w:tcPr>
            <w:tcW w:w="120" w:type="dxa"/>
            <w:vAlign w:val="bottom"/>
            <w:tcBorders>
              <w:bottom w:val="single" w:sz="8" w:color="CCEEFF"/>
            </w:tcBorders>
            <w:vMerge w:val="continue"/>
          </w:tcPr>
          <w:p>
            <w:pPr>
              <w:spacing w:after="0"/>
              <w:rPr>
                <w:sz w:val="13"/>
                <w:szCs w:val="13"/>
                <w:color w:val="auto"/>
              </w:rPr>
            </w:pPr>
          </w:p>
        </w:tc>
        <w:tc>
          <w:tcPr>
            <w:tcW w:w="2520" w:type="dxa"/>
            <w:vAlign w:val="bottom"/>
            <w:tcBorders>
              <w:bottom w:val="single" w:sz="8" w:color="auto"/>
            </w:tcBorders>
            <w:vMerge w:val="continue"/>
          </w:tcPr>
          <w:p>
            <w:pPr>
              <w:spacing w:after="0"/>
              <w:rPr>
                <w:sz w:val="13"/>
                <w:szCs w:val="13"/>
                <w:color w:val="auto"/>
              </w:rPr>
            </w:pPr>
          </w:p>
        </w:tc>
        <w:tc>
          <w:tcPr>
            <w:tcW w:w="120" w:type="dxa"/>
            <w:vAlign w:val="bottom"/>
            <w:tcBorders>
              <w:bottom w:val="single" w:sz="8" w:color="CCEEFF"/>
            </w:tcBorders>
            <w:vMerge w:val="continue"/>
          </w:tcPr>
          <w:p>
            <w:pPr>
              <w:spacing w:after="0"/>
              <w:rPr>
                <w:sz w:val="13"/>
                <w:szCs w:val="13"/>
                <w:color w:val="auto"/>
              </w:rPr>
            </w:pPr>
          </w:p>
        </w:tc>
        <w:tc>
          <w:tcPr>
            <w:tcW w:w="2520" w:type="dxa"/>
            <w:vAlign w:val="bottom"/>
            <w:tcBorders>
              <w:bottom w:val="single" w:sz="8" w:color="auto"/>
            </w:tcBorders>
            <w:vMerge w:val="continue"/>
          </w:tcPr>
          <w:p>
            <w:pPr>
              <w:spacing w:after="0"/>
              <w:rPr>
                <w:sz w:val="13"/>
                <w:szCs w:val="13"/>
                <w:color w:val="auto"/>
              </w:rPr>
            </w:pPr>
          </w:p>
        </w:tc>
        <w:tc>
          <w:tcPr>
            <w:tcW w:w="120" w:type="dxa"/>
            <w:vAlign w:val="bottom"/>
            <w:tcBorders>
              <w:bottom w:val="single" w:sz="8" w:color="CCEEFF"/>
            </w:tcBorders>
            <w:vMerge w:val="continue"/>
          </w:tcPr>
          <w:p>
            <w:pPr>
              <w:spacing w:after="0"/>
              <w:rPr>
                <w:sz w:val="13"/>
                <w:szCs w:val="13"/>
                <w:color w:val="auto"/>
              </w:rPr>
            </w:pPr>
          </w:p>
        </w:tc>
        <w:tc>
          <w:tcPr>
            <w:tcW w:w="1140" w:type="dxa"/>
            <w:vAlign w:val="bottom"/>
            <w:tcBorders>
              <w:bottom w:val="single" w:sz="8" w:color="auto"/>
            </w:tcBorders>
            <w:vMerge w:val="continue"/>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center"/>
              <w:ind w:right="257"/>
              <w:spacing w:after="0"/>
              <w:rPr>
                <w:sz w:val="20"/>
                <w:szCs w:val="20"/>
                <w:color w:val="auto"/>
              </w:rPr>
            </w:pPr>
            <w:r>
              <w:rPr>
                <w:rFonts w:ascii="Arial" w:cs="Arial" w:eastAsia="Arial" w:hAnsi="Arial"/>
                <w:sz w:val="11"/>
                <w:szCs w:val="11"/>
                <w:b w:val="1"/>
                <w:bCs w:val="1"/>
                <w:color w:val="auto"/>
                <w:w w:val="97"/>
              </w:rPr>
              <w:t>(in millions)</w:t>
            </w:r>
          </w:p>
        </w:tc>
        <w:tc>
          <w:tcPr>
            <w:tcW w:w="0" w:type="dxa"/>
            <w:vAlign w:val="bottom"/>
          </w:tcPr>
          <w:p>
            <w:pPr>
              <w:spacing w:after="0"/>
              <w:rPr>
                <w:sz w:val="1"/>
                <w:szCs w:val="1"/>
                <w:color w:val="auto"/>
              </w:rPr>
            </w:pPr>
          </w:p>
        </w:tc>
      </w:tr>
      <w:tr>
        <w:trPr>
          <w:trHeight w:val="180"/>
        </w:trPr>
        <w:tc>
          <w:tcPr>
            <w:tcW w:w="2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December 12, 2018</w:t>
            </w:r>
          </w:p>
        </w:tc>
        <w:tc>
          <w:tcPr>
            <w:tcW w:w="2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February 15, 2019</w:t>
            </w:r>
          </w:p>
        </w:tc>
        <w:tc>
          <w:tcPr>
            <w:tcW w:w="2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March 1, 2019</w:t>
            </w:r>
          </w:p>
        </w:tc>
        <w:tc>
          <w:tcPr>
            <w:tcW w:w="1140" w:type="dxa"/>
            <w:vAlign w:val="bottom"/>
            <w:tcBorders>
              <w:bottom w:val="single" w:sz="8" w:color="CCEEFF"/>
            </w:tcBorders>
            <w:shd w:val="clear" w:color="auto" w:fill="CCEEFF"/>
          </w:tcPr>
          <w:p>
            <w:pPr>
              <w:jc w:val="right"/>
              <w:ind w:right="977"/>
              <w:spacing w:after="0"/>
              <w:rPr>
                <w:sz w:val="20"/>
                <w:szCs w:val="20"/>
                <w:color w:val="auto"/>
              </w:rPr>
            </w:pPr>
            <w:r>
              <w:rPr>
                <w:rFonts w:ascii="Arial" w:cs="Arial" w:eastAsia="Arial" w:hAnsi="Arial"/>
                <w:sz w:val="13"/>
                <w:szCs w:val="13"/>
                <w:color w:val="auto"/>
              </w:rPr>
              <w:t>$</w:t>
            </w:r>
          </w:p>
        </w:tc>
        <w:tc>
          <w:tcPr>
            <w:tcW w:w="5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3"/>
                <w:szCs w:val="13"/>
                <w:color w:val="auto"/>
                <w:w w:val="93"/>
              </w:rPr>
              <w:t>32.1563</w:t>
            </w:r>
          </w:p>
        </w:tc>
        <w:tc>
          <w:tcPr>
            <w:tcW w:w="12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jc w:val="right"/>
              <w:ind w:right="175"/>
              <w:spacing w:after="0"/>
              <w:rPr>
                <w:sz w:val="20"/>
                <w:szCs w:val="20"/>
                <w:color w:val="auto"/>
              </w:rPr>
            </w:pPr>
            <w:r>
              <w:rPr>
                <w:rFonts w:ascii="Arial" w:cs="Arial" w:eastAsia="Arial" w:hAnsi="Arial"/>
                <w:sz w:val="13"/>
                <w:szCs w:val="13"/>
                <w:color w:val="auto"/>
                <w:w w:val="82"/>
              </w:rPr>
              <w:t>$</w:t>
            </w:r>
          </w:p>
        </w:tc>
        <w:tc>
          <w:tcPr>
            <w:tcW w:w="13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26</w:t>
            </w:r>
          </w:p>
        </w:tc>
        <w:tc>
          <w:tcPr>
            <w:tcW w:w="0" w:type="dxa"/>
            <w:vAlign w:val="bottom"/>
          </w:tcPr>
          <w:p>
            <w:pPr>
              <w:spacing w:after="0"/>
              <w:rPr>
                <w:sz w:val="1"/>
                <w:szCs w:val="1"/>
                <w:color w:val="auto"/>
              </w:rPr>
            </w:pPr>
          </w:p>
        </w:tc>
      </w:tr>
      <w:tr>
        <w:trPr>
          <w:trHeight w:val="189"/>
        </w:trPr>
        <w:tc>
          <w:tcPr>
            <w:tcW w:w="2640" w:type="dxa"/>
            <w:vAlign w:val="bottom"/>
            <w:gridSpan w:val="2"/>
          </w:tcPr>
          <w:p>
            <w:pPr>
              <w:ind w:left="20"/>
              <w:spacing w:after="0"/>
              <w:rPr>
                <w:sz w:val="20"/>
                <w:szCs w:val="20"/>
                <w:color w:val="auto"/>
              </w:rPr>
            </w:pPr>
            <w:r>
              <w:rPr>
                <w:rFonts w:ascii="Arial" w:cs="Arial" w:eastAsia="Arial" w:hAnsi="Arial"/>
                <w:sz w:val="13"/>
                <w:szCs w:val="13"/>
                <w:color w:val="auto"/>
              </w:rPr>
              <w:t>July 31, 2019</w:t>
            </w:r>
          </w:p>
        </w:tc>
        <w:tc>
          <w:tcPr>
            <w:tcW w:w="2640" w:type="dxa"/>
            <w:vAlign w:val="bottom"/>
            <w:gridSpan w:val="2"/>
          </w:tcPr>
          <w:p>
            <w:pPr>
              <w:ind w:left="20"/>
              <w:spacing w:after="0"/>
              <w:rPr>
                <w:sz w:val="20"/>
                <w:szCs w:val="20"/>
                <w:color w:val="auto"/>
              </w:rPr>
            </w:pPr>
            <w:r>
              <w:rPr>
                <w:rFonts w:ascii="Arial" w:cs="Arial" w:eastAsia="Arial" w:hAnsi="Arial"/>
                <w:sz w:val="13"/>
                <w:szCs w:val="13"/>
                <w:color w:val="auto"/>
              </w:rPr>
              <w:t>August 15, 2019</w:t>
            </w:r>
          </w:p>
        </w:tc>
        <w:tc>
          <w:tcPr>
            <w:tcW w:w="2640" w:type="dxa"/>
            <w:vAlign w:val="bottom"/>
            <w:gridSpan w:val="2"/>
          </w:tcPr>
          <w:p>
            <w:pPr>
              <w:ind w:left="20"/>
              <w:spacing w:after="0"/>
              <w:rPr>
                <w:sz w:val="20"/>
                <w:szCs w:val="20"/>
                <w:color w:val="auto"/>
              </w:rPr>
            </w:pPr>
            <w:r>
              <w:rPr>
                <w:rFonts w:ascii="Arial" w:cs="Arial" w:eastAsia="Arial" w:hAnsi="Arial"/>
                <w:sz w:val="13"/>
                <w:szCs w:val="13"/>
                <w:color w:val="auto"/>
              </w:rPr>
              <w:t>September 3, 2019</w:t>
            </w:r>
          </w:p>
        </w:tc>
        <w:tc>
          <w:tcPr>
            <w:tcW w:w="1140" w:type="dxa"/>
            <w:vAlign w:val="bottom"/>
          </w:tcPr>
          <w:p>
            <w:pPr>
              <w:spacing w:after="0"/>
              <w:rPr>
                <w:sz w:val="16"/>
                <w:szCs w:val="16"/>
                <w:color w:val="auto"/>
              </w:rPr>
            </w:pPr>
          </w:p>
        </w:tc>
        <w:tc>
          <w:tcPr>
            <w:tcW w:w="560" w:type="dxa"/>
            <w:vAlign w:val="bottom"/>
          </w:tcPr>
          <w:p>
            <w:pPr>
              <w:jc w:val="right"/>
              <w:ind w:right="35"/>
              <w:spacing w:after="0"/>
              <w:rPr>
                <w:sz w:val="20"/>
                <w:szCs w:val="20"/>
                <w:color w:val="auto"/>
              </w:rPr>
            </w:pPr>
            <w:r>
              <w:rPr>
                <w:rFonts w:ascii="Arial" w:cs="Arial" w:eastAsia="Arial" w:hAnsi="Arial"/>
                <w:sz w:val="13"/>
                <w:szCs w:val="13"/>
                <w:color w:val="auto"/>
                <w:w w:val="93"/>
              </w:rPr>
              <w:t>30.6250</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60" w:type="dxa"/>
            <w:vAlign w:val="bottom"/>
          </w:tcPr>
          <w:p>
            <w:pPr>
              <w:jc w:val="right"/>
              <w:ind w:right="37"/>
              <w:spacing w:after="0"/>
              <w:rPr>
                <w:sz w:val="20"/>
                <w:szCs w:val="20"/>
                <w:color w:val="auto"/>
              </w:rPr>
            </w:pPr>
            <w:r>
              <w:rPr>
                <w:rFonts w:ascii="Arial" w:cs="Arial" w:eastAsia="Arial" w:hAnsi="Arial"/>
                <w:sz w:val="13"/>
                <w:szCs w:val="13"/>
                <w:color w:val="auto"/>
              </w:rPr>
              <w:t>24</w:t>
            </w:r>
          </w:p>
        </w:tc>
        <w:tc>
          <w:tcPr>
            <w:tcW w:w="0" w:type="dxa"/>
            <w:vAlign w:val="bottom"/>
          </w:tcPr>
          <w:p>
            <w:pPr>
              <w:spacing w:after="0"/>
              <w:rPr>
                <w:sz w:val="1"/>
                <w:szCs w:val="1"/>
                <w:color w:val="auto"/>
              </w:rPr>
            </w:pPr>
          </w:p>
        </w:tc>
      </w:tr>
      <w:tr>
        <w:trPr>
          <w:trHeight w:val="27"/>
        </w:trPr>
        <w:tc>
          <w:tcPr>
            <w:tcW w:w="2640" w:type="dxa"/>
            <w:vAlign w:val="bottom"/>
            <w:tcBorders>
              <w:bottom w:val="single" w:sz="8" w:color="CCEEFF"/>
            </w:tcBorders>
            <w:gridSpan w:val="2"/>
          </w:tcPr>
          <w:p>
            <w:pPr>
              <w:spacing w:after="0"/>
              <w:rPr>
                <w:sz w:val="2"/>
                <w:szCs w:val="2"/>
                <w:color w:val="auto"/>
              </w:rPr>
            </w:pPr>
          </w:p>
        </w:tc>
        <w:tc>
          <w:tcPr>
            <w:tcW w:w="25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5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26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3"/>
                <w:szCs w:val="13"/>
                <w:b w:val="1"/>
                <w:bCs w:val="1"/>
                <w:color w:val="auto"/>
                <w:w w:val="91"/>
              </w:rPr>
              <w:t>Total 2019</w:t>
            </w:r>
          </w:p>
        </w:tc>
        <w:tc>
          <w:tcPr>
            <w:tcW w:w="25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5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ind w:right="977"/>
              <w:spacing w:after="0"/>
              <w:rPr>
                <w:sz w:val="20"/>
                <w:szCs w:val="20"/>
                <w:color w:val="auto"/>
              </w:rPr>
            </w:pPr>
            <w:r>
              <w:rPr>
                <w:rFonts w:ascii="Arial" w:cs="Arial" w:eastAsia="Arial" w:hAnsi="Arial"/>
                <w:sz w:val="13"/>
                <w:szCs w:val="13"/>
                <w:color w:val="auto"/>
              </w:rPr>
              <w:t>$</w:t>
            </w:r>
          </w:p>
        </w:tc>
        <w:tc>
          <w:tcPr>
            <w:tcW w:w="5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3"/>
                <w:szCs w:val="13"/>
                <w:color w:val="auto"/>
                <w:w w:val="93"/>
              </w:rPr>
              <w:t>62.7813</w:t>
            </w:r>
          </w:p>
        </w:tc>
        <w:tc>
          <w:tcPr>
            <w:tcW w:w="1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75"/>
              <w:spacing w:after="0"/>
              <w:rPr>
                <w:sz w:val="20"/>
                <w:szCs w:val="20"/>
                <w:color w:val="auto"/>
              </w:rPr>
            </w:pPr>
            <w:r>
              <w:rPr>
                <w:rFonts w:ascii="Arial" w:cs="Arial" w:eastAsia="Arial" w:hAnsi="Arial"/>
                <w:sz w:val="13"/>
                <w:szCs w:val="13"/>
                <w:color w:val="auto"/>
                <w:w w:val="82"/>
              </w:rPr>
              <w:t>$</w:t>
            </w:r>
          </w:p>
        </w:tc>
        <w:tc>
          <w:tcPr>
            <w:tcW w:w="13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50</w:t>
            </w:r>
          </w:p>
        </w:tc>
        <w:tc>
          <w:tcPr>
            <w:tcW w:w="0" w:type="dxa"/>
            <w:vAlign w:val="bottom"/>
          </w:tcPr>
          <w:p>
            <w:pPr>
              <w:spacing w:after="0"/>
              <w:rPr>
                <w:sz w:val="1"/>
                <w:szCs w:val="1"/>
                <w:color w:val="auto"/>
              </w:rPr>
            </w:pPr>
          </w:p>
        </w:tc>
      </w:tr>
      <w:tr>
        <w:trPr>
          <w:trHeight w:val="20"/>
        </w:trPr>
        <w:tc>
          <w:tcPr>
            <w:tcW w:w="2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20" w:type="dxa"/>
            <w:vAlign w:val="bottom"/>
            <w:vMerge w:val="restart"/>
          </w:tcPr>
          <w:p>
            <w:pPr>
              <w:ind w:left="380"/>
              <w:spacing w:after="0"/>
              <w:rPr>
                <w:sz w:val="20"/>
                <w:szCs w:val="20"/>
                <w:color w:val="auto"/>
              </w:rPr>
            </w:pPr>
            <w:r>
              <w:rPr>
                <w:rFonts w:ascii="Arial" w:cs="Arial" w:eastAsia="Arial" w:hAnsi="Arial"/>
                <w:sz w:val="14"/>
                <w:szCs w:val="14"/>
                <w:color w:val="auto"/>
              </w:rPr>
              <w:t>63</w:t>
            </w: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8"/>
        </w:trPr>
        <w:tc>
          <w:tcPr>
            <w:tcW w:w="2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20" w:top="129" w:right="219" w:bottom="1440" w:gutter="0" w:footer="0" w:header="0"/>
        </w:sectPr>
      </w:pPr>
    </w:p>
    <w:bookmarkStart w:id="73" w:name="page74"/>
    <w:bookmarkEnd w:id="73"/>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205" w:lineRule="exact"/>
        <w:rPr>
          <w:sz w:val="20"/>
          <w:szCs w:val="20"/>
          <w:color w:val="auto"/>
        </w:rPr>
      </w:pPr>
    </w:p>
    <w:p>
      <w:pPr>
        <w:ind w:left="260"/>
        <w:spacing w:after="0"/>
        <w:rPr>
          <w:sz w:val="20"/>
          <w:szCs w:val="20"/>
          <w:color w:val="auto"/>
        </w:rPr>
      </w:pPr>
      <w:r>
        <w:rPr>
          <w:rFonts w:ascii="Arial" w:cs="Arial" w:eastAsia="Arial" w:hAnsi="Arial"/>
          <w:sz w:val="14"/>
          <w:szCs w:val="14"/>
          <w:color w:val="auto"/>
        </w:rPr>
        <w:t>CenterPoint Energy paid dividends on its Series B Preferred Stock during the nine months ended September 30, 2019 as presented in the table below:</w:t>
      </w:r>
    </w:p>
    <w:p>
      <w:pPr>
        <w:spacing w:after="0" w:line="126" w:lineRule="exact"/>
        <w:rPr>
          <w:sz w:val="20"/>
          <w:szCs w:val="20"/>
          <w:color w:val="auto"/>
        </w:rPr>
      </w:pPr>
    </w:p>
    <w:tbl>
      <w:tblPr>
        <w:tblLayout w:type="fixed"/>
        <w:tblInd w:w="40" w:type="dxa"/>
        <w:tblCellMar>
          <w:top w:w="0" w:type="dxa"/>
          <w:left w:w="0" w:type="dxa"/>
          <w:bottom w:w="0" w:type="dxa"/>
          <w:right w:w="0" w:type="dxa"/>
        </w:tblCellMar>
      </w:tblPr>
      <w:tr>
        <w:trPr>
          <w:trHeight w:val="126"/>
        </w:trPr>
        <w:tc>
          <w:tcPr>
            <w:tcW w:w="240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6"/>
              </w:rPr>
              <w:t>Declaration Date</w:t>
            </w:r>
          </w:p>
        </w:tc>
        <w:tc>
          <w:tcPr>
            <w:tcW w:w="120" w:type="dxa"/>
            <w:vAlign w:val="bottom"/>
            <w:vMerge w:val="restart"/>
          </w:tcPr>
          <w:p>
            <w:pPr>
              <w:spacing w:after="0"/>
              <w:rPr>
                <w:sz w:val="10"/>
                <w:szCs w:val="10"/>
                <w:color w:val="auto"/>
              </w:rPr>
            </w:pPr>
          </w:p>
        </w:tc>
        <w:tc>
          <w:tcPr>
            <w:tcW w:w="2620" w:type="dxa"/>
            <w:vAlign w:val="bottom"/>
            <w:vMerge w:val="restart"/>
          </w:tcPr>
          <w:p>
            <w:pPr>
              <w:ind w:left="1000"/>
              <w:spacing w:after="0"/>
              <w:rPr>
                <w:sz w:val="20"/>
                <w:szCs w:val="20"/>
                <w:color w:val="auto"/>
              </w:rPr>
            </w:pPr>
            <w:r>
              <w:rPr>
                <w:rFonts w:ascii="Arial" w:cs="Arial" w:eastAsia="Arial" w:hAnsi="Arial"/>
                <w:sz w:val="11"/>
                <w:szCs w:val="11"/>
                <w:b w:val="1"/>
                <w:bCs w:val="1"/>
                <w:color w:val="auto"/>
              </w:rPr>
              <w:t>Record Date</w:t>
            </w:r>
          </w:p>
        </w:tc>
        <w:tc>
          <w:tcPr>
            <w:tcW w:w="120" w:type="dxa"/>
            <w:vAlign w:val="bottom"/>
            <w:vMerge w:val="restart"/>
          </w:tcPr>
          <w:p>
            <w:pPr>
              <w:spacing w:after="0"/>
              <w:rPr>
                <w:sz w:val="10"/>
                <w:szCs w:val="10"/>
                <w:color w:val="auto"/>
              </w:rPr>
            </w:pPr>
          </w:p>
        </w:tc>
        <w:tc>
          <w:tcPr>
            <w:tcW w:w="2500" w:type="dxa"/>
            <w:vAlign w:val="bottom"/>
            <w:vMerge w:val="restart"/>
          </w:tcPr>
          <w:p>
            <w:pPr>
              <w:ind w:left="900"/>
              <w:spacing w:after="0"/>
              <w:rPr>
                <w:sz w:val="20"/>
                <w:szCs w:val="20"/>
                <w:color w:val="auto"/>
              </w:rPr>
            </w:pPr>
            <w:r>
              <w:rPr>
                <w:rFonts w:ascii="Arial" w:cs="Arial" w:eastAsia="Arial" w:hAnsi="Arial"/>
                <w:sz w:val="11"/>
                <w:szCs w:val="11"/>
                <w:b w:val="1"/>
                <w:bCs w:val="1"/>
                <w:color w:val="auto"/>
              </w:rPr>
              <w:t>Payment Date</w:t>
            </w:r>
          </w:p>
        </w:tc>
        <w:tc>
          <w:tcPr>
            <w:tcW w:w="120" w:type="dxa"/>
            <w:vAlign w:val="bottom"/>
            <w:vMerge w:val="restart"/>
          </w:tcPr>
          <w:p>
            <w:pPr>
              <w:spacing w:after="0"/>
              <w:rPr>
                <w:sz w:val="10"/>
                <w:szCs w:val="10"/>
                <w:color w:val="auto"/>
              </w:rPr>
            </w:pPr>
          </w:p>
        </w:tc>
        <w:tc>
          <w:tcPr>
            <w:tcW w:w="340" w:type="dxa"/>
            <w:vAlign w:val="bottom"/>
          </w:tcPr>
          <w:p>
            <w:pPr>
              <w:spacing w:after="0"/>
              <w:rPr>
                <w:sz w:val="10"/>
                <w:szCs w:val="10"/>
                <w:color w:val="auto"/>
              </w:rPr>
            </w:pPr>
          </w:p>
        </w:tc>
        <w:tc>
          <w:tcPr>
            <w:tcW w:w="1360" w:type="dxa"/>
            <w:vAlign w:val="bottom"/>
            <w:vMerge w:val="restart"/>
          </w:tcPr>
          <w:p>
            <w:pPr>
              <w:jc w:val="right"/>
              <w:ind w:right="537"/>
              <w:spacing w:after="0"/>
              <w:rPr>
                <w:sz w:val="20"/>
                <w:szCs w:val="20"/>
                <w:color w:val="auto"/>
              </w:rPr>
            </w:pPr>
            <w:r>
              <w:rPr>
                <w:rFonts w:ascii="Arial" w:cs="Arial" w:eastAsia="Arial" w:hAnsi="Arial"/>
                <w:sz w:val="11"/>
                <w:szCs w:val="11"/>
                <w:b w:val="1"/>
                <w:bCs w:val="1"/>
                <w:color w:val="auto"/>
              </w:rPr>
              <w:t>Per Share</w:t>
            </w:r>
          </w:p>
        </w:tc>
        <w:tc>
          <w:tcPr>
            <w:tcW w:w="120" w:type="dxa"/>
            <w:vAlign w:val="bottom"/>
            <w:vMerge w:val="restart"/>
          </w:tcPr>
          <w:p>
            <w:pPr>
              <w:spacing w:after="0"/>
              <w:rPr>
                <w:sz w:val="10"/>
                <w:szCs w:val="10"/>
                <w:color w:val="auto"/>
              </w:rPr>
            </w:pPr>
          </w:p>
        </w:tc>
        <w:tc>
          <w:tcPr>
            <w:tcW w:w="320" w:type="dxa"/>
            <w:vAlign w:val="bottom"/>
          </w:tcPr>
          <w:p>
            <w:pPr>
              <w:spacing w:after="0"/>
              <w:rPr>
                <w:sz w:val="10"/>
                <w:szCs w:val="10"/>
                <w:color w:val="auto"/>
              </w:rPr>
            </w:pPr>
          </w:p>
        </w:tc>
        <w:tc>
          <w:tcPr>
            <w:tcW w:w="1360" w:type="dxa"/>
            <w:vAlign w:val="bottom"/>
          </w:tcPr>
          <w:p>
            <w:pPr>
              <w:jc w:val="right"/>
              <w:ind w:right="658"/>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53"/>
        </w:trPr>
        <w:tc>
          <w:tcPr>
            <w:tcW w:w="2400" w:type="dxa"/>
            <w:vAlign w:val="bottom"/>
            <w:tcBorders>
              <w:bottom w:val="single" w:sz="8" w:color="auto"/>
            </w:tcBorders>
            <w:vMerge w:val="continue"/>
          </w:tcPr>
          <w:p>
            <w:pPr>
              <w:spacing w:after="0"/>
              <w:rPr>
                <w:sz w:val="13"/>
                <w:szCs w:val="13"/>
                <w:color w:val="auto"/>
              </w:rPr>
            </w:pPr>
          </w:p>
        </w:tc>
        <w:tc>
          <w:tcPr>
            <w:tcW w:w="120" w:type="dxa"/>
            <w:vAlign w:val="bottom"/>
            <w:tcBorders>
              <w:bottom w:val="single" w:sz="8" w:color="CCEEFF"/>
            </w:tcBorders>
            <w:vMerge w:val="continue"/>
          </w:tcPr>
          <w:p>
            <w:pPr>
              <w:spacing w:after="0"/>
              <w:rPr>
                <w:sz w:val="13"/>
                <w:szCs w:val="13"/>
                <w:color w:val="auto"/>
              </w:rPr>
            </w:pPr>
          </w:p>
        </w:tc>
        <w:tc>
          <w:tcPr>
            <w:tcW w:w="2620" w:type="dxa"/>
            <w:vAlign w:val="bottom"/>
            <w:tcBorders>
              <w:bottom w:val="single" w:sz="8" w:color="auto"/>
            </w:tcBorders>
            <w:vMerge w:val="continue"/>
          </w:tcPr>
          <w:p>
            <w:pPr>
              <w:spacing w:after="0"/>
              <w:rPr>
                <w:sz w:val="13"/>
                <w:szCs w:val="13"/>
                <w:color w:val="auto"/>
              </w:rPr>
            </w:pPr>
          </w:p>
        </w:tc>
        <w:tc>
          <w:tcPr>
            <w:tcW w:w="120" w:type="dxa"/>
            <w:vAlign w:val="bottom"/>
            <w:tcBorders>
              <w:bottom w:val="single" w:sz="8" w:color="CCEEFF"/>
            </w:tcBorders>
            <w:vMerge w:val="continue"/>
          </w:tcPr>
          <w:p>
            <w:pPr>
              <w:spacing w:after="0"/>
              <w:rPr>
                <w:sz w:val="13"/>
                <w:szCs w:val="13"/>
                <w:color w:val="auto"/>
              </w:rPr>
            </w:pPr>
          </w:p>
        </w:tc>
        <w:tc>
          <w:tcPr>
            <w:tcW w:w="2500" w:type="dxa"/>
            <w:vAlign w:val="bottom"/>
            <w:tcBorders>
              <w:bottom w:val="single" w:sz="8" w:color="auto"/>
            </w:tcBorders>
            <w:vMerge w:val="continue"/>
          </w:tcPr>
          <w:p>
            <w:pPr>
              <w:spacing w:after="0"/>
              <w:rPr>
                <w:sz w:val="13"/>
                <w:szCs w:val="13"/>
                <w:color w:val="auto"/>
              </w:rPr>
            </w:pPr>
          </w:p>
        </w:tc>
        <w:tc>
          <w:tcPr>
            <w:tcW w:w="120" w:type="dxa"/>
            <w:vAlign w:val="bottom"/>
            <w:tcBorders>
              <w:bottom w:val="single" w:sz="8" w:color="CCEEFF"/>
            </w:tcBorders>
            <w:vMerge w:val="continue"/>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vMerge w:val="continue"/>
          </w:tcPr>
          <w:p>
            <w:pPr>
              <w:spacing w:after="0"/>
              <w:rPr>
                <w:sz w:val="13"/>
                <w:szCs w:val="13"/>
                <w:color w:val="auto"/>
              </w:rPr>
            </w:pPr>
          </w:p>
        </w:tc>
        <w:tc>
          <w:tcPr>
            <w:tcW w:w="120" w:type="dxa"/>
            <w:vAlign w:val="bottom"/>
            <w:tcBorders>
              <w:bottom w:val="single" w:sz="8" w:color="CCEEFF"/>
            </w:tcBorders>
            <w:vMerge w:val="continue"/>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ind w:right="478"/>
              <w:spacing w:after="0"/>
              <w:rPr>
                <w:sz w:val="20"/>
                <w:szCs w:val="20"/>
                <w:color w:val="auto"/>
              </w:rPr>
            </w:pPr>
            <w:r>
              <w:rPr>
                <w:rFonts w:ascii="Arial" w:cs="Arial" w:eastAsia="Arial" w:hAnsi="Arial"/>
                <w:sz w:val="11"/>
                <w:szCs w:val="11"/>
                <w:b w:val="1"/>
                <w:bCs w:val="1"/>
                <w:color w:val="auto"/>
              </w:rPr>
              <w:t>(in millions)</w:t>
            </w:r>
          </w:p>
        </w:tc>
        <w:tc>
          <w:tcPr>
            <w:tcW w:w="0" w:type="dxa"/>
            <w:vAlign w:val="bottom"/>
          </w:tcPr>
          <w:p>
            <w:pPr>
              <w:spacing w:after="0"/>
              <w:rPr>
                <w:sz w:val="1"/>
                <w:szCs w:val="1"/>
                <w:color w:val="auto"/>
              </w:rPr>
            </w:pPr>
          </w:p>
        </w:tc>
      </w:tr>
      <w:tr>
        <w:trPr>
          <w:trHeight w:val="180"/>
        </w:trPr>
        <w:tc>
          <w:tcPr>
            <w:tcW w:w="25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December 12, 2018</w:t>
            </w:r>
          </w:p>
        </w:tc>
        <w:tc>
          <w:tcPr>
            <w:tcW w:w="2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February 15, 2019</w:t>
            </w:r>
          </w:p>
        </w:tc>
        <w:tc>
          <w:tcPr>
            <w:tcW w:w="2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March 1, 2019</w:t>
            </w:r>
          </w:p>
        </w:tc>
        <w:tc>
          <w:tcPr>
            <w:tcW w:w="340" w:type="dxa"/>
            <w:vAlign w:val="bottom"/>
            <w:tcBorders>
              <w:bottom w:val="single" w:sz="8" w:color="CCEEFF"/>
            </w:tcBorders>
            <w:shd w:val="clear" w:color="auto" w:fill="CCEEFF"/>
          </w:tcPr>
          <w:p>
            <w:pPr>
              <w:jc w:val="right"/>
              <w:ind w:right="195"/>
              <w:spacing w:after="0"/>
              <w:rPr>
                <w:sz w:val="20"/>
                <w:szCs w:val="20"/>
                <w:color w:val="auto"/>
              </w:rPr>
            </w:pPr>
            <w:r>
              <w:rPr>
                <w:rFonts w:ascii="Arial" w:cs="Arial" w:eastAsia="Arial" w:hAnsi="Arial"/>
                <w:sz w:val="13"/>
                <w:szCs w:val="13"/>
                <w:color w:val="auto"/>
                <w:w w:val="82"/>
              </w:rPr>
              <w:t>$</w:t>
            </w:r>
          </w:p>
        </w:tc>
        <w:tc>
          <w:tcPr>
            <w:tcW w:w="13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17.5000</w:t>
            </w:r>
          </w:p>
        </w:tc>
        <w:tc>
          <w:tcPr>
            <w:tcW w:w="12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jc w:val="right"/>
              <w:ind w:right="175"/>
              <w:spacing w:after="0"/>
              <w:rPr>
                <w:sz w:val="20"/>
                <w:szCs w:val="20"/>
                <w:color w:val="auto"/>
              </w:rPr>
            </w:pPr>
            <w:r>
              <w:rPr>
                <w:rFonts w:ascii="Arial" w:cs="Arial" w:eastAsia="Arial" w:hAnsi="Arial"/>
                <w:sz w:val="13"/>
                <w:szCs w:val="13"/>
                <w:color w:val="auto"/>
                <w:w w:val="82"/>
              </w:rPr>
              <w:t>$</w:t>
            </w:r>
          </w:p>
        </w:tc>
        <w:tc>
          <w:tcPr>
            <w:tcW w:w="13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3"/>
                <w:szCs w:val="13"/>
                <w:color w:val="auto"/>
              </w:rPr>
              <w:t>17</w:t>
            </w:r>
          </w:p>
        </w:tc>
        <w:tc>
          <w:tcPr>
            <w:tcW w:w="0" w:type="dxa"/>
            <w:vAlign w:val="bottom"/>
          </w:tcPr>
          <w:p>
            <w:pPr>
              <w:spacing w:after="0"/>
              <w:rPr>
                <w:sz w:val="1"/>
                <w:szCs w:val="1"/>
                <w:color w:val="auto"/>
              </w:rPr>
            </w:pPr>
          </w:p>
        </w:tc>
      </w:tr>
      <w:tr>
        <w:trPr>
          <w:trHeight w:val="189"/>
        </w:trPr>
        <w:tc>
          <w:tcPr>
            <w:tcW w:w="2520" w:type="dxa"/>
            <w:vAlign w:val="bottom"/>
            <w:gridSpan w:val="2"/>
          </w:tcPr>
          <w:p>
            <w:pPr>
              <w:ind w:left="20"/>
              <w:spacing w:after="0"/>
              <w:rPr>
                <w:sz w:val="20"/>
                <w:szCs w:val="20"/>
                <w:color w:val="auto"/>
              </w:rPr>
            </w:pPr>
            <w:r>
              <w:rPr>
                <w:rFonts w:ascii="Arial" w:cs="Arial" w:eastAsia="Arial" w:hAnsi="Arial"/>
                <w:sz w:val="13"/>
                <w:szCs w:val="13"/>
                <w:color w:val="auto"/>
              </w:rPr>
              <w:t>April 25, 2019</w:t>
            </w:r>
          </w:p>
        </w:tc>
        <w:tc>
          <w:tcPr>
            <w:tcW w:w="2740" w:type="dxa"/>
            <w:vAlign w:val="bottom"/>
            <w:gridSpan w:val="2"/>
          </w:tcPr>
          <w:p>
            <w:pPr>
              <w:ind w:left="20"/>
              <w:spacing w:after="0"/>
              <w:rPr>
                <w:sz w:val="20"/>
                <w:szCs w:val="20"/>
                <w:color w:val="auto"/>
              </w:rPr>
            </w:pPr>
            <w:r>
              <w:rPr>
                <w:rFonts w:ascii="Arial" w:cs="Arial" w:eastAsia="Arial" w:hAnsi="Arial"/>
                <w:sz w:val="13"/>
                <w:szCs w:val="13"/>
                <w:color w:val="auto"/>
              </w:rPr>
              <w:t>May 15, 2019</w:t>
            </w:r>
          </w:p>
        </w:tc>
        <w:tc>
          <w:tcPr>
            <w:tcW w:w="2620" w:type="dxa"/>
            <w:vAlign w:val="bottom"/>
            <w:gridSpan w:val="2"/>
          </w:tcPr>
          <w:p>
            <w:pPr>
              <w:ind w:left="20"/>
              <w:spacing w:after="0"/>
              <w:rPr>
                <w:sz w:val="20"/>
                <w:szCs w:val="20"/>
                <w:color w:val="auto"/>
              </w:rPr>
            </w:pPr>
            <w:r>
              <w:rPr>
                <w:rFonts w:ascii="Arial" w:cs="Arial" w:eastAsia="Arial" w:hAnsi="Arial"/>
                <w:sz w:val="13"/>
                <w:szCs w:val="13"/>
                <w:color w:val="auto"/>
              </w:rPr>
              <w:t>June 3, 2019</w:t>
            </w:r>
          </w:p>
        </w:tc>
        <w:tc>
          <w:tcPr>
            <w:tcW w:w="340" w:type="dxa"/>
            <w:vAlign w:val="bottom"/>
          </w:tcPr>
          <w:p>
            <w:pPr>
              <w:spacing w:after="0"/>
              <w:rPr>
                <w:sz w:val="16"/>
                <w:szCs w:val="16"/>
                <w:color w:val="auto"/>
              </w:rPr>
            </w:pPr>
          </w:p>
        </w:tc>
        <w:tc>
          <w:tcPr>
            <w:tcW w:w="1360" w:type="dxa"/>
            <w:vAlign w:val="bottom"/>
          </w:tcPr>
          <w:p>
            <w:pPr>
              <w:jc w:val="right"/>
              <w:ind w:right="37"/>
              <w:spacing w:after="0"/>
              <w:rPr>
                <w:sz w:val="20"/>
                <w:szCs w:val="20"/>
                <w:color w:val="auto"/>
              </w:rPr>
            </w:pPr>
            <w:r>
              <w:rPr>
                <w:rFonts w:ascii="Arial" w:cs="Arial" w:eastAsia="Arial" w:hAnsi="Arial"/>
                <w:sz w:val="13"/>
                <w:szCs w:val="13"/>
                <w:color w:val="auto"/>
              </w:rPr>
              <w:t>17.5000</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60" w:type="dxa"/>
            <w:vAlign w:val="bottom"/>
          </w:tcPr>
          <w:p>
            <w:pPr>
              <w:jc w:val="right"/>
              <w:ind w:right="38"/>
              <w:spacing w:after="0"/>
              <w:rPr>
                <w:sz w:val="20"/>
                <w:szCs w:val="20"/>
                <w:color w:val="auto"/>
              </w:rPr>
            </w:pPr>
            <w:r>
              <w:rPr>
                <w:rFonts w:ascii="Arial" w:cs="Arial" w:eastAsia="Arial" w:hAnsi="Arial"/>
                <w:sz w:val="13"/>
                <w:szCs w:val="13"/>
                <w:color w:val="auto"/>
              </w:rPr>
              <w:t>17</w:t>
            </w:r>
          </w:p>
        </w:tc>
        <w:tc>
          <w:tcPr>
            <w:tcW w:w="0" w:type="dxa"/>
            <w:vAlign w:val="bottom"/>
          </w:tcPr>
          <w:p>
            <w:pPr>
              <w:spacing w:after="0"/>
              <w:rPr>
                <w:sz w:val="1"/>
                <w:szCs w:val="1"/>
                <w:color w:val="auto"/>
              </w:rPr>
            </w:pPr>
          </w:p>
        </w:tc>
      </w:tr>
      <w:tr>
        <w:trPr>
          <w:trHeight w:val="27"/>
        </w:trPr>
        <w:tc>
          <w:tcPr>
            <w:tcW w:w="2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5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July 31, 2019</w:t>
            </w:r>
          </w:p>
        </w:tc>
        <w:tc>
          <w:tcPr>
            <w:tcW w:w="2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August 15, 2019</w:t>
            </w:r>
          </w:p>
        </w:tc>
        <w:tc>
          <w:tcPr>
            <w:tcW w:w="2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September 3, 2019</w:t>
            </w:r>
          </w:p>
        </w:tc>
        <w:tc>
          <w:tcPr>
            <w:tcW w:w="34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17.5000</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3"/>
                <w:szCs w:val="13"/>
                <w:color w:val="auto"/>
              </w:rPr>
              <w:t>17</w:t>
            </w:r>
          </w:p>
        </w:tc>
        <w:tc>
          <w:tcPr>
            <w:tcW w:w="0" w:type="dxa"/>
            <w:vAlign w:val="bottom"/>
          </w:tcPr>
          <w:p>
            <w:pPr>
              <w:spacing w:after="0"/>
              <w:rPr>
                <w:sz w:val="1"/>
                <w:szCs w:val="1"/>
                <w:color w:val="auto"/>
              </w:rPr>
            </w:pPr>
          </w:p>
        </w:tc>
      </w:tr>
      <w:tr>
        <w:trPr>
          <w:trHeight w:val="188"/>
        </w:trPr>
        <w:tc>
          <w:tcPr>
            <w:tcW w:w="252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7"/>
              </w:rPr>
              <w:t>Total 2019</w:t>
            </w:r>
          </w:p>
        </w:tc>
        <w:tc>
          <w:tcPr>
            <w:tcW w:w="2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top w:val="single" w:sz="8" w:color="auto"/>
              <w:bottom w:val="single" w:sz="8" w:color="auto"/>
            </w:tcBorders>
          </w:tcPr>
          <w:p>
            <w:pPr>
              <w:jc w:val="right"/>
              <w:ind w:right="195"/>
              <w:spacing w:after="0"/>
              <w:rPr>
                <w:sz w:val="20"/>
                <w:szCs w:val="20"/>
                <w:color w:val="auto"/>
              </w:rPr>
            </w:pPr>
            <w:r>
              <w:rPr>
                <w:rFonts w:ascii="Arial" w:cs="Arial" w:eastAsia="Arial" w:hAnsi="Arial"/>
                <w:sz w:val="13"/>
                <w:szCs w:val="13"/>
                <w:color w:val="auto"/>
                <w:w w:val="82"/>
              </w:rPr>
              <w:t>$</w:t>
            </w:r>
          </w:p>
        </w:tc>
        <w:tc>
          <w:tcPr>
            <w:tcW w:w="136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52.5000</w:t>
            </w:r>
          </w:p>
        </w:tc>
        <w:tc>
          <w:tcPr>
            <w:tcW w:w="120" w:type="dxa"/>
            <w:vAlign w:val="bottom"/>
          </w:tcPr>
          <w:p>
            <w:pPr>
              <w:spacing w:after="0"/>
              <w:rPr>
                <w:sz w:val="16"/>
                <w:szCs w:val="16"/>
                <w:color w:val="auto"/>
              </w:rPr>
            </w:pPr>
          </w:p>
        </w:tc>
        <w:tc>
          <w:tcPr>
            <w:tcW w:w="320" w:type="dxa"/>
            <w:vAlign w:val="bottom"/>
            <w:tcBorders>
              <w:top w:val="single" w:sz="8" w:color="auto"/>
              <w:bottom w:val="single" w:sz="8" w:color="auto"/>
            </w:tcBorders>
          </w:tcPr>
          <w:p>
            <w:pPr>
              <w:jc w:val="right"/>
              <w:ind w:right="175"/>
              <w:spacing w:after="0"/>
              <w:rPr>
                <w:sz w:val="20"/>
                <w:szCs w:val="20"/>
                <w:color w:val="auto"/>
              </w:rPr>
            </w:pPr>
            <w:r>
              <w:rPr>
                <w:rFonts w:ascii="Arial" w:cs="Arial" w:eastAsia="Arial" w:hAnsi="Arial"/>
                <w:sz w:val="13"/>
                <w:szCs w:val="13"/>
                <w:color w:val="auto"/>
                <w:w w:val="82"/>
              </w:rPr>
              <w:t>$</w:t>
            </w:r>
          </w:p>
        </w:tc>
        <w:tc>
          <w:tcPr>
            <w:tcW w:w="136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3"/>
                <w:szCs w:val="13"/>
                <w:color w:val="auto"/>
              </w:rPr>
              <w:t>51</w:t>
            </w:r>
          </w:p>
        </w:tc>
        <w:tc>
          <w:tcPr>
            <w:tcW w:w="0" w:type="dxa"/>
            <w:vAlign w:val="bottom"/>
          </w:tcPr>
          <w:p>
            <w:pPr>
              <w:spacing w:after="0"/>
              <w:rPr>
                <w:sz w:val="1"/>
                <w:szCs w:val="1"/>
                <w:color w:val="auto"/>
              </w:rPr>
            </w:pPr>
          </w:p>
        </w:tc>
      </w:tr>
      <w:tr>
        <w:trPr>
          <w:trHeight w:val="20"/>
        </w:trPr>
        <w:tc>
          <w:tcPr>
            <w:tcW w:w="2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Dividend Requirement on Preferred Stock (CenterPoint Energy)</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40" w:type="dxa"/>
            <w:vAlign w:val="bottom"/>
          </w:tcPr>
          <w:p>
            <w:pPr>
              <w:spacing w:after="0"/>
              <w:rPr>
                <w:sz w:val="13"/>
                <w:szCs w:val="13"/>
                <w:color w:val="auto"/>
              </w:rPr>
            </w:pPr>
          </w:p>
        </w:tc>
        <w:tc>
          <w:tcPr>
            <w:tcW w:w="3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600" w:type="dxa"/>
            <w:vAlign w:val="bottom"/>
            <w:tcBorders>
              <w:bottom w:val="single" w:sz="8" w:color="auto"/>
            </w:tcBorders>
            <w:gridSpan w:val="6"/>
          </w:tcPr>
          <w:p>
            <w:pPr>
              <w:ind w:left="620"/>
              <w:spacing w:after="0"/>
              <w:rPr>
                <w:sz w:val="20"/>
                <w:szCs w:val="20"/>
                <w:color w:val="auto"/>
              </w:rPr>
            </w:pPr>
            <w:r>
              <w:rPr>
                <w:rFonts w:ascii="Arial" w:cs="Arial" w:eastAsia="Arial" w:hAnsi="Arial"/>
                <w:sz w:val="11"/>
                <w:szCs w:val="11"/>
                <w:b w:val="1"/>
                <w:bCs w:val="1"/>
                <w:color w:val="auto"/>
              </w:rPr>
              <w:t>Three Months Ended September 30,</w:t>
            </w:r>
          </w:p>
        </w:tc>
        <w:tc>
          <w:tcPr>
            <w:tcW w:w="1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620" w:type="dxa"/>
            <w:vAlign w:val="bottom"/>
            <w:tcBorders>
              <w:bottom w:val="single" w:sz="8" w:color="auto"/>
            </w:tcBorders>
            <w:gridSpan w:val="7"/>
          </w:tcPr>
          <w:p>
            <w:pPr>
              <w:ind w:left="140"/>
              <w:spacing w:after="0"/>
              <w:rPr>
                <w:sz w:val="20"/>
                <w:szCs w:val="20"/>
                <w:color w:val="auto"/>
              </w:rPr>
            </w:pPr>
            <w:r>
              <w:rPr>
                <w:rFonts w:ascii="Arial" w:cs="Arial" w:eastAsia="Arial" w:hAnsi="Arial"/>
                <w:sz w:val="11"/>
                <w:szCs w:val="11"/>
                <w:b w:val="1"/>
                <w:bCs w:val="1"/>
                <w:color w:val="auto"/>
              </w:rPr>
              <w:t>Nine Months Ended September 30,</w:t>
            </w:r>
          </w:p>
        </w:tc>
        <w:tc>
          <w:tcPr>
            <w:tcW w:w="0" w:type="dxa"/>
            <w:vAlign w:val="bottom"/>
          </w:tcPr>
          <w:p>
            <w:pPr>
              <w:spacing w:after="0"/>
              <w:rPr>
                <w:sz w:val="1"/>
                <w:szCs w:val="1"/>
                <w:color w:val="auto"/>
              </w:rPr>
            </w:pPr>
          </w:p>
        </w:tc>
      </w:tr>
      <w:tr>
        <w:trPr>
          <w:trHeight w:val="206"/>
        </w:trPr>
        <w:tc>
          <w:tcPr>
            <w:tcW w:w="4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01"/>
              <w:spacing w:after="0"/>
              <w:rPr>
                <w:sz w:val="20"/>
                <w:szCs w:val="20"/>
                <w:color w:val="auto"/>
              </w:rPr>
            </w:pPr>
            <w:r>
              <w:rPr>
                <w:rFonts w:ascii="Arial" w:cs="Arial" w:eastAsia="Arial" w:hAnsi="Arial"/>
                <w:sz w:val="11"/>
                <w:szCs w:val="11"/>
                <w:b w:val="1"/>
                <w:bCs w:val="1"/>
                <w:color w:val="auto"/>
              </w:rPr>
              <w:t>2019</w:t>
            </w: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2018</w:t>
            </w: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618"/>
              <w:spacing w:after="0"/>
              <w:rPr>
                <w:sz w:val="20"/>
                <w:szCs w:val="20"/>
                <w:color w:val="auto"/>
              </w:rPr>
            </w:pPr>
            <w:r>
              <w:rPr>
                <w:rFonts w:ascii="Arial" w:cs="Arial" w:eastAsia="Arial" w:hAnsi="Arial"/>
                <w:sz w:val="11"/>
                <w:szCs w:val="11"/>
                <w:b w:val="1"/>
                <w:bCs w:val="1"/>
                <w:color w:val="auto"/>
                <w:w w:val="89"/>
              </w:rPr>
              <w:t>2019</w:t>
            </w:r>
          </w:p>
        </w:tc>
        <w:tc>
          <w:tcPr>
            <w:tcW w:w="1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559"/>
              <w:spacing w:after="0"/>
              <w:rPr>
                <w:sz w:val="20"/>
                <w:szCs w:val="20"/>
                <w:color w:val="auto"/>
              </w:rPr>
            </w:pPr>
            <w:r>
              <w:rPr>
                <w:rFonts w:ascii="Arial" w:cs="Arial" w:eastAsia="Arial" w:hAnsi="Arial"/>
                <w:sz w:val="11"/>
                <w:szCs w:val="11"/>
                <w:b w:val="1"/>
                <w:bCs w:val="1"/>
                <w:color w:val="auto"/>
              </w:rPr>
              <w:t>2018</w:t>
            </w:r>
          </w:p>
        </w:tc>
        <w:tc>
          <w:tcPr>
            <w:tcW w:w="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4"/>
          </w:tcPr>
          <w:p>
            <w:pPr>
              <w:jc w:val="center"/>
              <w:ind w:right="260"/>
              <w:spacing w:after="0"/>
              <w:rPr>
                <w:sz w:val="20"/>
                <w:szCs w:val="20"/>
                <w:color w:val="auto"/>
              </w:rPr>
            </w:pPr>
            <w:r>
              <w:rPr>
                <w:rFonts w:ascii="Arial" w:cs="Arial" w:eastAsia="Arial" w:hAnsi="Arial"/>
                <w:sz w:val="11"/>
                <w:szCs w:val="11"/>
                <w:b w:val="1"/>
                <w:bCs w:val="1"/>
                <w:color w:val="auto"/>
                <w:w w:val="93"/>
              </w:rPr>
              <w:t>(in millions)</w:t>
            </w: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33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Series A Preferred Stock</w:t>
            </w:r>
          </w:p>
        </w:tc>
        <w:tc>
          <w:tcPr>
            <w:tcW w:w="1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12</w:t>
            </w:r>
          </w:p>
        </w:tc>
        <w:tc>
          <w:tcPr>
            <w:tcW w:w="12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ind w:right="7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4"/>
                <w:szCs w:val="14"/>
                <w:color w:val="auto"/>
              </w:rPr>
              <w:t>5</w:t>
            </w:r>
          </w:p>
        </w:tc>
        <w:tc>
          <w:tcPr>
            <w:tcW w:w="1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ind w:right="419"/>
              <w:spacing w:after="0"/>
              <w:rPr>
                <w:sz w:val="20"/>
                <w:szCs w:val="20"/>
                <w:color w:val="auto"/>
              </w:rPr>
            </w:pPr>
            <w:r>
              <w:rPr>
                <w:rFonts w:ascii="Arial" w:cs="Arial" w:eastAsia="Arial" w:hAnsi="Arial"/>
                <w:sz w:val="14"/>
                <w:szCs w:val="14"/>
                <w:color w:val="auto"/>
                <w:w w:val="76"/>
              </w:rPr>
              <w:t>$</w:t>
            </w:r>
          </w:p>
        </w:tc>
        <w:tc>
          <w:tcPr>
            <w:tcW w:w="10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4"/>
                <w:szCs w:val="14"/>
                <w:color w:val="auto"/>
              </w:rPr>
              <w:t>37</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340" w:type="dxa"/>
            <w:vAlign w:val="bottom"/>
            <w:gridSpan w:val="2"/>
          </w:tcPr>
          <w:p>
            <w:pPr>
              <w:ind w:left="20"/>
              <w:spacing w:after="0"/>
              <w:rPr>
                <w:sz w:val="20"/>
                <w:szCs w:val="20"/>
                <w:color w:val="auto"/>
              </w:rPr>
            </w:pPr>
            <w:r>
              <w:rPr>
                <w:rFonts w:ascii="Arial" w:cs="Arial" w:eastAsia="Arial" w:hAnsi="Arial"/>
                <w:sz w:val="14"/>
                <w:szCs w:val="14"/>
                <w:color w:val="auto"/>
              </w:rPr>
              <w:t>Series B Preferred Stock</w:t>
            </w: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40" w:type="dxa"/>
            <w:vAlign w:val="bottom"/>
            <w:gridSpan w:val="2"/>
          </w:tcPr>
          <w:p>
            <w:pPr>
              <w:jc w:val="right"/>
              <w:ind w:right="120"/>
              <w:spacing w:after="0"/>
              <w:rPr>
                <w:sz w:val="20"/>
                <w:szCs w:val="20"/>
                <w:color w:val="auto"/>
              </w:rPr>
            </w:pPr>
            <w:r>
              <w:rPr>
                <w:rFonts w:ascii="Arial" w:cs="Arial" w:eastAsia="Arial" w:hAnsi="Arial"/>
                <w:sz w:val="14"/>
                <w:szCs w:val="14"/>
                <w:color w:val="auto"/>
              </w:rPr>
              <w:t>17</w:t>
            </w: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ind w:right="38"/>
              <w:spacing w:after="0"/>
              <w:rPr>
                <w:sz w:val="20"/>
                <w:szCs w:val="20"/>
                <w:color w:val="auto"/>
              </w:rPr>
            </w:pPr>
            <w:r>
              <w:rPr>
                <w:rFonts w:ascii="Arial" w:cs="Arial" w:eastAsia="Arial" w:hAnsi="Arial"/>
                <w:sz w:val="14"/>
                <w:szCs w:val="14"/>
                <w:color w:val="auto"/>
              </w:rPr>
              <w:t>51</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
        </w:trPr>
        <w:tc>
          <w:tcPr>
            <w:tcW w:w="40" w:type="dxa"/>
            <w:vAlign w:val="bottom"/>
            <w:tcBorders>
              <w:bottom w:val="single" w:sz="8" w:color="CCEEFF"/>
            </w:tcBorders>
          </w:tcPr>
          <w:p>
            <w:pPr>
              <w:spacing w:after="0" w:line="20" w:lineRule="exact"/>
              <w:rPr>
                <w:sz w:val="1"/>
                <w:szCs w:val="1"/>
                <w:color w:val="auto"/>
              </w:rPr>
            </w:pPr>
          </w:p>
        </w:tc>
        <w:tc>
          <w:tcPr>
            <w:tcW w:w="33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40" w:type="dxa"/>
            <w:vAlign w:val="bottom"/>
            <w:shd w:val="clear" w:color="auto" w:fill="CCEEFF"/>
          </w:tcPr>
          <w:p>
            <w:pPr>
              <w:spacing w:after="0"/>
              <w:rPr>
                <w:sz w:val="17"/>
                <w:szCs w:val="17"/>
                <w:color w:val="auto"/>
              </w:rPr>
            </w:pPr>
          </w:p>
        </w:tc>
        <w:tc>
          <w:tcPr>
            <w:tcW w:w="33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Total preferred stock dividend requirement</w:t>
            </w: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29</w:t>
            </w: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7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jc w:val="right"/>
              <w:ind w:right="54"/>
              <w:spacing w:after="0"/>
              <w:rPr>
                <w:sz w:val="20"/>
                <w:szCs w:val="20"/>
                <w:color w:val="auto"/>
              </w:rPr>
            </w:pPr>
            <w:r>
              <w:rPr>
                <w:rFonts w:ascii="Arial" w:cs="Arial" w:eastAsia="Arial" w:hAnsi="Arial"/>
                <w:sz w:val="14"/>
                <w:szCs w:val="14"/>
                <w:color w:val="auto"/>
              </w:rPr>
              <w:t>5</w:t>
            </w: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419"/>
              <w:spacing w:after="0"/>
              <w:rPr>
                <w:sz w:val="20"/>
                <w:szCs w:val="20"/>
                <w:color w:val="auto"/>
              </w:rPr>
            </w:pPr>
            <w:r>
              <w:rPr>
                <w:rFonts w:ascii="Arial" w:cs="Arial" w:eastAsia="Arial" w:hAnsi="Arial"/>
                <w:sz w:val="14"/>
                <w:szCs w:val="14"/>
                <w:color w:val="auto"/>
                <w:w w:val="76"/>
              </w:rPr>
              <w:t>$</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38"/>
              <w:spacing w:after="0"/>
              <w:rPr>
                <w:sz w:val="20"/>
                <w:szCs w:val="20"/>
                <w:color w:val="auto"/>
              </w:rPr>
            </w:pPr>
            <w:r>
              <w:rPr>
                <w:rFonts w:ascii="Arial" w:cs="Arial" w:eastAsia="Arial" w:hAnsi="Arial"/>
                <w:sz w:val="14"/>
                <w:szCs w:val="14"/>
                <w:color w:val="auto"/>
              </w:rPr>
              <w:t>88</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4"/>
                <w:szCs w:val="14"/>
                <w:b w:val="1"/>
                <w:bCs w:val="1"/>
                <w:i w:val="1"/>
                <w:iCs w:val="1"/>
                <w:color w:val="auto"/>
                <w:w w:val="98"/>
              </w:rPr>
              <w:t>Accumulated Other Comprehensive Income (Loss)</w:t>
            </w: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4"/>
        </w:trPr>
        <w:tc>
          <w:tcPr>
            <w:tcW w:w="334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40" w:type="dxa"/>
            <w:vAlign w:val="bottom"/>
          </w:tcPr>
          <w:p>
            <w:pPr>
              <w:spacing w:after="0"/>
              <w:rPr>
                <w:sz w:val="24"/>
                <w:szCs w:val="24"/>
                <w:color w:val="auto"/>
              </w:rPr>
            </w:pPr>
          </w:p>
        </w:tc>
        <w:tc>
          <w:tcPr>
            <w:tcW w:w="4660" w:type="dxa"/>
            <w:vAlign w:val="bottom"/>
            <w:gridSpan w:val="4"/>
          </w:tcPr>
          <w:p>
            <w:pPr>
              <w:ind w:left="220"/>
              <w:spacing w:after="0"/>
              <w:rPr>
                <w:sz w:val="20"/>
                <w:szCs w:val="20"/>
                <w:color w:val="auto"/>
              </w:rPr>
            </w:pPr>
            <w:r>
              <w:rPr>
                <w:rFonts w:ascii="Arial" w:cs="Arial" w:eastAsia="Arial" w:hAnsi="Arial"/>
                <w:sz w:val="14"/>
                <w:szCs w:val="14"/>
                <w:color w:val="auto"/>
              </w:rPr>
              <w:t>Changes in accumulated comprehensive income (loss) are as follows:</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4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7"/>
          </w:tcPr>
          <w:p>
            <w:pPr>
              <w:jc w:val="center"/>
              <w:ind w:right="500"/>
              <w:spacing w:after="0"/>
              <w:rPr>
                <w:sz w:val="20"/>
                <w:szCs w:val="20"/>
                <w:color w:val="auto"/>
              </w:rPr>
            </w:pPr>
            <w:r>
              <w:rPr>
                <w:rFonts w:ascii="Arial" w:cs="Arial" w:eastAsia="Arial" w:hAnsi="Arial"/>
                <w:sz w:val="11"/>
                <w:szCs w:val="11"/>
                <w:b w:val="1"/>
                <w:bCs w:val="1"/>
                <w:color w:val="auto"/>
                <w:w w:val="95"/>
              </w:rPr>
              <w:t>Three Months Ended September 30,</w:t>
            </w: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4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41"/>
              <w:spacing w:after="0"/>
              <w:rPr>
                <w:sz w:val="20"/>
                <w:szCs w:val="20"/>
                <w:color w:val="auto"/>
              </w:rPr>
            </w:pPr>
            <w:r>
              <w:rPr>
                <w:rFonts w:ascii="Arial" w:cs="Arial" w:eastAsia="Arial" w:hAnsi="Arial"/>
                <w:sz w:val="11"/>
                <w:szCs w:val="11"/>
                <w:b w:val="1"/>
                <w:bCs w:val="1"/>
                <w:color w:val="auto"/>
              </w:rPr>
              <w:t>2019</w:t>
            </w: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18"/>
              <w:spacing w:after="0"/>
              <w:rPr>
                <w:sz w:val="20"/>
                <w:szCs w:val="20"/>
                <w:color w:val="auto"/>
              </w:rPr>
            </w:pPr>
            <w:r>
              <w:rPr>
                <w:rFonts w:ascii="Arial" w:cs="Arial" w:eastAsia="Arial" w:hAnsi="Arial"/>
                <w:sz w:val="11"/>
                <w:szCs w:val="11"/>
                <w:b w:val="1"/>
                <w:bCs w:val="1"/>
                <w:color w:val="auto"/>
              </w:rPr>
              <w:t>2018</w:t>
            </w:r>
          </w:p>
        </w:tc>
        <w:tc>
          <w:tcPr>
            <w:tcW w:w="1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ind w:left="20"/>
              <w:spacing w:after="0"/>
              <w:rPr>
                <w:sz w:val="20"/>
                <w:szCs w:val="20"/>
                <w:color w:val="auto"/>
              </w:rPr>
            </w:pPr>
            <w:r>
              <w:rPr>
                <w:rFonts w:ascii="Arial" w:cs="Arial" w:eastAsia="Arial" w:hAnsi="Arial"/>
                <w:sz w:val="11"/>
                <w:szCs w:val="11"/>
                <w:b w:val="1"/>
                <w:bCs w:val="1"/>
                <w:color w:val="auto"/>
              </w:rPr>
              <w:t>CenterPoint Energy</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ind w:right="161"/>
              <w:spacing w:after="0"/>
              <w:rPr>
                <w:sz w:val="20"/>
                <w:szCs w:val="20"/>
                <w:color w:val="auto"/>
              </w:rPr>
            </w:pPr>
            <w:r>
              <w:rPr>
                <w:rFonts w:ascii="Arial" w:cs="Arial" w:eastAsia="Arial" w:hAnsi="Arial"/>
                <w:sz w:val="11"/>
                <w:szCs w:val="11"/>
                <w:b w:val="1"/>
                <w:bCs w:val="1"/>
                <w:color w:val="auto"/>
                <w:w w:val="98"/>
              </w:rPr>
              <w:t>Houston Electric</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ind w:left="140"/>
              <w:spacing w:after="0"/>
              <w:rPr>
                <w:sz w:val="20"/>
                <w:szCs w:val="20"/>
                <w:color w:val="auto"/>
              </w:rPr>
            </w:pPr>
            <w:r>
              <w:rPr>
                <w:rFonts w:ascii="Arial" w:cs="Arial" w:eastAsia="Arial" w:hAnsi="Arial"/>
                <w:sz w:val="11"/>
                <w:szCs w:val="11"/>
                <w:b w:val="1"/>
                <w:bCs w:val="1"/>
                <w:color w:val="auto"/>
              </w:rPr>
              <w:t>CERC</w:t>
            </w:r>
          </w:p>
        </w:tc>
        <w:tc>
          <w:tcPr>
            <w:tcW w:w="120" w:type="dxa"/>
            <w:vAlign w:val="bottom"/>
          </w:tcPr>
          <w:p>
            <w:pPr>
              <w:spacing w:after="0"/>
              <w:rPr>
                <w:sz w:val="17"/>
                <w:szCs w:val="17"/>
                <w:color w:val="auto"/>
              </w:rPr>
            </w:pPr>
          </w:p>
        </w:tc>
        <w:tc>
          <w:tcPr>
            <w:tcW w:w="1240" w:type="dxa"/>
            <w:vAlign w:val="bottom"/>
            <w:gridSpan w:val="4"/>
          </w:tcPr>
          <w:p>
            <w:pPr>
              <w:jc w:val="center"/>
              <w:ind w:right="220"/>
              <w:spacing w:after="0"/>
              <w:rPr>
                <w:sz w:val="20"/>
                <w:szCs w:val="20"/>
                <w:color w:val="auto"/>
              </w:rPr>
            </w:pPr>
            <w:r>
              <w:rPr>
                <w:rFonts w:ascii="Arial" w:cs="Arial" w:eastAsia="Arial" w:hAnsi="Arial"/>
                <w:sz w:val="11"/>
                <w:szCs w:val="11"/>
                <w:b w:val="1"/>
                <w:bCs w:val="1"/>
                <w:color w:val="auto"/>
                <w:w w:val="95"/>
              </w:rPr>
              <w:t>CenterPoint Energy</w:t>
            </w:r>
          </w:p>
        </w:tc>
        <w:tc>
          <w:tcPr>
            <w:tcW w:w="1340" w:type="dxa"/>
            <w:vAlign w:val="bottom"/>
            <w:gridSpan w:val="4"/>
          </w:tcPr>
          <w:p>
            <w:pPr>
              <w:ind w:left="200"/>
              <w:spacing w:after="0"/>
              <w:rPr>
                <w:sz w:val="20"/>
                <w:szCs w:val="20"/>
                <w:color w:val="auto"/>
              </w:rPr>
            </w:pPr>
            <w:r>
              <w:rPr>
                <w:rFonts w:ascii="Arial" w:cs="Arial" w:eastAsia="Arial" w:hAnsi="Arial"/>
                <w:sz w:val="11"/>
                <w:szCs w:val="11"/>
                <w:b w:val="1"/>
                <w:bCs w:val="1"/>
                <w:color w:val="auto"/>
              </w:rPr>
              <w:t>Houston Electric</w:t>
            </w:r>
          </w:p>
        </w:tc>
        <w:tc>
          <w:tcPr>
            <w:tcW w:w="220" w:type="dxa"/>
            <w:vAlign w:val="bottom"/>
          </w:tcPr>
          <w:p>
            <w:pPr>
              <w:spacing w:after="0"/>
              <w:rPr>
                <w:sz w:val="17"/>
                <w:szCs w:val="17"/>
                <w:color w:val="auto"/>
              </w:rPr>
            </w:pPr>
          </w:p>
        </w:tc>
        <w:tc>
          <w:tcPr>
            <w:tcW w:w="1060" w:type="dxa"/>
            <w:vAlign w:val="bottom"/>
            <w:gridSpan w:val="2"/>
          </w:tcPr>
          <w:p>
            <w:pPr>
              <w:ind w:left="240"/>
              <w:spacing w:after="0"/>
              <w:rPr>
                <w:sz w:val="20"/>
                <w:szCs w:val="20"/>
                <w:color w:val="auto"/>
              </w:rPr>
            </w:pPr>
            <w:r>
              <w:rPr>
                <w:rFonts w:ascii="Arial" w:cs="Arial" w:eastAsia="Arial" w:hAnsi="Arial"/>
                <w:sz w:val="11"/>
                <w:szCs w:val="11"/>
                <w:b w:val="1"/>
                <w:bCs w:val="1"/>
                <w:color w:val="auto"/>
              </w:rPr>
              <w:t>CERC</w:t>
            </w: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740" w:type="dxa"/>
            <w:vAlign w:val="bottom"/>
            <w:tcBorders>
              <w:top w:val="single" w:sz="8" w:color="auto"/>
            </w:tcBorders>
            <w:gridSpan w:val="5"/>
          </w:tcPr>
          <w:p>
            <w:pPr>
              <w:jc w:val="center"/>
              <w:ind w:left="100"/>
              <w:spacing w:after="0"/>
              <w:rPr>
                <w:sz w:val="20"/>
                <w:szCs w:val="20"/>
                <w:color w:val="auto"/>
              </w:rPr>
            </w:pPr>
            <w:r>
              <w:rPr>
                <w:rFonts w:ascii="Arial" w:cs="Arial" w:eastAsia="Arial" w:hAnsi="Arial"/>
                <w:sz w:val="11"/>
                <w:szCs w:val="11"/>
                <w:b w:val="1"/>
                <w:bCs w:val="1"/>
                <w:color w:val="auto"/>
                <w:w w:val="93"/>
              </w:rPr>
              <w:t>(in millions)</w:t>
            </w:r>
          </w:p>
        </w:tc>
        <w:tc>
          <w:tcPr>
            <w:tcW w:w="5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3300" w:type="dxa"/>
            <w:vAlign w:val="bottom"/>
            <w:shd w:val="clear" w:color="auto" w:fill="CCEEFF"/>
          </w:tcPr>
          <w:p>
            <w:pPr>
              <w:ind w:left="40"/>
              <w:spacing w:after="0"/>
              <w:rPr>
                <w:sz w:val="20"/>
                <w:szCs w:val="20"/>
                <w:color w:val="auto"/>
              </w:rPr>
            </w:pPr>
            <w:r>
              <w:rPr>
                <w:rFonts w:ascii="Arial" w:cs="Arial" w:eastAsia="Arial" w:hAnsi="Arial"/>
                <w:sz w:val="11"/>
                <w:szCs w:val="11"/>
                <w:color w:val="auto"/>
              </w:rPr>
              <w:t>Beginning Balance</w:t>
            </w: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14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(105)</w:t>
            </w:r>
          </w:p>
        </w:tc>
        <w:tc>
          <w:tcPr>
            <w:tcW w:w="100" w:type="dxa"/>
            <w:vAlign w:val="bottom"/>
            <w:shd w:val="clear" w:color="auto" w:fill="CCEEFF"/>
          </w:tcPr>
          <w:p>
            <w:pPr>
              <w:spacing w:after="0"/>
              <w:rPr>
                <w:sz w:val="19"/>
                <w:szCs w:val="19"/>
                <w:color w:val="auto"/>
              </w:rPr>
            </w:pPr>
          </w:p>
        </w:tc>
        <w:tc>
          <w:tcPr>
            <w:tcW w:w="18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1100" w:type="dxa"/>
            <w:vAlign w:val="bottom"/>
            <w:shd w:val="clear" w:color="auto" w:fill="CCEEFF"/>
          </w:tcPr>
          <w:p>
            <w:pPr>
              <w:jc w:val="right"/>
              <w:ind w:right="21"/>
              <w:spacing w:after="0"/>
              <w:rPr>
                <w:sz w:val="20"/>
                <w:szCs w:val="20"/>
                <w:color w:val="auto"/>
              </w:rPr>
            </w:pPr>
            <w:r>
              <w:rPr>
                <w:rFonts w:ascii="Arial" w:cs="Arial" w:eastAsia="Arial" w:hAnsi="Arial"/>
                <w:sz w:val="11"/>
                <w:szCs w:val="11"/>
                <w:color w:val="auto"/>
              </w:rPr>
              <w:t>(15)</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60"/>
              <w:spacing w:after="0"/>
              <w:rPr>
                <w:sz w:val="20"/>
                <w:szCs w:val="20"/>
                <w:color w:val="auto"/>
              </w:rPr>
            </w:pPr>
            <w:r>
              <w:rPr>
                <w:rFonts w:ascii="Arial" w:cs="Arial" w:eastAsia="Arial" w:hAnsi="Arial"/>
                <w:sz w:val="11"/>
                <w:szCs w:val="11"/>
                <w:color w:val="auto"/>
              </w:rPr>
              <w:t>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19"/>
              <w:spacing w:after="0"/>
              <w:rPr>
                <w:sz w:val="20"/>
                <w:szCs w:val="20"/>
                <w:color w:val="auto"/>
              </w:rPr>
            </w:pPr>
            <w:r>
              <w:rPr>
                <w:rFonts w:ascii="Arial" w:cs="Arial" w:eastAsia="Arial" w:hAnsi="Arial"/>
                <w:sz w:val="11"/>
                <w:szCs w:val="11"/>
                <w:color w:val="auto"/>
              </w:rPr>
              <w:t>(62)</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78"/>
              <w:spacing w:after="0"/>
              <w:rPr>
                <w:sz w:val="20"/>
                <w:szCs w:val="20"/>
                <w:color w:val="auto"/>
              </w:rPr>
            </w:pPr>
            <w:r>
              <w:rPr>
                <w:rFonts w:ascii="Arial" w:cs="Arial" w:eastAsia="Arial" w:hAnsi="Arial"/>
                <w:sz w:val="11"/>
                <w:szCs w:val="11"/>
                <w:color w:val="auto"/>
                <w:w w:val="97"/>
              </w:rPr>
              <w:t>$</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w w:val="97"/>
              </w:rPr>
              <w:t>$</w:t>
            </w: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1"/>
                <w:szCs w:val="11"/>
                <w:color w:val="auto"/>
              </w:rPr>
              <w:t>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40" w:type="dxa"/>
            <w:vAlign w:val="bottom"/>
          </w:tcPr>
          <w:p>
            <w:pPr>
              <w:spacing w:after="0"/>
              <w:rPr>
                <w:sz w:val="18"/>
                <w:szCs w:val="18"/>
                <w:color w:val="auto"/>
              </w:rPr>
            </w:pPr>
          </w:p>
        </w:tc>
        <w:tc>
          <w:tcPr>
            <w:tcW w:w="3300" w:type="dxa"/>
            <w:vAlign w:val="bottom"/>
          </w:tcPr>
          <w:p>
            <w:pPr>
              <w:ind w:left="40"/>
              <w:spacing w:after="0"/>
              <w:rPr>
                <w:sz w:val="20"/>
                <w:szCs w:val="20"/>
                <w:color w:val="auto"/>
              </w:rPr>
            </w:pPr>
            <w:r>
              <w:rPr>
                <w:rFonts w:ascii="Arial" w:cs="Arial" w:eastAsia="Arial" w:hAnsi="Arial"/>
                <w:sz w:val="11"/>
                <w:szCs w:val="11"/>
                <w:color w:val="auto"/>
              </w:rPr>
              <w:t>Other comprehensive income (loss) before reclassifications:</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3300" w:type="dxa"/>
            <w:vAlign w:val="bottom"/>
            <w:shd w:val="clear" w:color="auto" w:fill="CCEEFF"/>
          </w:tcPr>
          <w:p>
            <w:pPr>
              <w:ind w:left="280"/>
              <w:spacing w:after="0"/>
              <w:rPr>
                <w:sz w:val="20"/>
                <w:szCs w:val="20"/>
                <w:color w:val="auto"/>
              </w:rPr>
            </w:pPr>
            <w:r>
              <w:rPr>
                <w:rFonts w:ascii="Arial" w:cs="Arial" w:eastAsia="Arial" w:hAnsi="Arial"/>
                <w:sz w:val="11"/>
                <w:szCs w:val="11"/>
                <w:color w:val="auto"/>
              </w:rPr>
              <w:t>Deferred gain (loss) from interest rate derivatives (1)</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61"/>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59"/>
              <w:spacing w:after="0"/>
              <w:rPr>
                <w:sz w:val="20"/>
                <w:szCs w:val="20"/>
                <w:color w:val="auto"/>
              </w:rPr>
            </w:pPr>
            <w:r>
              <w:rPr>
                <w:rFonts w:ascii="Arial" w:cs="Arial" w:eastAsia="Arial" w:hAnsi="Arial"/>
                <w:sz w:val="11"/>
                <w:szCs w:val="11"/>
                <w:color w:val="auto"/>
              </w:rPr>
              <w:t>4</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40" w:type="dxa"/>
            <w:vAlign w:val="bottom"/>
          </w:tcPr>
          <w:p>
            <w:pPr>
              <w:spacing w:after="0"/>
              <w:rPr>
                <w:sz w:val="18"/>
                <w:szCs w:val="18"/>
                <w:color w:val="auto"/>
              </w:rPr>
            </w:pPr>
          </w:p>
        </w:tc>
        <w:tc>
          <w:tcPr>
            <w:tcW w:w="3300" w:type="dxa"/>
            <w:vAlign w:val="bottom"/>
          </w:tcPr>
          <w:p>
            <w:pPr>
              <w:ind w:left="280"/>
              <w:spacing w:after="0"/>
              <w:rPr>
                <w:sz w:val="20"/>
                <w:szCs w:val="20"/>
                <w:color w:val="auto"/>
              </w:rPr>
            </w:pPr>
            <w:r>
              <w:rPr>
                <w:rFonts w:ascii="Arial" w:cs="Arial" w:eastAsia="Arial" w:hAnsi="Arial"/>
                <w:sz w:val="11"/>
                <w:szCs w:val="11"/>
                <w:color w:val="auto"/>
              </w:rPr>
              <w:t>Other comprehensive loss from unconsolidated affiliates</w:t>
            </w:r>
          </w:p>
        </w:tc>
        <w:tc>
          <w:tcPr>
            <w:tcW w:w="120" w:type="dxa"/>
            <w:vAlign w:val="bottom"/>
          </w:tcPr>
          <w:p>
            <w:pPr>
              <w:spacing w:after="0"/>
              <w:rPr>
                <w:sz w:val="18"/>
                <w:szCs w:val="18"/>
                <w:color w:val="auto"/>
              </w:rPr>
            </w:pPr>
          </w:p>
        </w:tc>
        <w:tc>
          <w:tcPr>
            <w:tcW w:w="1140" w:type="dxa"/>
            <w:vAlign w:val="bottom"/>
          </w:tcPr>
          <w:p>
            <w:pPr>
              <w:jc w:val="right"/>
              <w:ind w:right="23"/>
              <w:spacing w:after="0"/>
              <w:rPr>
                <w:sz w:val="20"/>
                <w:szCs w:val="20"/>
                <w:color w:val="auto"/>
              </w:rPr>
            </w:pPr>
            <w:r>
              <w:rPr>
                <w:rFonts w:ascii="Arial" w:cs="Arial" w:eastAsia="Arial" w:hAnsi="Arial"/>
                <w:sz w:val="11"/>
                <w:szCs w:val="11"/>
                <w:color w:val="auto"/>
              </w:rPr>
              <w:t>(2)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61"/>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920" w:type="dxa"/>
            <w:vAlign w:val="bottom"/>
          </w:tcPr>
          <w:p>
            <w:pPr>
              <w:spacing w:after="0"/>
              <w:rPr>
                <w:sz w:val="18"/>
                <w:szCs w:val="18"/>
                <w:color w:val="auto"/>
              </w:rPr>
            </w:pPr>
          </w:p>
        </w:tc>
        <w:tc>
          <w:tcPr>
            <w:tcW w:w="420" w:type="dxa"/>
            <w:vAlign w:val="bottom"/>
            <w:gridSpan w:val="3"/>
          </w:tcPr>
          <w:p>
            <w:pPr>
              <w:jc w:val="right"/>
              <w:ind w:right="22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3300" w:type="dxa"/>
            <w:vAlign w:val="bottom"/>
            <w:shd w:val="clear" w:color="auto" w:fill="CCEEFF"/>
          </w:tcPr>
          <w:p>
            <w:pPr>
              <w:ind w:left="40"/>
              <w:spacing w:after="0"/>
              <w:rPr>
                <w:sz w:val="20"/>
                <w:szCs w:val="20"/>
                <w:color w:val="auto"/>
              </w:rPr>
            </w:pPr>
            <w:r>
              <w:rPr>
                <w:rFonts w:ascii="Arial" w:cs="Arial" w:eastAsia="Arial" w:hAnsi="Arial"/>
                <w:sz w:val="11"/>
                <w:szCs w:val="11"/>
                <w:color w:val="auto"/>
              </w:rPr>
              <w:t>Amounts reclassified from accumulated other comprehensive loss:</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40" w:type="dxa"/>
            <w:vAlign w:val="bottom"/>
          </w:tcPr>
          <w:p>
            <w:pPr>
              <w:spacing w:after="0"/>
              <w:rPr>
                <w:sz w:val="18"/>
                <w:szCs w:val="18"/>
                <w:color w:val="auto"/>
              </w:rPr>
            </w:pPr>
          </w:p>
        </w:tc>
        <w:tc>
          <w:tcPr>
            <w:tcW w:w="3300" w:type="dxa"/>
            <w:vAlign w:val="bottom"/>
          </w:tcPr>
          <w:p>
            <w:pPr>
              <w:ind w:left="280"/>
              <w:spacing w:after="0"/>
              <w:rPr>
                <w:sz w:val="20"/>
                <w:szCs w:val="20"/>
                <w:color w:val="auto"/>
              </w:rPr>
            </w:pPr>
            <w:r>
              <w:rPr>
                <w:rFonts w:ascii="Arial" w:cs="Arial" w:eastAsia="Arial" w:hAnsi="Arial"/>
                <w:sz w:val="11"/>
                <w:szCs w:val="11"/>
                <w:color w:val="auto"/>
              </w:rPr>
              <w:t>Actuarial losses (2)</w:t>
            </w:r>
          </w:p>
        </w:tc>
        <w:tc>
          <w:tcPr>
            <w:tcW w:w="120" w:type="dxa"/>
            <w:vAlign w:val="bottom"/>
          </w:tcPr>
          <w:p>
            <w:pPr>
              <w:spacing w:after="0"/>
              <w:rPr>
                <w:sz w:val="18"/>
                <w:szCs w:val="18"/>
                <w:color w:val="auto"/>
              </w:rPr>
            </w:pPr>
          </w:p>
        </w:tc>
        <w:tc>
          <w:tcPr>
            <w:tcW w:w="1140" w:type="dxa"/>
            <w:vAlign w:val="bottom"/>
          </w:tcPr>
          <w:p>
            <w:pPr>
              <w:jc w:val="right"/>
              <w:ind w:right="63"/>
              <w:spacing w:after="0"/>
              <w:rPr>
                <w:sz w:val="20"/>
                <w:szCs w:val="20"/>
                <w:color w:val="auto"/>
              </w:rPr>
            </w:pPr>
            <w:r>
              <w:rPr>
                <w:rFonts w:ascii="Arial" w:cs="Arial" w:eastAsia="Arial" w:hAnsi="Arial"/>
                <w:sz w:val="11"/>
                <w:szCs w:val="11"/>
                <w:color w:val="auto"/>
              </w:rPr>
              <w:t>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61"/>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ind w:right="59"/>
              <w:spacing w:after="0"/>
              <w:rPr>
                <w:sz w:val="20"/>
                <w:szCs w:val="20"/>
                <w:color w:val="auto"/>
              </w:rPr>
            </w:pPr>
            <w:r>
              <w:rPr>
                <w:rFonts w:ascii="Arial" w:cs="Arial" w:eastAsia="Arial" w:hAnsi="Arial"/>
                <w:sz w:val="11"/>
                <w:szCs w:val="11"/>
                <w:color w:val="auto"/>
              </w:rPr>
              <w:t>2</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20" w:type="dxa"/>
            <w:vAlign w:val="bottom"/>
            <w:gridSpan w:val="3"/>
          </w:tcPr>
          <w:p>
            <w:pPr>
              <w:jc w:val="right"/>
              <w:ind w:right="22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3300" w:type="dxa"/>
            <w:vAlign w:val="bottom"/>
            <w:shd w:val="clear" w:color="auto" w:fill="CCEEFF"/>
          </w:tcPr>
          <w:p>
            <w:pPr>
              <w:ind w:left="280"/>
              <w:spacing w:after="0"/>
              <w:rPr>
                <w:sz w:val="20"/>
                <w:szCs w:val="20"/>
                <w:color w:val="auto"/>
              </w:rPr>
            </w:pPr>
            <w:r>
              <w:rPr>
                <w:rFonts w:ascii="Arial" w:cs="Arial" w:eastAsia="Arial" w:hAnsi="Arial"/>
                <w:sz w:val="11"/>
                <w:szCs w:val="11"/>
                <w:color w:val="auto"/>
              </w:rPr>
              <w:t>Tax expense</w:t>
            </w:r>
          </w:p>
        </w:tc>
        <w:tc>
          <w:tcPr>
            <w:tcW w:w="1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1"/>
                <w:szCs w:val="11"/>
                <w:color w:val="auto"/>
              </w:rPr>
              <w:t>(2)</w:t>
            </w:r>
          </w:p>
        </w:tc>
        <w:tc>
          <w:tcPr>
            <w:tcW w:w="10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3300" w:type="dxa"/>
            <w:vAlign w:val="bottom"/>
            <w:tcBorders>
              <w:bottom w:val="single" w:sz="8" w:color="CCEEFF"/>
            </w:tcBorders>
          </w:tcPr>
          <w:p>
            <w:pPr>
              <w:ind w:left="40"/>
              <w:spacing w:after="0"/>
              <w:rPr>
                <w:sz w:val="20"/>
                <w:szCs w:val="20"/>
                <w:color w:val="auto"/>
              </w:rPr>
            </w:pPr>
            <w:r>
              <w:rPr>
                <w:rFonts w:ascii="Arial" w:cs="Arial" w:eastAsia="Arial" w:hAnsi="Arial"/>
                <w:sz w:val="11"/>
                <w:szCs w:val="11"/>
                <w:color w:val="auto"/>
              </w:rPr>
              <w:t>Net current period other comprehensive income</w:t>
            </w:r>
          </w:p>
        </w:tc>
        <w:tc>
          <w:tcPr>
            <w:tcW w:w="1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23"/>
              <w:spacing w:after="0"/>
              <w:rPr>
                <w:sz w:val="20"/>
                <w:szCs w:val="20"/>
                <w:color w:val="auto"/>
              </w:rPr>
            </w:pPr>
            <w:r>
              <w:rPr>
                <w:rFonts w:ascii="Arial" w:cs="Arial" w:eastAsia="Arial" w:hAnsi="Arial"/>
                <w:sz w:val="11"/>
                <w:szCs w:val="11"/>
                <w:color w:val="auto"/>
              </w:rPr>
              <w:t>(2)</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61"/>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6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59"/>
              <w:spacing w:after="0"/>
              <w:rPr>
                <w:sz w:val="20"/>
                <w:szCs w:val="20"/>
                <w:color w:val="auto"/>
              </w:rPr>
            </w:pPr>
            <w:r>
              <w:rPr>
                <w:rFonts w:ascii="Arial" w:cs="Arial" w:eastAsia="Arial" w:hAnsi="Arial"/>
                <w:sz w:val="11"/>
                <w:szCs w:val="11"/>
                <w:color w:val="auto"/>
              </w:rPr>
              <w:t>4</w:t>
            </w:r>
          </w:p>
        </w:tc>
        <w:tc>
          <w:tcPr>
            <w:tcW w:w="10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1"/>
                <w:szCs w:val="11"/>
                <w:color w:val="auto"/>
              </w:rPr>
              <w:t>3</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3300" w:type="dxa"/>
            <w:vAlign w:val="bottom"/>
            <w:shd w:val="clear" w:color="auto" w:fill="CCEEFF"/>
          </w:tcPr>
          <w:p>
            <w:pPr>
              <w:ind w:left="40"/>
              <w:spacing w:after="0"/>
              <w:rPr>
                <w:sz w:val="20"/>
                <w:szCs w:val="20"/>
                <w:color w:val="auto"/>
              </w:rPr>
            </w:pPr>
            <w:r>
              <w:rPr>
                <w:rFonts w:ascii="Arial" w:cs="Arial" w:eastAsia="Arial" w:hAnsi="Arial"/>
                <w:sz w:val="11"/>
                <w:szCs w:val="11"/>
                <w:color w:val="auto"/>
              </w:rPr>
              <w:t>Ending Balance</w:t>
            </w: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14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(107)</w:t>
            </w:r>
          </w:p>
        </w:tc>
        <w:tc>
          <w:tcPr>
            <w:tcW w:w="100" w:type="dxa"/>
            <w:vAlign w:val="bottom"/>
            <w:shd w:val="clear" w:color="auto" w:fill="CCEEFF"/>
          </w:tcPr>
          <w:p>
            <w:pPr>
              <w:spacing w:after="0"/>
              <w:rPr>
                <w:sz w:val="16"/>
                <w:szCs w:val="16"/>
                <w:color w:val="auto"/>
              </w:rPr>
            </w:pPr>
          </w:p>
        </w:tc>
        <w:tc>
          <w:tcPr>
            <w:tcW w:w="18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1100" w:type="dxa"/>
            <w:vAlign w:val="bottom"/>
            <w:shd w:val="clear" w:color="auto" w:fill="CCEEFF"/>
          </w:tcPr>
          <w:p>
            <w:pPr>
              <w:jc w:val="right"/>
              <w:ind w:right="21"/>
              <w:spacing w:after="0"/>
              <w:rPr>
                <w:sz w:val="20"/>
                <w:szCs w:val="20"/>
                <w:color w:val="auto"/>
              </w:rPr>
            </w:pPr>
            <w:r>
              <w:rPr>
                <w:rFonts w:ascii="Arial" w:cs="Arial" w:eastAsia="Arial" w:hAnsi="Arial"/>
                <w:sz w:val="11"/>
                <w:szCs w:val="11"/>
                <w:color w:val="auto"/>
              </w:rPr>
              <w:t>(15)</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60"/>
              <w:spacing w:after="0"/>
              <w:rPr>
                <w:sz w:val="20"/>
                <w:szCs w:val="20"/>
                <w:color w:val="auto"/>
              </w:rPr>
            </w:pPr>
            <w:r>
              <w:rPr>
                <w:rFonts w:ascii="Arial" w:cs="Arial" w:eastAsia="Arial" w:hAnsi="Arial"/>
                <w:sz w:val="11"/>
                <w:szCs w:val="11"/>
                <w:color w:val="auto"/>
              </w:rPr>
              <w:t>5</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19"/>
              <w:spacing w:after="0"/>
              <w:rPr>
                <w:sz w:val="20"/>
                <w:szCs w:val="20"/>
                <w:color w:val="auto"/>
              </w:rPr>
            </w:pPr>
            <w:r>
              <w:rPr>
                <w:rFonts w:ascii="Arial" w:cs="Arial" w:eastAsia="Arial" w:hAnsi="Arial"/>
                <w:sz w:val="11"/>
                <w:szCs w:val="11"/>
                <w:color w:val="auto"/>
              </w:rPr>
              <w:t>(58)</w:t>
            </w: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778"/>
              <w:spacing w:after="0"/>
              <w:rPr>
                <w:sz w:val="20"/>
                <w:szCs w:val="20"/>
                <w:color w:val="auto"/>
              </w:rPr>
            </w:pPr>
            <w:r>
              <w:rPr>
                <w:rFonts w:ascii="Arial" w:cs="Arial" w:eastAsia="Arial" w:hAnsi="Arial"/>
                <w:sz w:val="11"/>
                <w:szCs w:val="11"/>
                <w:color w:val="auto"/>
                <w:w w:val="97"/>
              </w:rPr>
              <w:t>$</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7</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w w:val="97"/>
              </w:rPr>
              <w:t>$</w:t>
            </w: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1"/>
                <w:szCs w:val="11"/>
                <w:color w:val="auto"/>
              </w:rPr>
              <w:t>6</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4"/>
        </w:trPr>
        <w:tc>
          <w:tcPr>
            <w:tcW w:w="4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jc w:val="right"/>
              <w:ind w:right="121"/>
              <w:spacing w:after="0"/>
              <w:rPr>
                <w:sz w:val="20"/>
                <w:szCs w:val="20"/>
                <w:color w:val="auto"/>
              </w:rPr>
            </w:pPr>
            <w:r>
              <w:rPr>
                <w:rFonts w:ascii="Arial" w:cs="Arial" w:eastAsia="Arial" w:hAnsi="Arial"/>
                <w:sz w:val="14"/>
                <w:szCs w:val="14"/>
                <w:color w:val="auto"/>
              </w:rPr>
              <w:t>64</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20" w:top="129" w:right="219" w:bottom="1440" w:gutter="0" w:footer="0" w:header="0"/>
        </w:sectPr>
      </w:pPr>
    </w:p>
    <w:bookmarkStart w:id="74" w:name="page75"/>
    <w:bookmarkEnd w:id="74"/>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382" w:lineRule="exact"/>
        <w:rPr>
          <w:sz w:val="20"/>
          <w:szCs w:val="20"/>
          <w:color w:val="auto"/>
        </w:rPr>
      </w:pPr>
    </w:p>
    <w:tbl>
      <w:tblPr>
        <w:tblLayout w:type="fixed"/>
        <w:tblInd w:w="40" w:type="dxa"/>
        <w:tblCellMar>
          <w:top w:w="0" w:type="dxa"/>
          <w:left w:w="0" w:type="dxa"/>
          <w:bottom w:w="0" w:type="dxa"/>
          <w:right w:w="0" w:type="dxa"/>
        </w:tblCellMar>
      </w:tblPr>
      <w:tr>
        <w:trPr>
          <w:trHeight w:val="153"/>
        </w:trPr>
        <w:tc>
          <w:tcPr>
            <w:tcW w:w="33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480" w:type="dxa"/>
            <w:vAlign w:val="bottom"/>
            <w:tcBorders>
              <w:bottom w:val="single" w:sz="8" w:color="auto"/>
            </w:tcBorders>
            <w:gridSpan w:val="5"/>
          </w:tcPr>
          <w:p>
            <w:pPr>
              <w:jc w:val="center"/>
              <w:ind w:right="420"/>
              <w:spacing w:after="0"/>
              <w:rPr>
                <w:sz w:val="20"/>
                <w:szCs w:val="20"/>
                <w:color w:val="auto"/>
              </w:rPr>
            </w:pPr>
            <w:r>
              <w:rPr>
                <w:rFonts w:ascii="Arial" w:cs="Arial" w:eastAsia="Arial" w:hAnsi="Arial"/>
                <w:sz w:val="11"/>
                <w:szCs w:val="11"/>
                <w:b w:val="1"/>
                <w:bCs w:val="1"/>
                <w:color w:val="auto"/>
                <w:w w:val="93"/>
              </w:rPr>
              <w:t>Nine Months Ended September 30,</w:t>
            </w:r>
          </w:p>
        </w:tc>
        <w:tc>
          <w:tcPr>
            <w:tcW w:w="1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r>
      <w:tr>
        <w:trPr>
          <w:trHeight w:val="206"/>
        </w:trPr>
        <w:tc>
          <w:tcPr>
            <w:tcW w:w="33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43"/>
              <w:spacing w:after="0"/>
              <w:rPr>
                <w:sz w:val="20"/>
                <w:szCs w:val="20"/>
                <w:color w:val="auto"/>
              </w:rPr>
            </w:pPr>
            <w:r>
              <w:rPr>
                <w:rFonts w:ascii="Arial" w:cs="Arial" w:eastAsia="Arial" w:hAnsi="Arial"/>
                <w:sz w:val="11"/>
                <w:szCs w:val="11"/>
                <w:b w:val="1"/>
                <w:bCs w:val="1"/>
                <w:color w:val="auto"/>
              </w:rPr>
              <w:t>2019</w:t>
            </w:r>
          </w:p>
        </w:tc>
        <w:tc>
          <w:tcPr>
            <w:tcW w:w="1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43"/>
              <w:spacing w:after="0"/>
              <w:rPr>
                <w:sz w:val="20"/>
                <w:szCs w:val="20"/>
                <w:color w:val="auto"/>
              </w:rPr>
            </w:pPr>
            <w:r>
              <w:rPr>
                <w:rFonts w:ascii="Arial" w:cs="Arial" w:eastAsia="Arial" w:hAnsi="Arial"/>
                <w:sz w:val="11"/>
                <w:szCs w:val="11"/>
                <w:b w:val="1"/>
                <w:bCs w:val="1"/>
                <w:color w:val="auto"/>
              </w:rPr>
              <w:t>2018</w:t>
            </w: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r>
      <w:tr>
        <w:trPr>
          <w:trHeight w:val="206"/>
        </w:trPr>
        <w:tc>
          <w:tcPr>
            <w:tcW w:w="33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2"/>
          </w:tcPr>
          <w:p>
            <w:pPr>
              <w:ind w:left="20"/>
              <w:spacing w:after="0"/>
              <w:rPr>
                <w:sz w:val="20"/>
                <w:szCs w:val="20"/>
                <w:color w:val="auto"/>
              </w:rPr>
            </w:pPr>
            <w:r>
              <w:rPr>
                <w:rFonts w:ascii="Arial" w:cs="Arial" w:eastAsia="Arial" w:hAnsi="Arial"/>
                <w:sz w:val="11"/>
                <w:szCs w:val="11"/>
                <w:b w:val="1"/>
                <w:bCs w:val="1"/>
                <w:color w:val="auto"/>
              </w:rPr>
              <w:t>CenterPoint Energy</w:t>
            </w:r>
          </w:p>
        </w:tc>
        <w:tc>
          <w:tcPr>
            <w:tcW w:w="1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2"/>
          </w:tcPr>
          <w:p>
            <w:pPr>
              <w:ind w:left="60"/>
              <w:spacing w:after="0"/>
              <w:rPr>
                <w:sz w:val="20"/>
                <w:szCs w:val="20"/>
                <w:color w:val="auto"/>
              </w:rPr>
            </w:pPr>
            <w:r>
              <w:rPr>
                <w:rFonts w:ascii="Arial" w:cs="Arial" w:eastAsia="Arial" w:hAnsi="Arial"/>
                <w:sz w:val="11"/>
                <w:szCs w:val="11"/>
                <w:b w:val="1"/>
                <w:bCs w:val="1"/>
                <w:color w:val="auto"/>
              </w:rPr>
              <w:t>Houston Electric</w:t>
            </w:r>
          </w:p>
        </w:tc>
        <w:tc>
          <w:tcPr>
            <w:tcW w:w="2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2"/>
          </w:tcPr>
          <w:p>
            <w:pPr>
              <w:ind w:left="220"/>
              <w:spacing w:after="0"/>
              <w:rPr>
                <w:sz w:val="20"/>
                <w:szCs w:val="20"/>
                <w:color w:val="auto"/>
              </w:rPr>
            </w:pPr>
            <w:r>
              <w:rPr>
                <w:rFonts w:ascii="Arial" w:cs="Arial" w:eastAsia="Arial" w:hAnsi="Arial"/>
                <w:sz w:val="11"/>
                <w:szCs w:val="11"/>
                <w:b w:val="1"/>
                <w:bCs w:val="1"/>
                <w:color w:val="auto"/>
              </w:rPr>
              <w:t>CERC</w:t>
            </w:r>
          </w:p>
        </w:tc>
        <w:tc>
          <w:tcPr>
            <w:tcW w:w="1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2"/>
          </w:tcPr>
          <w:p>
            <w:pPr>
              <w:ind w:left="20"/>
              <w:spacing w:after="0"/>
              <w:rPr>
                <w:sz w:val="20"/>
                <w:szCs w:val="20"/>
                <w:color w:val="auto"/>
              </w:rPr>
            </w:pPr>
            <w:r>
              <w:rPr>
                <w:rFonts w:ascii="Arial" w:cs="Arial" w:eastAsia="Arial" w:hAnsi="Arial"/>
                <w:sz w:val="11"/>
                <w:szCs w:val="11"/>
                <w:b w:val="1"/>
                <w:bCs w:val="1"/>
                <w:color w:val="auto"/>
              </w:rPr>
              <w:t>CenterPoint Energy</w:t>
            </w:r>
          </w:p>
        </w:tc>
        <w:tc>
          <w:tcPr>
            <w:tcW w:w="1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2"/>
          </w:tcPr>
          <w:p>
            <w:pPr>
              <w:ind w:left="60"/>
              <w:spacing w:after="0"/>
              <w:rPr>
                <w:sz w:val="20"/>
                <w:szCs w:val="20"/>
                <w:color w:val="auto"/>
              </w:rPr>
            </w:pPr>
            <w:r>
              <w:rPr>
                <w:rFonts w:ascii="Arial" w:cs="Arial" w:eastAsia="Arial" w:hAnsi="Arial"/>
                <w:sz w:val="11"/>
                <w:szCs w:val="11"/>
                <w:b w:val="1"/>
                <w:bCs w:val="1"/>
                <w:color w:val="auto"/>
              </w:rPr>
              <w:t>Houston Electric</w:t>
            </w: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83"/>
              <w:spacing w:after="0"/>
              <w:rPr>
                <w:sz w:val="20"/>
                <w:szCs w:val="20"/>
                <w:color w:val="auto"/>
              </w:rPr>
            </w:pPr>
            <w:r>
              <w:rPr>
                <w:rFonts w:ascii="Arial" w:cs="Arial" w:eastAsia="Arial" w:hAnsi="Arial"/>
                <w:sz w:val="11"/>
                <w:szCs w:val="11"/>
                <w:b w:val="1"/>
                <w:bCs w:val="1"/>
                <w:color w:val="auto"/>
              </w:rPr>
              <w:t>CERC</w:t>
            </w:r>
          </w:p>
        </w:tc>
      </w:tr>
      <w:tr>
        <w:trPr>
          <w:trHeight w:val="196"/>
        </w:trPr>
        <w:tc>
          <w:tcPr>
            <w:tcW w:w="3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80" w:type="dxa"/>
            <w:vAlign w:val="bottom"/>
            <w:gridSpan w:val="5"/>
          </w:tcPr>
          <w:p>
            <w:pPr>
              <w:jc w:val="center"/>
              <w:ind w:right="420"/>
              <w:spacing w:after="0"/>
              <w:rPr>
                <w:sz w:val="20"/>
                <w:szCs w:val="20"/>
                <w:color w:val="auto"/>
              </w:rPr>
            </w:pPr>
            <w:r>
              <w:rPr>
                <w:rFonts w:ascii="Arial" w:cs="Arial" w:eastAsia="Arial" w:hAnsi="Arial"/>
                <w:sz w:val="11"/>
                <w:szCs w:val="11"/>
                <w:b w:val="1"/>
                <w:bCs w:val="1"/>
                <w:color w:val="auto"/>
                <w:w w:val="93"/>
              </w:rPr>
              <w:t>(in millions)</w:t>
            </w: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20"/>
        </w:trPr>
        <w:tc>
          <w:tcPr>
            <w:tcW w:w="3300" w:type="dxa"/>
            <w:vAlign w:val="bottom"/>
            <w:shd w:val="clear" w:color="auto" w:fill="CCEEFF"/>
          </w:tcPr>
          <w:p>
            <w:pPr>
              <w:ind w:left="40"/>
              <w:spacing w:after="0"/>
              <w:rPr>
                <w:sz w:val="20"/>
                <w:szCs w:val="20"/>
                <w:color w:val="auto"/>
              </w:rPr>
            </w:pPr>
            <w:r>
              <w:rPr>
                <w:rFonts w:ascii="Arial" w:cs="Arial" w:eastAsia="Arial" w:hAnsi="Arial"/>
                <w:sz w:val="11"/>
                <w:szCs w:val="11"/>
                <w:color w:val="auto"/>
              </w:rPr>
              <w:t>Beginning Balance</w:t>
            </w: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14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(108)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w w:val="97"/>
              </w:rPr>
              <w:t>$</w:t>
            </w:r>
          </w:p>
        </w:tc>
        <w:tc>
          <w:tcPr>
            <w:tcW w:w="110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(14)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123"/>
              <w:spacing w:after="0"/>
              <w:rPr>
                <w:sz w:val="20"/>
                <w:szCs w:val="20"/>
                <w:color w:val="auto"/>
              </w:rPr>
            </w:pPr>
            <w:r>
              <w:rPr>
                <w:rFonts w:ascii="Arial" w:cs="Arial" w:eastAsia="Arial" w:hAnsi="Arial"/>
                <w:sz w:val="11"/>
                <w:szCs w:val="11"/>
                <w:color w:val="auto"/>
                <w:w w:val="97"/>
              </w:rPr>
              <w:t>$</w:t>
            </w:r>
          </w:p>
        </w:tc>
        <w:tc>
          <w:tcPr>
            <w:tcW w:w="100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14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(68)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w w:val="97"/>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260" w:type="dxa"/>
            <w:vAlign w:val="bottom"/>
            <w:shd w:val="clear" w:color="auto" w:fill="CCEEFF"/>
          </w:tcPr>
          <w:p>
            <w:pPr>
              <w:jc w:val="right"/>
              <w:ind w:right="123"/>
              <w:spacing w:after="0"/>
              <w:rPr>
                <w:sz w:val="20"/>
                <w:szCs w:val="20"/>
                <w:color w:val="auto"/>
              </w:rPr>
            </w:pPr>
            <w:r>
              <w:rPr>
                <w:rFonts w:ascii="Arial" w:cs="Arial" w:eastAsia="Arial" w:hAnsi="Arial"/>
                <w:sz w:val="11"/>
                <w:szCs w:val="11"/>
                <w:color w:val="auto"/>
                <w:w w:val="97"/>
              </w:rPr>
              <w:t>$</w:t>
            </w:r>
          </w:p>
        </w:tc>
        <w:tc>
          <w:tcPr>
            <w:tcW w:w="96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6</w:t>
            </w:r>
          </w:p>
        </w:tc>
      </w:tr>
      <w:tr>
        <w:trPr>
          <w:trHeight w:val="211"/>
        </w:trPr>
        <w:tc>
          <w:tcPr>
            <w:tcW w:w="3300" w:type="dxa"/>
            <w:vAlign w:val="bottom"/>
          </w:tcPr>
          <w:p>
            <w:pPr>
              <w:ind w:left="40"/>
              <w:spacing w:after="0"/>
              <w:rPr>
                <w:sz w:val="20"/>
                <w:szCs w:val="20"/>
                <w:color w:val="auto"/>
              </w:rPr>
            </w:pPr>
            <w:r>
              <w:rPr>
                <w:rFonts w:ascii="Arial" w:cs="Arial" w:eastAsia="Arial" w:hAnsi="Arial"/>
                <w:sz w:val="11"/>
                <w:szCs w:val="11"/>
                <w:color w:val="auto"/>
              </w:rPr>
              <w:t>Other comprehensive income (loss) before reclassifications:</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20"/>
        </w:trPr>
        <w:tc>
          <w:tcPr>
            <w:tcW w:w="3300" w:type="dxa"/>
            <w:vAlign w:val="bottom"/>
            <w:shd w:val="clear" w:color="auto" w:fill="CCEEFF"/>
          </w:tcPr>
          <w:p>
            <w:pPr>
              <w:ind w:left="280"/>
              <w:spacing w:after="0"/>
              <w:rPr>
                <w:sz w:val="20"/>
                <w:szCs w:val="20"/>
                <w:color w:val="auto"/>
              </w:rPr>
            </w:pPr>
            <w:r>
              <w:rPr>
                <w:rFonts w:ascii="Arial" w:cs="Arial" w:eastAsia="Arial" w:hAnsi="Arial"/>
                <w:sz w:val="11"/>
                <w:szCs w:val="11"/>
                <w:color w:val="auto"/>
              </w:rPr>
              <w:t>Deferred gain (loss) from interest rate derivatives (1)</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w:t>
            </w:r>
          </w:p>
        </w:tc>
      </w:tr>
      <w:tr>
        <w:trPr>
          <w:trHeight w:val="211"/>
        </w:trPr>
        <w:tc>
          <w:tcPr>
            <w:tcW w:w="3300" w:type="dxa"/>
            <w:vAlign w:val="bottom"/>
          </w:tcPr>
          <w:p>
            <w:pPr>
              <w:ind w:left="280"/>
              <w:spacing w:after="0"/>
              <w:rPr>
                <w:sz w:val="20"/>
                <w:szCs w:val="20"/>
                <w:color w:val="auto"/>
              </w:rPr>
            </w:pPr>
            <w:r>
              <w:rPr>
                <w:rFonts w:ascii="Arial" w:cs="Arial" w:eastAsia="Arial" w:hAnsi="Arial"/>
                <w:sz w:val="11"/>
                <w:szCs w:val="11"/>
                <w:color w:val="auto"/>
              </w:rPr>
              <w:t>Other comprehensive loss from unconsolidated affiliates</w:t>
            </w:r>
          </w:p>
        </w:tc>
        <w:tc>
          <w:tcPr>
            <w:tcW w:w="120" w:type="dxa"/>
            <w:vAlign w:val="bottom"/>
          </w:tcPr>
          <w:p>
            <w:pPr>
              <w:spacing w:after="0"/>
              <w:rPr>
                <w:sz w:val="18"/>
                <w:szCs w:val="18"/>
                <w:color w:val="auto"/>
              </w:rPr>
            </w:pPr>
          </w:p>
        </w:tc>
        <w:tc>
          <w:tcPr>
            <w:tcW w:w="1140" w:type="dxa"/>
            <w:vAlign w:val="bottom"/>
          </w:tcPr>
          <w:p>
            <w:pPr>
              <w:jc w:val="right"/>
              <w:ind w:right="23"/>
              <w:spacing w:after="0"/>
              <w:rPr>
                <w:sz w:val="20"/>
                <w:szCs w:val="20"/>
                <w:color w:val="auto"/>
              </w:rPr>
            </w:pPr>
            <w:r>
              <w:rPr>
                <w:rFonts w:ascii="Arial" w:cs="Arial" w:eastAsia="Arial" w:hAnsi="Arial"/>
                <w:sz w:val="11"/>
                <w:szCs w:val="11"/>
                <w:color w:val="auto"/>
              </w:rPr>
              <w:t>(2)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8"/>
                <w:szCs w:val="18"/>
                <w:color w:val="auto"/>
              </w:rPr>
            </w:pPr>
          </w:p>
        </w:tc>
        <w:tc>
          <w:tcPr>
            <w:tcW w:w="960" w:type="dxa"/>
            <w:vAlign w:val="bottom"/>
          </w:tcPr>
          <w:p>
            <w:pPr>
              <w:jc w:val="right"/>
              <w:ind w:right="43"/>
              <w:spacing w:after="0"/>
              <w:rPr>
                <w:sz w:val="20"/>
                <w:szCs w:val="20"/>
                <w:color w:val="auto"/>
              </w:rPr>
            </w:pPr>
            <w:r>
              <w:rPr>
                <w:rFonts w:ascii="Arial" w:cs="Arial" w:eastAsia="Arial" w:hAnsi="Arial"/>
                <w:sz w:val="11"/>
                <w:szCs w:val="11"/>
                <w:color w:val="auto"/>
              </w:rPr>
              <w:t>—</w:t>
            </w:r>
          </w:p>
        </w:tc>
      </w:tr>
      <w:tr>
        <w:trPr>
          <w:trHeight w:val="220"/>
        </w:trPr>
        <w:tc>
          <w:tcPr>
            <w:tcW w:w="3300" w:type="dxa"/>
            <w:vAlign w:val="bottom"/>
            <w:shd w:val="clear" w:color="auto" w:fill="CCEEFF"/>
          </w:tcPr>
          <w:p>
            <w:pPr>
              <w:ind w:left="40"/>
              <w:spacing w:after="0"/>
              <w:rPr>
                <w:sz w:val="20"/>
                <w:szCs w:val="20"/>
                <w:color w:val="auto"/>
              </w:rPr>
            </w:pPr>
            <w:r>
              <w:rPr>
                <w:rFonts w:ascii="Arial" w:cs="Arial" w:eastAsia="Arial" w:hAnsi="Arial"/>
                <w:sz w:val="11"/>
                <w:szCs w:val="11"/>
                <w:color w:val="auto"/>
              </w:rPr>
              <w:t>Amounts reclassified from accumulated other comprehensive loss:</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11"/>
        </w:trPr>
        <w:tc>
          <w:tcPr>
            <w:tcW w:w="3300" w:type="dxa"/>
            <w:vAlign w:val="bottom"/>
          </w:tcPr>
          <w:p>
            <w:pPr>
              <w:ind w:left="280"/>
              <w:spacing w:after="0"/>
              <w:rPr>
                <w:sz w:val="20"/>
                <w:szCs w:val="20"/>
                <w:color w:val="auto"/>
              </w:rPr>
            </w:pPr>
            <w:r>
              <w:rPr>
                <w:rFonts w:ascii="Arial" w:cs="Arial" w:eastAsia="Arial" w:hAnsi="Arial"/>
                <w:sz w:val="11"/>
                <w:szCs w:val="11"/>
                <w:color w:val="auto"/>
              </w:rPr>
              <w:t>Prior service cost (2)</w:t>
            </w:r>
          </w:p>
        </w:tc>
        <w:tc>
          <w:tcPr>
            <w:tcW w:w="120" w:type="dxa"/>
            <w:vAlign w:val="bottom"/>
          </w:tcPr>
          <w:p>
            <w:pPr>
              <w:spacing w:after="0"/>
              <w:rPr>
                <w:sz w:val="18"/>
                <w:szCs w:val="18"/>
                <w:color w:val="auto"/>
              </w:rPr>
            </w:pPr>
          </w:p>
        </w:tc>
        <w:tc>
          <w:tcPr>
            <w:tcW w:w="1140" w:type="dxa"/>
            <w:vAlign w:val="bottom"/>
          </w:tcPr>
          <w:p>
            <w:pPr>
              <w:jc w:val="right"/>
              <w:ind w:right="63"/>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8"/>
                <w:szCs w:val="18"/>
                <w:color w:val="auto"/>
              </w:rPr>
            </w:pPr>
          </w:p>
        </w:tc>
        <w:tc>
          <w:tcPr>
            <w:tcW w:w="1140" w:type="dxa"/>
            <w:vAlign w:val="bottom"/>
          </w:tcPr>
          <w:p>
            <w:pPr>
              <w:jc w:val="right"/>
              <w:ind w:right="63"/>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8"/>
                <w:szCs w:val="18"/>
                <w:color w:val="auto"/>
              </w:rPr>
            </w:pPr>
          </w:p>
        </w:tc>
        <w:tc>
          <w:tcPr>
            <w:tcW w:w="960" w:type="dxa"/>
            <w:vAlign w:val="bottom"/>
          </w:tcPr>
          <w:p>
            <w:pPr>
              <w:jc w:val="right"/>
              <w:ind w:right="43"/>
              <w:spacing w:after="0"/>
              <w:rPr>
                <w:sz w:val="20"/>
                <w:szCs w:val="20"/>
                <w:color w:val="auto"/>
              </w:rPr>
            </w:pPr>
            <w:r>
              <w:rPr>
                <w:rFonts w:ascii="Arial" w:cs="Arial" w:eastAsia="Arial" w:hAnsi="Arial"/>
                <w:sz w:val="11"/>
                <w:szCs w:val="11"/>
                <w:color w:val="auto"/>
              </w:rPr>
              <w:t>—</w:t>
            </w:r>
          </w:p>
        </w:tc>
      </w:tr>
      <w:tr>
        <w:trPr>
          <w:trHeight w:val="220"/>
        </w:trPr>
        <w:tc>
          <w:tcPr>
            <w:tcW w:w="3300" w:type="dxa"/>
            <w:vAlign w:val="bottom"/>
            <w:shd w:val="clear" w:color="auto" w:fill="CCEEFF"/>
          </w:tcPr>
          <w:p>
            <w:pPr>
              <w:ind w:left="280"/>
              <w:spacing w:after="0"/>
              <w:rPr>
                <w:sz w:val="20"/>
                <w:szCs w:val="20"/>
                <w:color w:val="auto"/>
              </w:rPr>
            </w:pPr>
            <w:r>
              <w:rPr>
                <w:rFonts w:ascii="Arial" w:cs="Arial" w:eastAsia="Arial" w:hAnsi="Arial"/>
                <w:sz w:val="11"/>
                <w:szCs w:val="11"/>
                <w:color w:val="auto"/>
              </w:rPr>
              <w:t>Actuarial losses (2)</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w:t>
            </w:r>
          </w:p>
        </w:tc>
      </w:tr>
      <w:tr>
        <w:trPr>
          <w:trHeight w:val="125"/>
        </w:trPr>
        <w:tc>
          <w:tcPr>
            <w:tcW w:w="3300" w:type="dxa"/>
            <w:vAlign w:val="bottom"/>
          </w:tcPr>
          <w:p>
            <w:pPr>
              <w:ind w:left="280"/>
              <w:spacing w:after="0" w:line="125" w:lineRule="exact"/>
              <w:rPr>
                <w:sz w:val="20"/>
                <w:szCs w:val="20"/>
                <w:color w:val="auto"/>
              </w:rPr>
            </w:pPr>
            <w:r>
              <w:rPr>
                <w:rFonts w:ascii="Arial" w:cs="Arial" w:eastAsia="Arial" w:hAnsi="Arial"/>
                <w:sz w:val="11"/>
                <w:szCs w:val="11"/>
                <w:color w:val="auto"/>
                <w:w w:val="96"/>
              </w:rPr>
              <w:t>Reclassification of deferred loss from cash flow hedges realized</w:t>
            </w:r>
          </w:p>
        </w:tc>
        <w:tc>
          <w:tcPr>
            <w:tcW w:w="1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60" w:type="dxa"/>
            <w:vAlign w:val="bottom"/>
          </w:tcPr>
          <w:p>
            <w:pPr>
              <w:spacing w:after="0"/>
              <w:rPr>
                <w:sz w:val="10"/>
                <w:szCs w:val="10"/>
                <w:color w:val="auto"/>
              </w:rPr>
            </w:pPr>
          </w:p>
        </w:tc>
      </w:tr>
      <w:tr>
        <w:trPr>
          <w:trHeight w:val="151"/>
        </w:trPr>
        <w:tc>
          <w:tcPr>
            <w:tcW w:w="3300" w:type="dxa"/>
            <w:vAlign w:val="bottom"/>
          </w:tcPr>
          <w:p>
            <w:pPr>
              <w:ind w:left="420"/>
              <w:spacing w:after="0"/>
              <w:rPr>
                <w:sz w:val="20"/>
                <w:szCs w:val="20"/>
                <w:color w:val="auto"/>
              </w:rPr>
            </w:pPr>
            <w:r>
              <w:rPr>
                <w:rFonts w:ascii="Arial" w:cs="Arial" w:eastAsia="Arial" w:hAnsi="Arial"/>
                <w:sz w:val="11"/>
                <w:szCs w:val="11"/>
                <w:color w:val="auto"/>
              </w:rPr>
              <w:t>in net income</w:t>
            </w:r>
          </w:p>
        </w:tc>
        <w:tc>
          <w:tcPr>
            <w:tcW w:w="120" w:type="dxa"/>
            <w:vAlign w:val="bottom"/>
          </w:tcPr>
          <w:p>
            <w:pPr>
              <w:spacing w:after="0"/>
              <w:rPr>
                <w:sz w:val="13"/>
                <w:szCs w:val="13"/>
                <w:color w:val="auto"/>
              </w:rPr>
            </w:pPr>
          </w:p>
        </w:tc>
        <w:tc>
          <w:tcPr>
            <w:tcW w:w="1140" w:type="dxa"/>
            <w:vAlign w:val="bottom"/>
          </w:tcPr>
          <w:p>
            <w:pPr>
              <w:jc w:val="right"/>
              <w:ind w:right="63"/>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3"/>
                <w:szCs w:val="13"/>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3"/>
                <w:szCs w:val="13"/>
                <w:color w:val="auto"/>
              </w:rPr>
            </w:pPr>
          </w:p>
        </w:tc>
        <w:tc>
          <w:tcPr>
            <w:tcW w:w="960" w:type="dxa"/>
            <w:vAlign w:val="bottom"/>
          </w:tcPr>
          <w:p>
            <w:pPr>
              <w:jc w:val="right"/>
              <w:ind w:right="43"/>
              <w:spacing w:after="0"/>
              <w:rPr>
                <w:sz w:val="20"/>
                <w:szCs w:val="20"/>
                <w:color w:val="auto"/>
              </w:rPr>
            </w:pPr>
            <w:r>
              <w:rPr>
                <w:rFonts w:ascii="Arial" w:cs="Arial" w:eastAsia="Arial" w:hAnsi="Arial"/>
                <w:sz w:val="11"/>
                <w:szCs w:val="11"/>
                <w:color w:val="auto"/>
              </w:rPr>
              <w:t>—</w:t>
            </w:r>
          </w:p>
        </w:tc>
      </w:tr>
      <w:tr>
        <w:trPr>
          <w:trHeight w:val="216"/>
        </w:trPr>
        <w:tc>
          <w:tcPr>
            <w:tcW w:w="3300" w:type="dxa"/>
            <w:vAlign w:val="bottom"/>
            <w:shd w:val="clear" w:color="auto" w:fill="CCEEFF"/>
          </w:tcPr>
          <w:p>
            <w:pPr>
              <w:ind w:left="280"/>
              <w:spacing w:after="0"/>
              <w:rPr>
                <w:sz w:val="20"/>
                <w:szCs w:val="20"/>
                <w:color w:val="auto"/>
              </w:rPr>
            </w:pPr>
            <w:r>
              <w:rPr>
                <w:rFonts w:ascii="Arial" w:cs="Arial" w:eastAsia="Arial" w:hAnsi="Arial"/>
                <w:sz w:val="11"/>
                <w:szCs w:val="11"/>
                <w:color w:val="auto"/>
              </w:rPr>
              <w:t>Tax expense</w:t>
            </w:r>
          </w:p>
        </w:tc>
        <w:tc>
          <w:tcPr>
            <w:tcW w:w="1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1"/>
                <w:szCs w:val="11"/>
                <w:color w:val="auto"/>
              </w:rPr>
              <w:t>(2)</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1"/>
                <w:szCs w:val="11"/>
                <w:color w:val="auto"/>
              </w:rPr>
              <w:t>(4)</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1"/>
                <w:szCs w:val="11"/>
                <w:color w:val="auto"/>
              </w:rPr>
              <w:t>(1)</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1"/>
                <w:szCs w:val="11"/>
                <w:color w:val="auto"/>
              </w:rPr>
              <w:t>—</w:t>
            </w:r>
          </w:p>
        </w:tc>
      </w:tr>
      <w:tr>
        <w:trPr>
          <w:trHeight w:val="196"/>
        </w:trPr>
        <w:tc>
          <w:tcPr>
            <w:tcW w:w="3300" w:type="dxa"/>
            <w:vAlign w:val="bottom"/>
          </w:tcPr>
          <w:p>
            <w:pPr>
              <w:ind w:left="40"/>
              <w:spacing w:after="0"/>
              <w:rPr>
                <w:sz w:val="20"/>
                <w:szCs w:val="20"/>
                <w:color w:val="auto"/>
              </w:rPr>
            </w:pPr>
            <w:r>
              <w:rPr>
                <w:rFonts w:ascii="Arial" w:cs="Arial" w:eastAsia="Arial" w:hAnsi="Arial"/>
                <w:sz w:val="11"/>
                <w:szCs w:val="11"/>
                <w:color w:val="auto"/>
              </w:rPr>
              <w:t>Net current period other comprehensive income (loss)</w:t>
            </w:r>
          </w:p>
        </w:tc>
        <w:tc>
          <w:tcPr>
            <w:tcW w:w="120" w:type="dxa"/>
            <w:vAlign w:val="bottom"/>
          </w:tcPr>
          <w:p>
            <w:pPr>
              <w:spacing w:after="0"/>
              <w:rPr>
                <w:sz w:val="17"/>
                <w:szCs w:val="17"/>
                <w:color w:val="auto"/>
              </w:rPr>
            </w:pPr>
          </w:p>
        </w:tc>
        <w:tc>
          <w:tcPr>
            <w:tcW w:w="1140" w:type="dxa"/>
            <w:vAlign w:val="bottom"/>
          </w:tcPr>
          <w:p>
            <w:pPr>
              <w:jc w:val="right"/>
              <w:ind w:right="63"/>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ind w:right="23"/>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7"/>
                <w:szCs w:val="17"/>
                <w:color w:val="auto"/>
              </w:rPr>
            </w:pPr>
          </w:p>
        </w:tc>
        <w:tc>
          <w:tcPr>
            <w:tcW w:w="1140" w:type="dxa"/>
            <w:vAlign w:val="bottom"/>
          </w:tcPr>
          <w:p>
            <w:pPr>
              <w:jc w:val="right"/>
              <w:ind w:right="63"/>
              <w:spacing w:after="0"/>
              <w:rPr>
                <w:sz w:val="20"/>
                <w:szCs w:val="20"/>
                <w:color w:val="auto"/>
              </w:rPr>
            </w:pPr>
            <w:r>
              <w:rPr>
                <w:rFonts w:ascii="Arial" w:cs="Arial" w:eastAsia="Arial" w:hAnsi="Arial"/>
                <w:sz w:val="11"/>
                <w:szCs w:val="11"/>
                <w:color w:val="auto"/>
              </w:rPr>
              <w:t>10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ind w:right="63"/>
              <w:spacing w:after="0"/>
              <w:rPr>
                <w:sz w:val="20"/>
                <w:szCs w:val="20"/>
                <w:color w:val="auto"/>
              </w:rPr>
            </w:pPr>
            <w:r>
              <w:rPr>
                <w:rFonts w:ascii="Arial" w:cs="Arial" w:eastAsia="Arial" w:hAnsi="Arial"/>
                <w:sz w:val="11"/>
                <w:szCs w:val="11"/>
                <w:color w:val="auto"/>
              </w:rPr>
              <w:t>7</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ind w:right="43"/>
              <w:spacing w:after="0"/>
              <w:rPr>
                <w:sz w:val="20"/>
                <w:szCs w:val="20"/>
                <w:color w:val="auto"/>
              </w:rPr>
            </w:pPr>
            <w:r>
              <w:rPr>
                <w:rFonts w:ascii="Arial" w:cs="Arial" w:eastAsia="Arial" w:hAnsi="Arial"/>
                <w:sz w:val="11"/>
                <w:szCs w:val="11"/>
                <w:color w:val="auto"/>
              </w:rPr>
              <w:t>—</w:t>
            </w:r>
          </w:p>
        </w:tc>
      </w:tr>
      <w:tr>
        <w:trPr>
          <w:trHeight w:val="189"/>
        </w:trPr>
        <w:tc>
          <w:tcPr>
            <w:tcW w:w="33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Ending Balance</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14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Arial" w:cs="Arial" w:eastAsia="Arial" w:hAnsi="Arial"/>
                <w:sz w:val="11"/>
                <w:szCs w:val="11"/>
                <w:color w:val="auto"/>
              </w:rPr>
              <w:t>(107)</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Arial" w:cs="Arial" w:eastAsia="Arial" w:hAnsi="Arial"/>
                <w:sz w:val="11"/>
                <w:szCs w:val="11"/>
                <w:color w:val="auto"/>
                <w:w w:val="97"/>
              </w:rPr>
              <w:t>$</w:t>
            </w:r>
          </w:p>
        </w:tc>
        <w:tc>
          <w:tcPr>
            <w:tcW w:w="110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Arial" w:cs="Arial" w:eastAsia="Arial" w:hAnsi="Arial"/>
                <w:sz w:val="11"/>
                <w:szCs w:val="11"/>
                <w:color w:val="auto"/>
              </w:rPr>
              <w:t>(15)</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auto"/>
            </w:tcBorders>
            <w:shd w:val="clear" w:color="auto" w:fill="CCEEFF"/>
          </w:tcPr>
          <w:p>
            <w:pPr>
              <w:jc w:val="right"/>
              <w:ind w:right="123"/>
              <w:spacing w:after="0"/>
              <w:rPr>
                <w:sz w:val="20"/>
                <w:szCs w:val="20"/>
                <w:color w:val="auto"/>
              </w:rPr>
            </w:pPr>
            <w:r>
              <w:rPr>
                <w:rFonts w:ascii="Arial" w:cs="Arial" w:eastAsia="Arial" w:hAnsi="Arial"/>
                <w:sz w:val="11"/>
                <w:szCs w:val="11"/>
                <w:color w:val="auto"/>
                <w:w w:val="97"/>
              </w:rPr>
              <w:t>$</w:t>
            </w:r>
          </w:p>
        </w:tc>
        <w:tc>
          <w:tcPr>
            <w:tcW w:w="1000" w:type="dxa"/>
            <w:vAlign w:val="bottom"/>
            <w:tcBorders>
              <w:top w:val="single" w:sz="8" w:color="auto"/>
              <w:bottom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color w:val="auto"/>
              </w:rPr>
              <w:t>5</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14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Arial" w:cs="Arial" w:eastAsia="Arial" w:hAnsi="Arial"/>
                <w:sz w:val="11"/>
                <w:szCs w:val="11"/>
                <w:color w:val="auto"/>
              </w:rPr>
              <w:t>(58)</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w w:val="97"/>
              </w:rPr>
              <w:t>$</w:t>
            </w:r>
          </w:p>
        </w:tc>
        <w:tc>
          <w:tcPr>
            <w:tcW w:w="1100" w:type="dxa"/>
            <w:vAlign w:val="bottom"/>
            <w:tcBorders>
              <w:top w:val="single" w:sz="8" w:color="auto"/>
              <w:bottom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color w:val="auto"/>
              </w:rPr>
              <w:t>7</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auto"/>
            </w:tcBorders>
            <w:shd w:val="clear" w:color="auto" w:fill="CCEEFF"/>
          </w:tcPr>
          <w:p>
            <w:pPr>
              <w:jc w:val="right"/>
              <w:ind w:right="123"/>
              <w:spacing w:after="0"/>
              <w:rPr>
                <w:sz w:val="20"/>
                <w:szCs w:val="20"/>
                <w:color w:val="auto"/>
              </w:rPr>
            </w:pPr>
            <w:r>
              <w:rPr>
                <w:rFonts w:ascii="Arial" w:cs="Arial" w:eastAsia="Arial" w:hAnsi="Arial"/>
                <w:sz w:val="11"/>
                <w:szCs w:val="11"/>
                <w:color w:val="auto"/>
                <w:w w:val="97"/>
              </w:rPr>
              <w:t>$</w:t>
            </w:r>
          </w:p>
        </w:tc>
        <w:tc>
          <w:tcPr>
            <w:tcW w:w="96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Arial" w:cs="Arial" w:eastAsia="Arial" w:hAnsi="Arial"/>
                <w:sz w:val="11"/>
                <w:szCs w:val="11"/>
                <w:color w:val="auto"/>
              </w:rPr>
              <w:t>6</w:t>
            </w:r>
          </w:p>
        </w:tc>
      </w:tr>
      <w:tr>
        <w:trPr>
          <w:trHeight w:val="20"/>
        </w:trPr>
        <w:tc>
          <w:tcPr>
            <w:tcW w:w="3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62" w:lineRule="exact"/>
        <w:rPr>
          <w:sz w:val="20"/>
          <w:szCs w:val="20"/>
          <w:color w:val="auto"/>
        </w:rPr>
      </w:pPr>
    </w:p>
    <w:p>
      <w:pPr>
        <w:jc w:val="both"/>
        <w:ind w:left="520" w:hanging="255"/>
        <w:spacing w:after="0" w:line="272" w:lineRule="auto"/>
        <w:tabs>
          <w:tab w:leader="none" w:pos="520" w:val="left"/>
        </w:tabs>
        <w:numPr>
          <w:ilvl w:val="1"/>
          <w:numId w:val="54"/>
        </w:numPr>
        <w:rPr>
          <w:rFonts w:ascii="Arial" w:cs="Arial" w:eastAsia="Arial" w:hAnsi="Arial"/>
          <w:sz w:val="14"/>
          <w:szCs w:val="14"/>
          <w:color w:val="auto"/>
        </w:rPr>
      </w:pPr>
      <w:r>
        <w:rPr>
          <w:rFonts w:ascii="Arial" w:cs="Arial" w:eastAsia="Arial" w:hAnsi="Arial"/>
          <w:sz w:val="14"/>
          <w:szCs w:val="14"/>
          <w:color w:val="auto"/>
        </w:rPr>
        <w:t>Gains and losses are reclassified from Accumulated other comprehensive income into income when the hedged transactions affect earnings. The reclassification amounts are included in Interest and other finance charges in each of the Registrants’ respective Statements of Consolidated Income. Over the next twelve months estimated amortization from Accumulated Comprehensive Income into income is expected to be immaterial.</w:t>
      </w:r>
    </w:p>
    <w:p>
      <w:pPr>
        <w:spacing w:after="0" w:line="142" w:lineRule="exact"/>
        <w:rPr>
          <w:rFonts w:ascii="Arial" w:cs="Arial" w:eastAsia="Arial" w:hAnsi="Arial"/>
          <w:sz w:val="14"/>
          <w:szCs w:val="14"/>
          <w:color w:val="auto"/>
        </w:rPr>
      </w:pPr>
    </w:p>
    <w:p>
      <w:pPr>
        <w:ind w:left="520" w:hanging="255"/>
        <w:spacing w:after="0"/>
        <w:tabs>
          <w:tab w:leader="none" w:pos="520" w:val="left"/>
        </w:tabs>
        <w:numPr>
          <w:ilvl w:val="1"/>
          <w:numId w:val="54"/>
        </w:numPr>
        <w:rPr>
          <w:rFonts w:ascii="Arial" w:cs="Arial" w:eastAsia="Arial" w:hAnsi="Arial"/>
          <w:sz w:val="13"/>
          <w:szCs w:val="13"/>
          <w:color w:val="auto"/>
        </w:rPr>
      </w:pPr>
      <w:r>
        <w:rPr>
          <w:rFonts w:ascii="Arial" w:cs="Arial" w:eastAsia="Arial" w:hAnsi="Arial"/>
          <w:sz w:val="13"/>
          <w:szCs w:val="13"/>
          <w:color w:val="auto"/>
        </w:rPr>
        <w:t>Amounts are included in the computation of net periodic cost and are reflected in Other income (expense), net in each of the Registrants’ respective Statements of Consolidated Income.</w:t>
      </w:r>
    </w:p>
    <w:p>
      <w:pPr>
        <w:spacing w:after="0" w:line="191" w:lineRule="exact"/>
        <w:rPr>
          <w:rFonts w:ascii="Arial" w:cs="Arial" w:eastAsia="Arial" w:hAnsi="Arial"/>
          <w:sz w:val="13"/>
          <w:szCs w:val="13"/>
          <w:color w:val="auto"/>
        </w:rPr>
      </w:pPr>
    </w:p>
    <w:p>
      <w:pPr>
        <w:ind w:left="280" w:hanging="274"/>
        <w:spacing w:after="0"/>
        <w:tabs>
          <w:tab w:leader="none" w:pos="280" w:val="left"/>
        </w:tabs>
        <w:numPr>
          <w:ilvl w:val="0"/>
          <w:numId w:val="55"/>
        </w:numPr>
        <w:rPr>
          <w:rFonts w:ascii="Arial" w:cs="Arial" w:eastAsia="Arial" w:hAnsi="Arial"/>
          <w:sz w:val="14"/>
          <w:szCs w:val="14"/>
          <w:b w:val="1"/>
          <w:bCs w:val="1"/>
          <w:color w:val="auto"/>
        </w:rPr>
      </w:pPr>
      <w:r>
        <w:rPr>
          <w:rFonts w:ascii="Arial" w:cs="Arial" w:eastAsia="Arial" w:hAnsi="Arial"/>
          <w:sz w:val="14"/>
          <w:szCs w:val="14"/>
          <w:b w:val="1"/>
          <w:bCs w:val="1"/>
          <w:color w:val="auto"/>
        </w:rPr>
        <w:t>Subsequent Events (CenterPoint Energy)</w:t>
      </w:r>
    </w:p>
    <w:p>
      <w:pPr>
        <w:spacing w:after="0" w:line="188" w:lineRule="exact"/>
        <w:rPr>
          <w:sz w:val="20"/>
          <w:szCs w:val="20"/>
          <w:color w:val="auto"/>
        </w:rPr>
      </w:pPr>
    </w:p>
    <w:p>
      <w:pPr>
        <w:ind w:left="140"/>
        <w:spacing w:after="0"/>
        <w:rPr>
          <w:sz w:val="20"/>
          <w:szCs w:val="20"/>
          <w:color w:val="auto"/>
        </w:rPr>
      </w:pPr>
      <w:r>
        <w:rPr>
          <w:rFonts w:ascii="Arial" w:cs="Arial" w:eastAsia="Arial" w:hAnsi="Arial"/>
          <w:sz w:val="14"/>
          <w:szCs w:val="14"/>
          <w:b w:val="1"/>
          <w:bCs w:val="1"/>
          <w:i w:val="1"/>
          <w:iCs w:val="1"/>
          <w:color w:val="auto"/>
        </w:rPr>
        <w:t>CenterPoint Energy Dividend Declarations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4140" w:type="dxa"/>
            <w:vAlign w:val="bottom"/>
            <w:tcBorders>
              <w:bottom w:val="single" w:sz="8" w:color="auto"/>
            </w:tcBorders>
          </w:tcPr>
          <w:p>
            <w:pPr>
              <w:ind w:left="1620"/>
              <w:spacing w:after="0"/>
              <w:rPr>
                <w:sz w:val="20"/>
                <w:szCs w:val="20"/>
                <w:color w:val="auto"/>
              </w:rPr>
            </w:pPr>
            <w:r>
              <w:rPr>
                <w:rFonts w:ascii="Arial" w:cs="Arial" w:eastAsia="Arial" w:hAnsi="Arial"/>
                <w:sz w:val="11"/>
                <w:szCs w:val="11"/>
                <w:b w:val="1"/>
                <w:bCs w:val="1"/>
                <w:color w:val="auto"/>
              </w:rPr>
              <w:t>Equity Instrument</w:t>
            </w:r>
          </w:p>
        </w:tc>
        <w:tc>
          <w:tcPr>
            <w:tcW w:w="120" w:type="dxa"/>
            <w:vAlign w:val="bottom"/>
            <w:tcBorders>
              <w:bottom w:val="single" w:sz="8" w:color="CCEEFF"/>
            </w:tcBorders>
          </w:tcPr>
          <w:p>
            <w:pPr>
              <w:spacing w:after="0"/>
              <w:rPr>
                <w:sz w:val="13"/>
                <w:szCs w:val="13"/>
                <w:color w:val="auto"/>
              </w:rPr>
            </w:pPr>
          </w:p>
        </w:tc>
        <w:tc>
          <w:tcPr>
            <w:tcW w:w="1840" w:type="dxa"/>
            <w:vAlign w:val="bottom"/>
            <w:tcBorders>
              <w:bottom w:val="single" w:sz="8" w:color="auto"/>
            </w:tcBorders>
          </w:tcPr>
          <w:p>
            <w:pPr>
              <w:ind w:left="500"/>
              <w:spacing w:after="0"/>
              <w:rPr>
                <w:sz w:val="20"/>
                <w:szCs w:val="20"/>
                <w:color w:val="auto"/>
              </w:rPr>
            </w:pPr>
            <w:r>
              <w:rPr>
                <w:rFonts w:ascii="Arial" w:cs="Arial" w:eastAsia="Arial" w:hAnsi="Arial"/>
                <w:sz w:val="11"/>
                <w:szCs w:val="11"/>
                <w:b w:val="1"/>
                <w:bCs w:val="1"/>
                <w:color w:val="auto"/>
              </w:rPr>
              <w:t>Declaration Date</w:t>
            </w:r>
          </w:p>
        </w:tc>
        <w:tc>
          <w:tcPr>
            <w:tcW w:w="120" w:type="dxa"/>
            <w:vAlign w:val="bottom"/>
            <w:tcBorders>
              <w:bottom w:val="single" w:sz="8" w:color="CCEEFF"/>
            </w:tcBorders>
          </w:tcPr>
          <w:p>
            <w:pPr>
              <w:spacing w:after="0"/>
              <w:rPr>
                <w:sz w:val="13"/>
                <w:szCs w:val="13"/>
                <w:color w:val="auto"/>
              </w:rPr>
            </w:pPr>
          </w:p>
        </w:tc>
        <w:tc>
          <w:tcPr>
            <w:tcW w:w="1840" w:type="dxa"/>
            <w:vAlign w:val="bottom"/>
            <w:tcBorders>
              <w:bottom w:val="single" w:sz="8" w:color="auto"/>
            </w:tcBorders>
          </w:tcPr>
          <w:p>
            <w:pPr>
              <w:ind w:left="600"/>
              <w:spacing w:after="0"/>
              <w:rPr>
                <w:sz w:val="20"/>
                <w:szCs w:val="20"/>
                <w:color w:val="auto"/>
              </w:rPr>
            </w:pPr>
            <w:r>
              <w:rPr>
                <w:rFonts w:ascii="Arial" w:cs="Arial" w:eastAsia="Arial" w:hAnsi="Arial"/>
                <w:sz w:val="11"/>
                <w:szCs w:val="11"/>
                <w:b w:val="1"/>
                <w:bCs w:val="1"/>
                <w:color w:val="auto"/>
              </w:rPr>
              <w:t>Record Date</w:t>
            </w:r>
          </w:p>
        </w:tc>
        <w:tc>
          <w:tcPr>
            <w:tcW w:w="100" w:type="dxa"/>
            <w:vAlign w:val="bottom"/>
            <w:tcBorders>
              <w:bottom w:val="single" w:sz="8" w:color="CCEEFF"/>
            </w:tcBorders>
          </w:tcPr>
          <w:p>
            <w:pPr>
              <w:spacing w:after="0"/>
              <w:rPr>
                <w:sz w:val="13"/>
                <w:szCs w:val="13"/>
                <w:color w:val="auto"/>
              </w:rPr>
            </w:pPr>
          </w:p>
        </w:tc>
        <w:tc>
          <w:tcPr>
            <w:tcW w:w="1840" w:type="dxa"/>
            <w:vAlign w:val="bottom"/>
            <w:tcBorders>
              <w:bottom w:val="single" w:sz="8" w:color="auto"/>
            </w:tcBorders>
          </w:tcPr>
          <w:p>
            <w:pPr>
              <w:ind w:left="580"/>
              <w:spacing w:after="0"/>
              <w:rPr>
                <w:sz w:val="20"/>
                <w:szCs w:val="20"/>
                <w:color w:val="auto"/>
              </w:rPr>
            </w:pPr>
            <w:r>
              <w:rPr>
                <w:rFonts w:ascii="Arial" w:cs="Arial" w:eastAsia="Arial" w:hAnsi="Arial"/>
                <w:sz w:val="11"/>
                <w:szCs w:val="11"/>
                <w:b w:val="1"/>
                <w:bCs w:val="1"/>
                <w:color w:val="auto"/>
              </w:rPr>
              <w:t>Payment Date</w:t>
            </w:r>
          </w:p>
        </w:tc>
        <w:tc>
          <w:tcPr>
            <w:tcW w:w="10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378"/>
              <w:spacing w:after="0"/>
              <w:rPr>
                <w:sz w:val="20"/>
                <w:szCs w:val="20"/>
                <w:color w:val="auto"/>
              </w:rPr>
            </w:pPr>
            <w:r>
              <w:rPr>
                <w:rFonts w:ascii="Arial" w:cs="Arial" w:eastAsia="Arial" w:hAnsi="Arial"/>
                <w:sz w:val="11"/>
                <w:szCs w:val="11"/>
                <w:b w:val="1"/>
                <w:bCs w:val="1"/>
                <w:color w:val="auto"/>
              </w:rPr>
              <w:t>Per Share</w:t>
            </w:r>
          </w:p>
        </w:tc>
      </w:tr>
      <w:tr>
        <w:trPr>
          <w:trHeight w:val="180"/>
        </w:trPr>
        <w:tc>
          <w:tcPr>
            <w:tcW w:w="4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Common Stock</w:t>
            </w:r>
          </w:p>
        </w:tc>
        <w:tc>
          <w:tcPr>
            <w:tcW w:w="19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October 17, 2019</w:t>
            </w:r>
          </w:p>
        </w:tc>
        <w:tc>
          <w:tcPr>
            <w:tcW w:w="19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November 21, 2019</w:t>
            </w:r>
          </w:p>
        </w:tc>
        <w:tc>
          <w:tcPr>
            <w:tcW w:w="19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December 12, 2019</w:t>
            </w:r>
          </w:p>
        </w:tc>
        <w:tc>
          <w:tcPr>
            <w:tcW w:w="26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3"/>
                <w:szCs w:val="13"/>
                <w:color w:val="auto"/>
              </w:rPr>
              <w:t>$</w:t>
            </w:r>
          </w:p>
        </w:tc>
        <w:tc>
          <w:tcPr>
            <w:tcW w:w="11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3"/>
                <w:szCs w:val="13"/>
                <w:color w:val="auto"/>
              </w:rPr>
              <w:t>0.2875</w:t>
            </w:r>
          </w:p>
        </w:tc>
      </w:tr>
      <w:tr>
        <w:trPr>
          <w:trHeight w:val="189"/>
        </w:trPr>
        <w:tc>
          <w:tcPr>
            <w:tcW w:w="4260" w:type="dxa"/>
            <w:vAlign w:val="bottom"/>
            <w:gridSpan w:val="2"/>
          </w:tcPr>
          <w:p>
            <w:pPr>
              <w:ind w:left="20"/>
              <w:spacing w:after="0"/>
              <w:rPr>
                <w:sz w:val="20"/>
                <w:szCs w:val="20"/>
                <w:color w:val="auto"/>
              </w:rPr>
            </w:pPr>
            <w:r>
              <w:rPr>
                <w:rFonts w:ascii="Arial" w:cs="Arial" w:eastAsia="Arial" w:hAnsi="Arial"/>
                <w:sz w:val="13"/>
                <w:szCs w:val="13"/>
                <w:color w:val="auto"/>
              </w:rPr>
              <w:t>Series B Preferred Stock</w:t>
            </w:r>
          </w:p>
        </w:tc>
        <w:tc>
          <w:tcPr>
            <w:tcW w:w="1960" w:type="dxa"/>
            <w:vAlign w:val="bottom"/>
            <w:gridSpan w:val="2"/>
          </w:tcPr>
          <w:p>
            <w:pPr>
              <w:ind w:left="20"/>
              <w:spacing w:after="0"/>
              <w:rPr>
                <w:sz w:val="20"/>
                <w:szCs w:val="20"/>
                <w:color w:val="auto"/>
              </w:rPr>
            </w:pPr>
            <w:r>
              <w:rPr>
                <w:rFonts w:ascii="Arial" w:cs="Arial" w:eastAsia="Arial" w:hAnsi="Arial"/>
                <w:sz w:val="13"/>
                <w:szCs w:val="13"/>
                <w:color w:val="auto"/>
              </w:rPr>
              <w:t>October 17, 2019</w:t>
            </w:r>
          </w:p>
        </w:tc>
        <w:tc>
          <w:tcPr>
            <w:tcW w:w="1940" w:type="dxa"/>
            <w:vAlign w:val="bottom"/>
            <w:gridSpan w:val="2"/>
          </w:tcPr>
          <w:p>
            <w:pPr>
              <w:ind w:left="20"/>
              <w:spacing w:after="0"/>
              <w:rPr>
                <w:sz w:val="20"/>
                <w:szCs w:val="20"/>
                <w:color w:val="auto"/>
              </w:rPr>
            </w:pPr>
            <w:r>
              <w:rPr>
                <w:rFonts w:ascii="Arial" w:cs="Arial" w:eastAsia="Arial" w:hAnsi="Arial"/>
                <w:sz w:val="13"/>
                <w:szCs w:val="13"/>
                <w:color w:val="auto"/>
              </w:rPr>
              <w:t>November 15, 2019</w:t>
            </w:r>
          </w:p>
        </w:tc>
        <w:tc>
          <w:tcPr>
            <w:tcW w:w="1940" w:type="dxa"/>
            <w:vAlign w:val="bottom"/>
            <w:gridSpan w:val="2"/>
          </w:tcPr>
          <w:p>
            <w:pPr>
              <w:ind w:left="20"/>
              <w:spacing w:after="0"/>
              <w:rPr>
                <w:sz w:val="20"/>
                <w:szCs w:val="20"/>
                <w:color w:val="auto"/>
              </w:rPr>
            </w:pPr>
            <w:r>
              <w:rPr>
                <w:rFonts w:ascii="Arial" w:cs="Arial" w:eastAsia="Arial" w:hAnsi="Arial"/>
                <w:sz w:val="13"/>
                <w:szCs w:val="13"/>
                <w:color w:val="auto"/>
              </w:rPr>
              <w:t>December 2, 2019</w:t>
            </w:r>
          </w:p>
        </w:tc>
        <w:tc>
          <w:tcPr>
            <w:tcW w:w="260" w:type="dxa"/>
            <w:vAlign w:val="bottom"/>
          </w:tcPr>
          <w:p>
            <w:pPr>
              <w:spacing w:after="0"/>
              <w:rPr>
                <w:sz w:val="16"/>
                <w:szCs w:val="16"/>
                <w:color w:val="auto"/>
              </w:rPr>
            </w:pPr>
          </w:p>
        </w:tc>
        <w:tc>
          <w:tcPr>
            <w:tcW w:w="1100" w:type="dxa"/>
            <w:vAlign w:val="bottom"/>
          </w:tcPr>
          <w:p>
            <w:pPr>
              <w:jc w:val="right"/>
              <w:ind w:right="38"/>
              <w:spacing w:after="0"/>
              <w:rPr>
                <w:sz w:val="20"/>
                <w:szCs w:val="20"/>
                <w:color w:val="auto"/>
              </w:rPr>
            </w:pPr>
            <w:r>
              <w:rPr>
                <w:rFonts w:ascii="Arial" w:cs="Arial" w:eastAsia="Arial" w:hAnsi="Arial"/>
                <w:sz w:val="13"/>
                <w:szCs w:val="13"/>
                <w:color w:val="auto"/>
              </w:rPr>
              <w:t>17.5000</w:t>
            </w:r>
          </w:p>
        </w:tc>
      </w:tr>
    </w:tbl>
    <w:p>
      <w:pPr>
        <w:spacing w:after="0" w:line="188" w:lineRule="exact"/>
        <w:rPr>
          <w:sz w:val="20"/>
          <w:szCs w:val="20"/>
          <w:color w:val="auto"/>
        </w:rPr>
      </w:pPr>
    </w:p>
    <w:p>
      <w:pPr>
        <w:ind w:left="140"/>
        <w:spacing w:after="0"/>
        <w:rPr>
          <w:sz w:val="20"/>
          <w:szCs w:val="20"/>
          <w:color w:val="auto"/>
        </w:rPr>
      </w:pPr>
      <w:r>
        <w:rPr>
          <w:rFonts w:ascii="Arial" w:cs="Arial" w:eastAsia="Arial" w:hAnsi="Arial"/>
          <w:sz w:val="14"/>
          <w:szCs w:val="14"/>
          <w:b w:val="1"/>
          <w:bCs w:val="1"/>
          <w:i w:val="1"/>
          <w:iCs w:val="1"/>
          <w:color w:val="auto"/>
        </w:rPr>
        <w:t>Enable Distributions Declarations (CenterPoint Energy)</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40" w:type="dxa"/>
            <w:vAlign w:val="bottom"/>
          </w:tcPr>
          <w:p>
            <w:pPr>
              <w:jc w:val="right"/>
              <w:ind w:right="240"/>
              <w:spacing w:after="0"/>
              <w:rPr>
                <w:sz w:val="20"/>
                <w:szCs w:val="20"/>
                <w:color w:val="auto"/>
              </w:rPr>
            </w:pPr>
            <w:r>
              <w:rPr>
                <w:rFonts w:ascii="Arial" w:cs="Arial" w:eastAsia="Arial" w:hAnsi="Arial"/>
                <w:sz w:val="11"/>
                <w:szCs w:val="11"/>
                <w:b w:val="1"/>
                <w:bCs w:val="1"/>
                <w:color w:val="auto"/>
              </w:rPr>
              <w:t>Expected Cash</w:t>
            </w:r>
          </w:p>
        </w:tc>
        <w:tc>
          <w:tcPr>
            <w:tcW w:w="0" w:type="dxa"/>
            <w:vAlign w:val="bottom"/>
          </w:tcPr>
          <w:p>
            <w:pPr>
              <w:spacing w:after="0"/>
              <w:rPr>
                <w:sz w:val="1"/>
                <w:szCs w:val="1"/>
                <w:color w:val="auto"/>
              </w:rPr>
            </w:pPr>
          </w:p>
        </w:tc>
      </w:tr>
      <w:tr>
        <w:trPr>
          <w:trHeight w:val="119"/>
        </w:trPr>
        <w:tc>
          <w:tcPr>
            <w:tcW w:w="2640" w:type="dxa"/>
            <w:vAlign w:val="bottom"/>
            <w:vMerge w:val="restart"/>
          </w:tcPr>
          <w:p>
            <w:pPr>
              <w:ind w:left="860"/>
              <w:spacing w:after="0"/>
              <w:rPr>
                <w:sz w:val="20"/>
                <w:szCs w:val="20"/>
                <w:color w:val="auto"/>
              </w:rPr>
            </w:pPr>
            <w:r>
              <w:rPr>
                <w:rFonts w:ascii="Arial" w:cs="Arial" w:eastAsia="Arial" w:hAnsi="Arial"/>
                <w:sz w:val="11"/>
                <w:szCs w:val="11"/>
                <w:b w:val="1"/>
                <w:bCs w:val="1"/>
                <w:color w:val="auto"/>
              </w:rPr>
              <w:t>Equity Instrument</w:t>
            </w:r>
          </w:p>
        </w:tc>
        <w:tc>
          <w:tcPr>
            <w:tcW w:w="120" w:type="dxa"/>
            <w:vAlign w:val="bottom"/>
            <w:vMerge w:val="restart"/>
          </w:tcPr>
          <w:p>
            <w:pPr>
              <w:spacing w:after="0"/>
              <w:rPr>
                <w:sz w:val="10"/>
                <w:szCs w:val="10"/>
                <w:color w:val="auto"/>
              </w:rPr>
            </w:pPr>
          </w:p>
        </w:tc>
        <w:tc>
          <w:tcPr>
            <w:tcW w:w="1820" w:type="dxa"/>
            <w:vAlign w:val="bottom"/>
            <w:vMerge w:val="restart"/>
          </w:tcPr>
          <w:p>
            <w:pPr>
              <w:ind w:left="500"/>
              <w:spacing w:after="0"/>
              <w:rPr>
                <w:sz w:val="20"/>
                <w:szCs w:val="20"/>
                <w:color w:val="auto"/>
              </w:rPr>
            </w:pPr>
            <w:r>
              <w:rPr>
                <w:rFonts w:ascii="Arial" w:cs="Arial" w:eastAsia="Arial" w:hAnsi="Arial"/>
                <w:sz w:val="11"/>
                <w:szCs w:val="11"/>
                <w:b w:val="1"/>
                <w:bCs w:val="1"/>
                <w:color w:val="auto"/>
              </w:rPr>
              <w:t>Declaration Date</w:t>
            </w:r>
          </w:p>
        </w:tc>
        <w:tc>
          <w:tcPr>
            <w:tcW w:w="120" w:type="dxa"/>
            <w:vAlign w:val="bottom"/>
            <w:vMerge w:val="restart"/>
          </w:tcPr>
          <w:p>
            <w:pPr>
              <w:spacing w:after="0"/>
              <w:rPr>
                <w:sz w:val="10"/>
                <w:szCs w:val="10"/>
                <w:color w:val="auto"/>
              </w:rPr>
            </w:pPr>
          </w:p>
        </w:tc>
        <w:tc>
          <w:tcPr>
            <w:tcW w:w="1840" w:type="dxa"/>
            <w:vAlign w:val="bottom"/>
            <w:vMerge w:val="restart"/>
          </w:tcPr>
          <w:p>
            <w:pPr>
              <w:ind w:left="620"/>
              <w:spacing w:after="0"/>
              <w:rPr>
                <w:sz w:val="20"/>
                <w:szCs w:val="20"/>
                <w:color w:val="auto"/>
              </w:rPr>
            </w:pPr>
            <w:r>
              <w:rPr>
                <w:rFonts w:ascii="Arial" w:cs="Arial" w:eastAsia="Arial" w:hAnsi="Arial"/>
                <w:sz w:val="11"/>
                <w:szCs w:val="11"/>
                <w:b w:val="1"/>
                <w:bCs w:val="1"/>
                <w:color w:val="auto"/>
              </w:rPr>
              <w:t>Record Date</w:t>
            </w:r>
          </w:p>
        </w:tc>
        <w:tc>
          <w:tcPr>
            <w:tcW w:w="120" w:type="dxa"/>
            <w:vAlign w:val="bottom"/>
            <w:vMerge w:val="restart"/>
          </w:tcPr>
          <w:p>
            <w:pPr>
              <w:spacing w:after="0"/>
              <w:rPr>
                <w:sz w:val="10"/>
                <w:szCs w:val="10"/>
                <w:color w:val="auto"/>
              </w:rPr>
            </w:pPr>
          </w:p>
        </w:tc>
        <w:tc>
          <w:tcPr>
            <w:tcW w:w="1820" w:type="dxa"/>
            <w:vAlign w:val="bottom"/>
            <w:vMerge w:val="restart"/>
          </w:tcPr>
          <w:p>
            <w:pPr>
              <w:ind w:left="560"/>
              <w:spacing w:after="0"/>
              <w:rPr>
                <w:sz w:val="20"/>
                <w:szCs w:val="20"/>
                <w:color w:val="auto"/>
              </w:rPr>
            </w:pPr>
            <w:r>
              <w:rPr>
                <w:rFonts w:ascii="Arial" w:cs="Arial" w:eastAsia="Arial" w:hAnsi="Arial"/>
                <w:sz w:val="11"/>
                <w:szCs w:val="11"/>
                <w:b w:val="1"/>
                <w:bCs w:val="1"/>
                <w:color w:val="auto"/>
              </w:rPr>
              <w:t>Payment Date</w:t>
            </w:r>
          </w:p>
        </w:tc>
        <w:tc>
          <w:tcPr>
            <w:tcW w:w="120" w:type="dxa"/>
            <w:vAlign w:val="bottom"/>
            <w:vMerge w:val="restart"/>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vMerge w:val="restart"/>
          </w:tcPr>
          <w:p>
            <w:pPr>
              <w:jc w:val="right"/>
              <w:ind w:right="98"/>
              <w:spacing w:after="0"/>
              <w:rPr>
                <w:sz w:val="20"/>
                <w:szCs w:val="20"/>
                <w:color w:val="auto"/>
              </w:rPr>
            </w:pPr>
            <w:r>
              <w:rPr>
                <w:rFonts w:ascii="Arial" w:cs="Arial" w:eastAsia="Arial" w:hAnsi="Arial"/>
                <w:sz w:val="11"/>
                <w:szCs w:val="11"/>
                <w:b w:val="1"/>
                <w:bCs w:val="1"/>
                <w:color w:val="auto"/>
                <w:w w:val="99"/>
              </w:rPr>
              <w:t>Per Unit Distribution</w:t>
            </w:r>
          </w:p>
        </w:tc>
        <w:tc>
          <w:tcPr>
            <w:tcW w:w="120" w:type="dxa"/>
            <w:vAlign w:val="bottom"/>
            <w:vMerge w:val="restart"/>
          </w:tcPr>
          <w:p>
            <w:pPr>
              <w:spacing w:after="0"/>
              <w:rPr>
                <w:sz w:val="10"/>
                <w:szCs w:val="10"/>
                <w:color w:val="auto"/>
              </w:rPr>
            </w:pPr>
          </w:p>
        </w:tc>
        <w:tc>
          <w:tcPr>
            <w:tcW w:w="200" w:type="dxa"/>
            <w:vAlign w:val="bottom"/>
          </w:tcPr>
          <w:p>
            <w:pPr>
              <w:spacing w:after="0"/>
              <w:rPr>
                <w:sz w:val="10"/>
                <w:szCs w:val="10"/>
                <w:color w:val="auto"/>
              </w:rPr>
            </w:pPr>
          </w:p>
        </w:tc>
        <w:tc>
          <w:tcPr>
            <w:tcW w:w="1140" w:type="dxa"/>
            <w:vAlign w:val="bottom"/>
          </w:tcPr>
          <w:p>
            <w:pPr>
              <w:jc w:val="right"/>
              <w:ind w:right="300"/>
              <w:spacing w:after="0" w:line="119" w:lineRule="exact"/>
              <w:rPr>
                <w:sz w:val="20"/>
                <w:szCs w:val="20"/>
                <w:color w:val="auto"/>
              </w:rPr>
            </w:pPr>
            <w:r>
              <w:rPr>
                <w:rFonts w:ascii="Arial" w:cs="Arial" w:eastAsia="Arial" w:hAnsi="Arial"/>
                <w:sz w:val="11"/>
                <w:szCs w:val="11"/>
                <w:b w:val="1"/>
                <w:bCs w:val="1"/>
                <w:color w:val="auto"/>
              </w:rPr>
              <w:t>Distribution</w:t>
            </w:r>
          </w:p>
        </w:tc>
        <w:tc>
          <w:tcPr>
            <w:tcW w:w="0" w:type="dxa"/>
            <w:vAlign w:val="bottom"/>
          </w:tcPr>
          <w:p>
            <w:pPr>
              <w:spacing w:after="0"/>
              <w:rPr>
                <w:sz w:val="1"/>
                <w:szCs w:val="1"/>
                <w:color w:val="auto"/>
              </w:rPr>
            </w:pPr>
          </w:p>
        </w:tc>
      </w:tr>
      <w:tr>
        <w:trPr>
          <w:trHeight w:val="153"/>
        </w:trPr>
        <w:tc>
          <w:tcPr>
            <w:tcW w:w="2640" w:type="dxa"/>
            <w:vAlign w:val="bottom"/>
            <w:tcBorders>
              <w:bottom w:val="single" w:sz="8" w:color="auto"/>
            </w:tcBorders>
            <w:vMerge w:val="continue"/>
          </w:tcPr>
          <w:p>
            <w:pPr>
              <w:spacing w:after="0"/>
              <w:rPr>
                <w:sz w:val="13"/>
                <w:szCs w:val="13"/>
                <w:color w:val="auto"/>
              </w:rPr>
            </w:pPr>
          </w:p>
        </w:tc>
        <w:tc>
          <w:tcPr>
            <w:tcW w:w="120" w:type="dxa"/>
            <w:vAlign w:val="bottom"/>
            <w:tcBorders>
              <w:bottom w:val="single" w:sz="8" w:color="CCEEFF"/>
            </w:tcBorders>
            <w:vMerge w:val="continue"/>
          </w:tcPr>
          <w:p>
            <w:pPr>
              <w:spacing w:after="0"/>
              <w:rPr>
                <w:sz w:val="13"/>
                <w:szCs w:val="13"/>
                <w:color w:val="auto"/>
              </w:rPr>
            </w:pPr>
          </w:p>
        </w:tc>
        <w:tc>
          <w:tcPr>
            <w:tcW w:w="1820" w:type="dxa"/>
            <w:vAlign w:val="bottom"/>
            <w:tcBorders>
              <w:bottom w:val="single" w:sz="8" w:color="auto"/>
            </w:tcBorders>
            <w:vMerge w:val="continue"/>
          </w:tcPr>
          <w:p>
            <w:pPr>
              <w:spacing w:after="0"/>
              <w:rPr>
                <w:sz w:val="13"/>
                <w:szCs w:val="13"/>
                <w:color w:val="auto"/>
              </w:rPr>
            </w:pPr>
          </w:p>
        </w:tc>
        <w:tc>
          <w:tcPr>
            <w:tcW w:w="120" w:type="dxa"/>
            <w:vAlign w:val="bottom"/>
            <w:tcBorders>
              <w:bottom w:val="single" w:sz="8" w:color="CCEEFF"/>
            </w:tcBorders>
            <w:vMerge w:val="continue"/>
          </w:tcPr>
          <w:p>
            <w:pPr>
              <w:spacing w:after="0"/>
              <w:rPr>
                <w:sz w:val="13"/>
                <w:szCs w:val="13"/>
                <w:color w:val="auto"/>
              </w:rPr>
            </w:pPr>
          </w:p>
        </w:tc>
        <w:tc>
          <w:tcPr>
            <w:tcW w:w="1840" w:type="dxa"/>
            <w:vAlign w:val="bottom"/>
            <w:tcBorders>
              <w:bottom w:val="single" w:sz="8" w:color="auto"/>
            </w:tcBorders>
            <w:vMerge w:val="continue"/>
          </w:tcPr>
          <w:p>
            <w:pPr>
              <w:spacing w:after="0"/>
              <w:rPr>
                <w:sz w:val="13"/>
                <w:szCs w:val="13"/>
                <w:color w:val="auto"/>
              </w:rPr>
            </w:pPr>
          </w:p>
        </w:tc>
        <w:tc>
          <w:tcPr>
            <w:tcW w:w="120" w:type="dxa"/>
            <w:vAlign w:val="bottom"/>
            <w:tcBorders>
              <w:bottom w:val="single" w:sz="8" w:color="CCEEFF"/>
            </w:tcBorders>
            <w:vMerge w:val="continue"/>
          </w:tcPr>
          <w:p>
            <w:pPr>
              <w:spacing w:after="0"/>
              <w:rPr>
                <w:sz w:val="13"/>
                <w:szCs w:val="13"/>
                <w:color w:val="auto"/>
              </w:rPr>
            </w:pPr>
          </w:p>
        </w:tc>
        <w:tc>
          <w:tcPr>
            <w:tcW w:w="1820" w:type="dxa"/>
            <w:vAlign w:val="bottom"/>
            <w:tcBorders>
              <w:bottom w:val="single" w:sz="8" w:color="auto"/>
            </w:tcBorders>
            <w:vMerge w:val="continue"/>
          </w:tcPr>
          <w:p>
            <w:pPr>
              <w:spacing w:after="0"/>
              <w:rPr>
                <w:sz w:val="13"/>
                <w:szCs w:val="13"/>
                <w:color w:val="auto"/>
              </w:rPr>
            </w:pPr>
          </w:p>
        </w:tc>
        <w:tc>
          <w:tcPr>
            <w:tcW w:w="120" w:type="dxa"/>
            <w:vAlign w:val="bottom"/>
            <w:tcBorders>
              <w:bottom w:val="single" w:sz="8" w:color="CCEEFF"/>
            </w:tcBorders>
            <w:vMerge w:val="continue"/>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vMerge w:val="continue"/>
          </w:tcPr>
          <w:p>
            <w:pPr>
              <w:spacing w:after="0"/>
              <w:rPr>
                <w:sz w:val="13"/>
                <w:szCs w:val="13"/>
                <w:color w:val="auto"/>
              </w:rPr>
            </w:pPr>
          </w:p>
        </w:tc>
        <w:tc>
          <w:tcPr>
            <w:tcW w:w="120" w:type="dxa"/>
            <w:vAlign w:val="bottom"/>
            <w:tcBorders>
              <w:bottom w:val="single" w:sz="8" w:color="CCEEFF"/>
            </w:tcBorders>
            <w:vMerge w:val="continue"/>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320"/>
              <w:spacing w:after="0"/>
              <w:rPr>
                <w:sz w:val="20"/>
                <w:szCs w:val="20"/>
                <w:color w:val="auto"/>
              </w:rPr>
            </w:pPr>
            <w:r>
              <w:rPr>
                <w:rFonts w:ascii="Arial" w:cs="Arial" w:eastAsia="Arial" w:hAnsi="Arial"/>
                <w:sz w:val="11"/>
                <w:szCs w:val="11"/>
                <w:b w:val="1"/>
                <w:bCs w:val="1"/>
                <w:color w:val="auto"/>
              </w:rPr>
              <w:t>(in millions)</w:t>
            </w:r>
          </w:p>
        </w:tc>
        <w:tc>
          <w:tcPr>
            <w:tcW w:w="0" w:type="dxa"/>
            <w:vAlign w:val="bottom"/>
          </w:tcPr>
          <w:p>
            <w:pPr>
              <w:spacing w:after="0"/>
              <w:rPr>
                <w:sz w:val="1"/>
                <w:szCs w:val="1"/>
                <w:color w:val="auto"/>
              </w:rPr>
            </w:pPr>
          </w:p>
        </w:tc>
      </w:tr>
      <w:tr>
        <w:trPr>
          <w:trHeight w:val="180"/>
        </w:trPr>
        <w:tc>
          <w:tcPr>
            <w:tcW w:w="27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Enable common units</w:t>
            </w:r>
          </w:p>
        </w:tc>
        <w:tc>
          <w:tcPr>
            <w:tcW w:w="19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November 5, 2019</w:t>
            </w:r>
          </w:p>
        </w:tc>
        <w:tc>
          <w:tcPr>
            <w:tcW w:w="19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November 19, 2019</w:t>
            </w:r>
          </w:p>
        </w:tc>
        <w:tc>
          <w:tcPr>
            <w:tcW w:w="19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November 26, 2019</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3"/>
                <w:szCs w:val="13"/>
                <w:color w:val="auto"/>
              </w:rPr>
              <w:t>0.3305</w:t>
            </w: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3"/>
                <w:szCs w:val="13"/>
                <w:color w:val="auto"/>
                <w:w w:val="82"/>
              </w:rPr>
              <w:t>$</w:t>
            </w: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3"/>
                <w:szCs w:val="13"/>
                <w:color w:val="auto"/>
              </w:rPr>
              <w:t>77</w:t>
            </w:r>
          </w:p>
        </w:tc>
        <w:tc>
          <w:tcPr>
            <w:tcW w:w="0" w:type="dxa"/>
            <w:vAlign w:val="bottom"/>
          </w:tcPr>
          <w:p>
            <w:pPr>
              <w:spacing w:after="0"/>
              <w:rPr>
                <w:sz w:val="1"/>
                <w:szCs w:val="1"/>
                <w:color w:val="auto"/>
              </w:rPr>
            </w:pPr>
          </w:p>
        </w:tc>
      </w:tr>
      <w:tr>
        <w:trPr>
          <w:trHeight w:val="189"/>
        </w:trPr>
        <w:tc>
          <w:tcPr>
            <w:tcW w:w="2760" w:type="dxa"/>
            <w:vAlign w:val="bottom"/>
            <w:gridSpan w:val="2"/>
          </w:tcPr>
          <w:p>
            <w:pPr>
              <w:ind w:left="20"/>
              <w:spacing w:after="0"/>
              <w:rPr>
                <w:sz w:val="20"/>
                <w:szCs w:val="20"/>
                <w:color w:val="auto"/>
              </w:rPr>
            </w:pPr>
            <w:r>
              <w:rPr>
                <w:rFonts w:ascii="Arial" w:cs="Arial" w:eastAsia="Arial" w:hAnsi="Arial"/>
                <w:sz w:val="13"/>
                <w:szCs w:val="13"/>
                <w:color w:val="auto"/>
              </w:rPr>
              <w:t>Enable Series A Preferred Units</w:t>
            </w:r>
          </w:p>
        </w:tc>
        <w:tc>
          <w:tcPr>
            <w:tcW w:w="1940" w:type="dxa"/>
            <w:vAlign w:val="bottom"/>
            <w:gridSpan w:val="2"/>
          </w:tcPr>
          <w:p>
            <w:pPr>
              <w:ind w:left="20"/>
              <w:spacing w:after="0"/>
              <w:rPr>
                <w:sz w:val="20"/>
                <w:szCs w:val="20"/>
                <w:color w:val="auto"/>
              </w:rPr>
            </w:pPr>
            <w:r>
              <w:rPr>
                <w:rFonts w:ascii="Arial" w:cs="Arial" w:eastAsia="Arial" w:hAnsi="Arial"/>
                <w:sz w:val="13"/>
                <w:szCs w:val="13"/>
                <w:color w:val="auto"/>
              </w:rPr>
              <w:t>November 5, 2019</w:t>
            </w:r>
          </w:p>
        </w:tc>
        <w:tc>
          <w:tcPr>
            <w:tcW w:w="1960" w:type="dxa"/>
            <w:vAlign w:val="bottom"/>
            <w:gridSpan w:val="2"/>
          </w:tcPr>
          <w:p>
            <w:pPr>
              <w:ind w:left="20"/>
              <w:spacing w:after="0"/>
              <w:rPr>
                <w:sz w:val="20"/>
                <w:szCs w:val="20"/>
                <w:color w:val="auto"/>
              </w:rPr>
            </w:pPr>
            <w:r>
              <w:rPr>
                <w:rFonts w:ascii="Arial" w:cs="Arial" w:eastAsia="Arial" w:hAnsi="Arial"/>
                <w:sz w:val="13"/>
                <w:szCs w:val="13"/>
                <w:color w:val="auto"/>
              </w:rPr>
              <w:t>November 5, 2019</w:t>
            </w:r>
          </w:p>
        </w:tc>
        <w:tc>
          <w:tcPr>
            <w:tcW w:w="1940" w:type="dxa"/>
            <w:vAlign w:val="bottom"/>
            <w:gridSpan w:val="2"/>
          </w:tcPr>
          <w:p>
            <w:pPr>
              <w:ind w:left="20"/>
              <w:spacing w:after="0"/>
              <w:rPr>
                <w:sz w:val="20"/>
                <w:szCs w:val="20"/>
                <w:color w:val="auto"/>
              </w:rPr>
            </w:pPr>
            <w:r>
              <w:rPr>
                <w:rFonts w:ascii="Arial" w:cs="Arial" w:eastAsia="Arial" w:hAnsi="Arial"/>
                <w:sz w:val="13"/>
                <w:szCs w:val="13"/>
                <w:color w:val="auto"/>
              </w:rPr>
              <w:t>November 14, 2019</w:t>
            </w:r>
          </w:p>
        </w:tc>
        <w:tc>
          <w:tcPr>
            <w:tcW w:w="120" w:type="dxa"/>
            <w:vAlign w:val="bottom"/>
          </w:tcPr>
          <w:p>
            <w:pPr>
              <w:spacing w:after="0"/>
              <w:rPr>
                <w:sz w:val="16"/>
                <w:szCs w:val="16"/>
                <w:color w:val="auto"/>
              </w:rPr>
            </w:pPr>
          </w:p>
        </w:tc>
        <w:tc>
          <w:tcPr>
            <w:tcW w:w="1240" w:type="dxa"/>
            <w:vAlign w:val="bottom"/>
          </w:tcPr>
          <w:p>
            <w:pPr>
              <w:jc w:val="right"/>
              <w:ind w:right="38"/>
              <w:spacing w:after="0"/>
              <w:rPr>
                <w:sz w:val="20"/>
                <w:szCs w:val="20"/>
                <w:color w:val="auto"/>
              </w:rPr>
            </w:pPr>
            <w:r>
              <w:rPr>
                <w:rFonts w:ascii="Arial" w:cs="Arial" w:eastAsia="Arial" w:hAnsi="Arial"/>
                <w:sz w:val="13"/>
                <w:szCs w:val="13"/>
                <w:color w:val="auto"/>
              </w:rPr>
              <w:t>0.6250</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jc w:val="right"/>
              <w:ind w:right="40"/>
              <w:spacing w:after="0"/>
              <w:rPr>
                <w:sz w:val="20"/>
                <w:szCs w:val="20"/>
                <w:color w:val="auto"/>
              </w:rPr>
            </w:pPr>
            <w:r>
              <w:rPr>
                <w:rFonts w:ascii="Arial" w:cs="Arial" w:eastAsia="Arial" w:hAnsi="Arial"/>
                <w:sz w:val="13"/>
                <w:szCs w:val="13"/>
                <w:color w:val="auto"/>
              </w:rPr>
              <w:t>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65</w:t>
      </w:r>
    </w:p>
    <w:p>
      <w:pPr>
        <w:sectPr>
          <w:pgSz w:w="11900" w:h="16838" w:orient="portrait"/>
          <w:cols w:equalWidth="0" w:num="1">
            <w:col w:w="11460"/>
          </w:cols>
          <w:pgMar w:left="220" w:top="129" w:right="219" w:bottom="1440" w:gutter="0" w:footer="0" w:header="0"/>
        </w:sectPr>
      </w:pPr>
    </w:p>
    <w:bookmarkStart w:id="75" w:name="page76"/>
    <w:bookmarkEnd w:id="75"/>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201" w:lineRule="exact"/>
        <w:rPr>
          <w:sz w:val="20"/>
          <w:szCs w:val="20"/>
          <w:color w:val="auto"/>
        </w:rPr>
      </w:pPr>
    </w:p>
    <w:p>
      <w:pPr>
        <w:jc w:val="both"/>
        <w:ind w:left="660" w:hanging="646"/>
        <w:spacing w:after="0" w:line="294" w:lineRule="auto"/>
        <w:tabs>
          <w:tab w:leader="none" w:pos="640" w:val="left"/>
        </w:tabs>
        <w:rPr>
          <w:sz w:val="20"/>
          <w:szCs w:val="20"/>
          <w:color w:val="auto"/>
        </w:rPr>
      </w:pPr>
      <w:r>
        <w:rPr>
          <w:rFonts w:ascii="Arial" w:cs="Arial" w:eastAsia="Arial" w:hAnsi="Arial"/>
          <w:sz w:val="14"/>
          <w:szCs w:val="14"/>
          <w:b w:val="1"/>
          <w:bCs w:val="1"/>
          <w:color w:val="auto"/>
        </w:rPr>
        <w:t>Item 2.</w:t>
        <w:tab/>
        <w:t>MANAGEMENT’S DISCUSSION AND ANALYSIS OF FINANCIAL CONDITION AND RESULTS OF OPERATIONS OF CENTERPOINT ENERGY, INC. AND SUBSIDIARIES</w:t>
      </w:r>
    </w:p>
    <w:p>
      <w:pPr>
        <w:spacing w:after="0" w:line="127" w:lineRule="exact"/>
        <w:rPr>
          <w:sz w:val="20"/>
          <w:szCs w:val="20"/>
          <w:color w:val="auto"/>
        </w:rPr>
      </w:pPr>
    </w:p>
    <w:p>
      <w:pPr>
        <w:ind w:left="260"/>
        <w:spacing w:after="0"/>
        <w:rPr>
          <w:sz w:val="20"/>
          <w:szCs w:val="20"/>
          <w:color w:val="auto"/>
        </w:rPr>
      </w:pPr>
      <w:r>
        <w:rPr>
          <w:rFonts w:ascii="Arial" w:cs="Arial" w:eastAsia="Arial" w:hAnsi="Arial"/>
          <w:sz w:val="14"/>
          <w:szCs w:val="14"/>
          <w:i w:val="1"/>
          <w:iCs w:val="1"/>
          <w:color w:val="auto"/>
        </w:rPr>
        <w:t>No Registrant makes any representations as to the information related solely to CenterPoint Energy or the subsidiaries of CenterPoint Energy other than itself.</w:t>
      </w:r>
    </w:p>
    <w:p>
      <w:pPr>
        <w:spacing w:after="0" w:line="184" w:lineRule="exact"/>
        <w:rPr>
          <w:sz w:val="20"/>
          <w:szCs w:val="20"/>
          <w:color w:val="auto"/>
        </w:rPr>
      </w:pPr>
    </w:p>
    <w:p>
      <w:pPr>
        <w:jc w:val="both"/>
        <w:ind w:firstLine="259"/>
        <w:spacing w:after="0" w:line="267" w:lineRule="auto"/>
        <w:rPr>
          <w:sz w:val="20"/>
          <w:szCs w:val="20"/>
          <w:color w:val="auto"/>
        </w:rPr>
      </w:pPr>
      <w:r>
        <w:rPr>
          <w:rFonts w:ascii="Arial" w:cs="Arial" w:eastAsia="Arial" w:hAnsi="Arial"/>
          <w:sz w:val="14"/>
          <w:szCs w:val="14"/>
          <w:i w:val="1"/>
          <w:iCs w:val="1"/>
          <w:color w:val="auto"/>
        </w:rPr>
        <w:t>The following combined discussion and analysis should be read in combination with the Interim Condensed Financial Statements contained in this Form 10-Q and the Registrants’ combined 2018 Form 10-K. When discussing CenterPoint Energy’s consolidated financial information, it includes the results of Houston Electric and CERC, which, along with CenterPoint Energy, are collectively referred to as the Registrants. Where appropriate, information relating to a specific Registrant has been segregated and labeled as such. In this Form 10-Q, the terms “our,” “we” and “us” are used as abbreviated references to CenterPoint Energy, Inc. together with its consolidated subsidiaries.</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RECENT EVENTS</w:t>
      </w:r>
    </w:p>
    <w:p>
      <w:pPr>
        <w:spacing w:after="0" w:line="188" w:lineRule="exact"/>
        <w:rPr>
          <w:sz w:val="20"/>
          <w:szCs w:val="20"/>
          <w:color w:val="auto"/>
        </w:rPr>
      </w:pPr>
    </w:p>
    <w:p>
      <w:pPr>
        <w:jc w:val="both"/>
        <w:ind w:firstLine="259"/>
        <w:spacing w:after="0" w:line="267" w:lineRule="auto"/>
        <w:rPr>
          <w:sz w:val="20"/>
          <w:szCs w:val="20"/>
          <w:color w:val="auto"/>
        </w:rPr>
      </w:pPr>
      <w:r>
        <w:rPr>
          <w:rFonts w:ascii="Arial" w:cs="Arial" w:eastAsia="Arial" w:hAnsi="Arial"/>
          <w:sz w:val="14"/>
          <w:szCs w:val="14"/>
          <w:b w:val="1"/>
          <w:bCs w:val="1"/>
          <w:i w:val="1"/>
          <w:iCs w:val="1"/>
          <w:color w:val="auto"/>
        </w:rPr>
        <w:t xml:space="preserve">Merger with Vectren. </w:t>
      </w:r>
      <w:r>
        <w:rPr>
          <w:rFonts w:ascii="Arial" w:cs="Arial" w:eastAsia="Arial" w:hAnsi="Arial"/>
          <w:sz w:val="14"/>
          <w:szCs w:val="14"/>
          <w:color w:val="auto"/>
        </w:rPr>
        <w:t>On February 1, 2019, pursuant to the Merger Agreement, CenterPoint Energy consummated the previously announced Merger and acquired Vectren for approximately $6</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billion in cash. For more information about the Merger, see Notes 1 and 3 to the Interim Condensed Financial Statements. Concurrent with the completion of the Merger, CenterPoint Energy added two new reportable segments, Indiana Electric Integrated and Infrastructure Services, to its five reportable segments disclosed in CenterPoint Energy’s 2018 Form 10-K. For a description of the Registrants’ reportable segments, see Note 16 to the Interim Condensed Financial Statements.</w:t>
      </w:r>
    </w:p>
    <w:p>
      <w:pPr>
        <w:spacing w:after="0" w:line="146" w:lineRule="exact"/>
        <w:rPr>
          <w:sz w:val="20"/>
          <w:szCs w:val="20"/>
          <w:color w:val="auto"/>
        </w:rPr>
      </w:pPr>
    </w:p>
    <w:p>
      <w:pPr>
        <w:jc w:val="both"/>
        <w:ind w:firstLine="259"/>
        <w:spacing w:after="0" w:line="272" w:lineRule="auto"/>
        <w:rPr>
          <w:sz w:val="20"/>
          <w:szCs w:val="20"/>
          <w:color w:val="auto"/>
        </w:rPr>
      </w:pPr>
      <w:r>
        <w:rPr>
          <w:rFonts w:ascii="Arial" w:cs="Arial" w:eastAsia="Arial" w:hAnsi="Arial"/>
          <w:sz w:val="14"/>
          <w:szCs w:val="14"/>
          <w:b w:val="1"/>
          <w:bCs w:val="1"/>
          <w:i w:val="1"/>
          <w:iCs w:val="1"/>
          <w:color w:val="auto"/>
        </w:rPr>
        <w:t xml:space="preserve">Debt Transactions. </w:t>
      </w:r>
      <w:r>
        <w:rPr>
          <w:rFonts w:ascii="Arial" w:cs="Arial" w:eastAsia="Arial" w:hAnsi="Arial"/>
          <w:sz w:val="14"/>
          <w:szCs w:val="14"/>
          <w:color w:val="auto"/>
        </w:rPr>
        <w:t>In January 2019, Houston Electric issued $700 million aggregate principal amount of general mortgage bonds, in May 2019, CenterPoint Energy entered into a $1.0 billion</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variable rate term loan and in August 2019, CenterPoint Energy issued $1.2 billion aggregate principal amount of senior notes. For more information about the 2019 debt transactions, see Note 12 to the Interim Condensed Financial Statements.</w:t>
      </w:r>
    </w:p>
    <w:p>
      <w:pPr>
        <w:spacing w:after="0" w:line="142" w:lineRule="exact"/>
        <w:rPr>
          <w:sz w:val="20"/>
          <w:szCs w:val="20"/>
          <w:color w:val="auto"/>
        </w:rPr>
      </w:pPr>
    </w:p>
    <w:p>
      <w:pPr>
        <w:jc w:val="both"/>
        <w:ind w:firstLine="259"/>
        <w:spacing w:after="0" w:line="280" w:lineRule="auto"/>
        <w:rPr>
          <w:sz w:val="20"/>
          <w:szCs w:val="20"/>
          <w:color w:val="auto"/>
        </w:rPr>
      </w:pPr>
      <w:r>
        <w:rPr>
          <w:rFonts w:ascii="Arial" w:cs="Arial" w:eastAsia="Arial" w:hAnsi="Arial"/>
          <w:sz w:val="14"/>
          <w:szCs w:val="14"/>
          <w:b w:val="1"/>
          <w:bCs w:val="1"/>
          <w:i w:val="1"/>
          <w:iCs w:val="1"/>
          <w:color w:val="auto"/>
        </w:rPr>
        <w:t xml:space="preserve">Regulatory Proceedings. </w:t>
      </w:r>
      <w:r>
        <w:rPr>
          <w:rFonts w:ascii="Arial" w:cs="Arial" w:eastAsia="Arial" w:hAnsi="Arial"/>
          <w:sz w:val="14"/>
          <w:szCs w:val="14"/>
          <w:color w:val="auto"/>
        </w:rPr>
        <w:t>On April 5, 2019, and subsequently adjusted in errata filings in May and June 2019, Houston Electric filed its base rate application with the PUCT and the cities in its</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service area to change its rates. For details related to our pending and completed regulatory proceedings and orders related to the TCJA to date in 2019, see “—Liquidity and Capital Resources — Regulatory Matters” below.</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CENTERPOINT ENERGY CONSOLIDATED RESULTS OF OPERATIONS</w:t>
      </w:r>
    </w:p>
    <w:p>
      <w:pPr>
        <w:spacing w:after="0" w:line="188" w:lineRule="exact"/>
        <w:rPr>
          <w:sz w:val="20"/>
          <w:szCs w:val="20"/>
          <w:color w:val="auto"/>
        </w:rPr>
      </w:pPr>
    </w:p>
    <w:p>
      <w:pPr>
        <w:jc w:val="both"/>
        <w:ind w:firstLine="259"/>
        <w:spacing w:after="0" w:line="288" w:lineRule="auto"/>
        <w:rPr>
          <w:sz w:val="20"/>
          <w:szCs w:val="20"/>
          <w:color w:val="auto"/>
        </w:rPr>
      </w:pPr>
      <w:r>
        <w:rPr>
          <w:rFonts w:ascii="Arial" w:cs="Arial" w:eastAsia="Arial" w:hAnsi="Arial"/>
          <w:sz w:val="14"/>
          <w:szCs w:val="14"/>
          <w:color w:val="auto"/>
        </w:rPr>
        <w:t>For information regarding factors that may affect the future results of our consolidated operations, please read “Risk Factors” in Item 1A of Part I of the Registrants’ combined 2018 Form 10-K and in Item 1A of Part II of this Form 10-Q.</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4940" w:type="dxa"/>
            <w:vAlign w:val="bottom"/>
          </w:tcPr>
          <w:p>
            <w:pPr>
              <w:spacing w:after="0"/>
              <w:rPr>
                <w:sz w:val="13"/>
                <w:szCs w:val="13"/>
                <w:color w:val="auto"/>
              </w:rPr>
            </w:pPr>
          </w:p>
        </w:tc>
        <w:tc>
          <w:tcPr>
            <w:tcW w:w="3240" w:type="dxa"/>
            <w:vAlign w:val="bottom"/>
            <w:gridSpan w:val="6"/>
          </w:tcPr>
          <w:p>
            <w:pPr>
              <w:ind w:left="680"/>
              <w:spacing w:after="0"/>
              <w:rPr>
                <w:sz w:val="20"/>
                <w:szCs w:val="20"/>
                <w:color w:val="auto"/>
              </w:rPr>
            </w:pPr>
            <w:r>
              <w:rPr>
                <w:rFonts w:ascii="Arial" w:cs="Arial" w:eastAsia="Arial" w:hAnsi="Arial"/>
                <w:sz w:val="11"/>
                <w:szCs w:val="11"/>
                <w:b w:val="1"/>
                <w:bCs w:val="1"/>
                <w:color w:val="auto"/>
              </w:rPr>
              <w:t>Three Months Ended September 30,</w:t>
            </w:r>
          </w:p>
        </w:tc>
        <w:tc>
          <w:tcPr>
            <w:tcW w:w="380" w:type="dxa"/>
            <w:vAlign w:val="bottom"/>
          </w:tcPr>
          <w:p>
            <w:pPr>
              <w:spacing w:after="0"/>
              <w:rPr>
                <w:sz w:val="13"/>
                <w:szCs w:val="13"/>
                <w:color w:val="auto"/>
              </w:rPr>
            </w:pPr>
          </w:p>
        </w:tc>
        <w:tc>
          <w:tcPr>
            <w:tcW w:w="2900" w:type="dxa"/>
            <w:vAlign w:val="bottom"/>
            <w:gridSpan w:val="4"/>
          </w:tcPr>
          <w:p>
            <w:pPr>
              <w:jc w:val="right"/>
              <w:ind w:right="709"/>
              <w:spacing w:after="0"/>
              <w:rPr>
                <w:sz w:val="20"/>
                <w:szCs w:val="20"/>
                <w:color w:val="auto"/>
              </w:rPr>
            </w:pPr>
            <w:r>
              <w:rPr>
                <w:rFonts w:ascii="Arial" w:cs="Arial" w:eastAsia="Arial" w:hAnsi="Arial"/>
                <w:sz w:val="11"/>
                <w:szCs w:val="11"/>
                <w:b w:val="1"/>
                <w:bCs w:val="1"/>
                <w:color w:val="auto"/>
              </w:rPr>
              <w:t>Nine Months Ended September 30,</w:t>
            </w:r>
          </w:p>
        </w:tc>
      </w:tr>
      <w:tr>
        <w:trPr>
          <w:trHeight w:val="206"/>
        </w:trPr>
        <w:tc>
          <w:tcPr>
            <w:tcW w:w="4940" w:type="dxa"/>
            <w:vAlign w:val="bottom"/>
          </w:tcPr>
          <w:p>
            <w:pPr>
              <w:spacing w:after="0"/>
              <w:rPr>
                <w:sz w:val="17"/>
                <w:szCs w:val="17"/>
                <w:color w:val="auto"/>
              </w:rPr>
            </w:pPr>
          </w:p>
        </w:tc>
        <w:tc>
          <w:tcPr>
            <w:tcW w:w="9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1"/>
                <w:szCs w:val="11"/>
                <w:b w:val="1"/>
                <w:bCs w:val="1"/>
                <w:color w:val="auto"/>
              </w:rPr>
              <w:t>2019</w:t>
            </w:r>
          </w:p>
        </w:tc>
        <w:tc>
          <w:tcPr>
            <w:tcW w:w="54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1"/>
                <w:szCs w:val="11"/>
                <w:b w:val="1"/>
                <w:bCs w:val="1"/>
                <w:color w:val="auto"/>
              </w:rPr>
              <w:t>2018</w:t>
            </w:r>
          </w:p>
        </w:tc>
        <w:tc>
          <w:tcPr>
            <w:tcW w:w="120" w:type="dxa"/>
            <w:vAlign w:val="bottom"/>
            <w:tcBorders>
              <w:bottom w:val="single" w:sz="8" w:color="auto"/>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610"/>
              <w:spacing w:after="0"/>
              <w:rPr>
                <w:sz w:val="20"/>
                <w:szCs w:val="20"/>
                <w:color w:val="auto"/>
              </w:rPr>
            </w:pPr>
            <w:r>
              <w:rPr>
                <w:rFonts w:ascii="Arial" w:cs="Arial" w:eastAsia="Arial" w:hAnsi="Arial"/>
                <w:sz w:val="11"/>
                <w:szCs w:val="11"/>
                <w:b w:val="1"/>
                <w:bCs w:val="1"/>
                <w:color w:val="auto"/>
              </w:rPr>
              <w:t>2019</w:t>
            </w:r>
          </w:p>
        </w:tc>
        <w:tc>
          <w:tcPr>
            <w:tcW w:w="120" w:type="dxa"/>
            <w:vAlign w:val="bottom"/>
            <w:tcBorders>
              <w:top w:val="single" w:sz="8" w:color="auto"/>
              <w:bottom w:val="single" w:sz="8" w:color="auto"/>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609"/>
              <w:spacing w:after="0"/>
              <w:rPr>
                <w:sz w:val="20"/>
                <w:szCs w:val="20"/>
                <w:color w:val="auto"/>
              </w:rPr>
            </w:pPr>
            <w:r>
              <w:rPr>
                <w:rFonts w:ascii="Arial" w:cs="Arial" w:eastAsia="Arial" w:hAnsi="Arial"/>
                <w:sz w:val="11"/>
                <w:szCs w:val="11"/>
                <w:b w:val="1"/>
                <w:bCs w:val="1"/>
                <w:color w:val="auto"/>
              </w:rPr>
              <w:t>2018</w:t>
            </w:r>
          </w:p>
        </w:tc>
      </w:tr>
      <w:tr>
        <w:trPr>
          <w:trHeight w:val="196"/>
        </w:trPr>
        <w:tc>
          <w:tcPr>
            <w:tcW w:w="49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960" w:type="dxa"/>
            <w:vAlign w:val="bottom"/>
            <w:gridSpan w:val="5"/>
          </w:tcPr>
          <w:p>
            <w:pPr>
              <w:ind w:left="340"/>
              <w:spacing w:after="0"/>
              <w:rPr>
                <w:sz w:val="20"/>
                <w:szCs w:val="20"/>
                <w:color w:val="auto"/>
              </w:rPr>
            </w:pPr>
            <w:r>
              <w:rPr>
                <w:rFonts w:ascii="Arial" w:cs="Arial" w:eastAsia="Arial" w:hAnsi="Arial"/>
                <w:sz w:val="11"/>
                <w:szCs w:val="11"/>
                <w:b w:val="1"/>
                <w:bCs w:val="1"/>
                <w:color w:val="auto"/>
              </w:rPr>
              <w:t>(in millions, except per share amounts)</w:t>
            </w: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0"/>
        </w:trPr>
        <w:tc>
          <w:tcPr>
            <w:tcW w:w="494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4"/>
                <w:szCs w:val="14"/>
                <w:color w:val="auto"/>
              </w:rPr>
              <w:t>Revenues</w:t>
            </w:r>
          </w:p>
        </w:tc>
        <w:tc>
          <w:tcPr>
            <w:tcW w:w="960" w:type="dxa"/>
            <w:vAlign w:val="bottom"/>
            <w:tcBorders>
              <w:bottom w:val="single" w:sz="8" w:color="BFE4FF"/>
            </w:tcBorders>
            <w:shd w:val="clear" w:color="auto" w:fill="BFE4FF"/>
          </w:tcPr>
          <w:p>
            <w:pPr>
              <w:jc w:val="right"/>
              <w:ind w:right="792"/>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BFE4FF"/>
            </w:tcBorders>
            <w:shd w:val="clear" w:color="auto" w:fill="BFE4FF"/>
          </w:tcPr>
          <w:p>
            <w:pPr>
              <w:jc w:val="right"/>
              <w:ind w:right="48"/>
              <w:spacing w:after="0"/>
              <w:rPr>
                <w:sz w:val="20"/>
                <w:szCs w:val="20"/>
                <w:color w:val="auto"/>
              </w:rPr>
            </w:pPr>
            <w:r>
              <w:rPr>
                <w:rFonts w:ascii="Arial" w:cs="Arial" w:eastAsia="Arial" w:hAnsi="Arial"/>
                <w:sz w:val="14"/>
                <w:szCs w:val="14"/>
                <w:color w:val="auto"/>
              </w:rPr>
              <w:t>2,742</w:t>
            </w:r>
          </w:p>
        </w:tc>
        <w:tc>
          <w:tcPr>
            <w:tcW w:w="120" w:type="dxa"/>
            <w:vAlign w:val="bottom"/>
            <w:tcBorders>
              <w:bottom w:val="single" w:sz="8" w:color="BFE4FF"/>
            </w:tcBorders>
            <w:shd w:val="clear" w:color="auto" w:fill="BFE4FF"/>
          </w:tcPr>
          <w:p>
            <w:pPr>
              <w:spacing w:after="0"/>
              <w:rPr>
                <w:sz w:val="17"/>
                <w:szCs w:val="17"/>
                <w:color w:val="auto"/>
              </w:rPr>
            </w:pPr>
          </w:p>
        </w:tc>
        <w:tc>
          <w:tcPr>
            <w:tcW w:w="360" w:type="dxa"/>
            <w:vAlign w:val="bottom"/>
            <w:tcBorders>
              <w:bottom w:val="single" w:sz="8" w:color="BFE4FF"/>
            </w:tcBorders>
            <w:shd w:val="clear" w:color="auto" w:fill="BFE4FF"/>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BFE4FF"/>
            </w:tcBorders>
            <w:shd w:val="clear" w:color="auto" w:fill="BFE4FF"/>
          </w:tcPr>
          <w:p>
            <w:pPr>
              <w:jc w:val="right"/>
              <w:ind w:right="50"/>
              <w:spacing w:after="0"/>
              <w:rPr>
                <w:sz w:val="20"/>
                <w:szCs w:val="20"/>
                <w:color w:val="auto"/>
              </w:rPr>
            </w:pPr>
            <w:r>
              <w:rPr>
                <w:rFonts w:ascii="Arial" w:cs="Arial" w:eastAsia="Arial" w:hAnsi="Arial"/>
                <w:sz w:val="14"/>
                <w:szCs w:val="14"/>
                <w:color w:val="auto"/>
              </w:rPr>
              <w:t>2,212</w:t>
            </w:r>
          </w:p>
        </w:tc>
        <w:tc>
          <w:tcPr>
            <w:tcW w:w="120" w:type="dxa"/>
            <w:vAlign w:val="bottom"/>
            <w:tcBorders>
              <w:bottom w:val="single" w:sz="8" w:color="BFE4FF"/>
            </w:tcBorders>
            <w:shd w:val="clear" w:color="auto" w:fill="BFE4FF"/>
          </w:tcPr>
          <w:p>
            <w:pPr>
              <w:spacing w:after="0"/>
              <w:rPr>
                <w:sz w:val="17"/>
                <w:szCs w:val="17"/>
                <w:color w:val="auto"/>
              </w:rPr>
            </w:pPr>
          </w:p>
        </w:tc>
        <w:tc>
          <w:tcPr>
            <w:tcW w:w="380" w:type="dxa"/>
            <w:vAlign w:val="bottom"/>
            <w:tcBorders>
              <w:bottom w:val="single" w:sz="8" w:color="BFE4FF"/>
            </w:tcBorders>
            <w:shd w:val="clear" w:color="auto" w:fill="BFE4FF"/>
          </w:tcPr>
          <w:p>
            <w:pPr>
              <w:jc w:val="right"/>
              <w:ind w:right="228"/>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BFE4FF"/>
            </w:tcBorders>
            <w:shd w:val="clear" w:color="auto" w:fill="BFE4FF"/>
          </w:tcPr>
          <w:p>
            <w:pPr>
              <w:jc w:val="right"/>
              <w:ind w:right="30"/>
              <w:spacing w:after="0"/>
              <w:rPr>
                <w:sz w:val="20"/>
                <w:szCs w:val="20"/>
                <w:color w:val="auto"/>
              </w:rPr>
            </w:pPr>
            <w:r>
              <w:rPr>
                <w:rFonts w:ascii="Arial" w:cs="Arial" w:eastAsia="Arial" w:hAnsi="Arial"/>
                <w:sz w:val="14"/>
                <w:szCs w:val="14"/>
                <w:color w:val="auto"/>
              </w:rPr>
              <w:t>9,071</w:t>
            </w:r>
          </w:p>
        </w:tc>
        <w:tc>
          <w:tcPr>
            <w:tcW w:w="120" w:type="dxa"/>
            <w:vAlign w:val="bottom"/>
            <w:tcBorders>
              <w:bottom w:val="single" w:sz="8" w:color="BFE4FF"/>
            </w:tcBorders>
            <w:shd w:val="clear" w:color="auto" w:fill="BFE4FF"/>
          </w:tcPr>
          <w:p>
            <w:pPr>
              <w:spacing w:after="0"/>
              <w:rPr>
                <w:sz w:val="17"/>
                <w:szCs w:val="17"/>
                <w:color w:val="auto"/>
              </w:rPr>
            </w:pPr>
          </w:p>
        </w:tc>
        <w:tc>
          <w:tcPr>
            <w:tcW w:w="380" w:type="dxa"/>
            <w:vAlign w:val="bottom"/>
            <w:tcBorders>
              <w:bottom w:val="single" w:sz="8" w:color="BFE4FF"/>
            </w:tcBorders>
            <w:shd w:val="clear" w:color="auto" w:fill="BFE4FF"/>
          </w:tcPr>
          <w:p>
            <w:pPr>
              <w:jc w:val="right"/>
              <w:ind w:right="20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BFE4FF"/>
            </w:tcBorders>
            <w:shd w:val="clear" w:color="auto" w:fill="BFE4FF"/>
          </w:tcPr>
          <w:p>
            <w:pPr>
              <w:jc w:val="right"/>
              <w:ind w:right="29"/>
              <w:spacing w:after="0"/>
              <w:rPr>
                <w:sz w:val="20"/>
                <w:szCs w:val="20"/>
                <w:color w:val="auto"/>
              </w:rPr>
            </w:pPr>
            <w:r>
              <w:rPr>
                <w:rFonts w:ascii="Arial" w:cs="Arial" w:eastAsia="Arial" w:hAnsi="Arial"/>
                <w:sz w:val="14"/>
                <w:szCs w:val="14"/>
                <w:color w:val="auto"/>
              </w:rPr>
              <w:t>7,553</w:t>
            </w:r>
          </w:p>
        </w:tc>
      </w:tr>
      <w:tr>
        <w:trPr>
          <w:trHeight w:val="193"/>
        </w:trPr>
        <w:tc>
          <w:tcPr>
            <w:tcW w:w="4940" w:type="dxa"/>
            <w:vAlign w:val="bottom"/>
          </w:tcPr>
          <w:p>
            <w:pPr>
              <w:ind w:left="20"/>
              <w:spacing w:after="0"/>
              <w:rPr>
                <w:sz w:val="20"/>
                <w:szCs w:val="20"/>
                <w:color w:val="auto"/>
              </w:rPr>
            </w:pPr>
            <w:r>
              <w:rPr>
                <w:rFonts w:ascii="Arial" w:cs="Arial" w:eastAsia="Arial" w:hAnsi="Arial"/>
                <w:sz w:val="14"/>
                <w:szCs w:val="14"/>
                <w:color w:val="auto"/>
              </w:rPr>
              <w:t>Expenses</w:t>
            </w:r>
          </w:p>
        </w:tc>
        <w:tc>
          <w:tcPr>
            <w:tcW w:w="960" w:type="dxa"/>
            <w:vAlign w:val="bottom"/>
          </w:tcPr>
          <w:p>
            <w:pPr>
              <w:spacing w:after="0"/>
              <w:rPr>
                <w:sz w:val="16"/>
                <w:szCs w:val="16"/>
                <w:color w:val="auto"/>
              </w:rPr>
            </w:pPr>
          </w:p>
        </w:tc>
        <w:tc>
          <w:tcPr>
            <w:tcW w:w="540" w:type="dxa"/>
            <w:vAlign w:val="bottom"/>
          </w:tcPr>
          <w:p>
            <w:pPr>
              <w:jc w:val="right"/>
              <w:ind w:right="48"/>
              <w:spacing w:after="0"/>
              <w:rPr>
                <w:sz w:val="20"/>
                <w:szCs w:val="20"/>
                <w:color w:val="auto"/>
              </w:rPr>
            </w:pPr>
            <w:r>
              <w:rPr>
                <w:rFonts w:ascii="Arial" w:cs="Arial" w:eastAsia="Arial" w:hAnsi="Arial"/>
                <w:sz w:val="14"/>
                <w:szCs w:val="14"/>
                <w:color w:val="auto"/>
              </w:rPr>
              <w:t>2,350</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ind w:right="50"/>
              <w:spacing w:after="0"/>
              <w:rPr>
                <w:sz w:val="20"/>
                <w:szCs w:val="20"/>
                <w:color w:val="auto"/>
              </w:rPr>
            </w:pPr>
            <w:r>
              <w:rPr>
                <w:rFonts w:ascii="Arial" w:cs="Arial" w:eastAsia="Arial" w:hAnsi="Arial"/>
                <w:sz w:val="14"/>
                <w:szCs w:val="14"/>
                <w:color w:val="auto"/>
              </w:rPr>
              <w:t>1,986</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ind w:right="30"/>
              <w:spacing w:after="0"/>
              <w:rPr>
                <w:sz w:val="20"/>
                <w:szCs w:val="20"/>
                <w:color w:val="auto"/>
              </w:rPr>
            </w:pPr>
            <w:r>
              <w:rPr>
                <w:rFonts w:ascii="Arial" w:cs="Arial" w:eastAsia="Arial" w:hAnsi="Arial"/>
                <w:sz w:val="14"/>
                <w:szCs w:val="14"/>
                <w:color w:val="auto"/>
              </w:rPr>
              <w:t>8,147</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ind w:right="29"/>
              <w:spacing w:after="0"/>
              <w:rPr>
                <w:sz w:val="20"/>
                <w:szCs w:val="20"/>
                <w:color w:val="auto"/>
              </w:rPr>
            </w:pPr>
            <w:r>
              <w:rPr>
                <w:rFonts w:ascii="Arial" w:cs="Arial" w:eastAsia="Arial" w:hAnsi="Arial"/>
                <w:sz w:val="14"/>
                <w:szCs w:val="14"/>
                <w:color w:val="auto"/>
              </w:rPr>
              <w:t>6,889</w:t>
            </w:r>
          </w:p>
        </w:tc>
      </w:tr>
      <w:tr>
        <w:trPr>
          <w:trHeight w:val="23"/>
        </w:trPr>
        <w:tc>
          <w:tcPr>
            <w:tcW w:w="4940" w:type="dxa"/>
            <w:vAlign w:val="bottom"/>
            <w:tcBorders>
              <w:bottom w:val="single" w:sz="8" w:color="BFE4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BFE4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BFE4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BFE4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86"/>
        </w:trPr>
        <w:tc>
          <w:tcPr>
            <w:tcW w:w="494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4"/>
                <w:szCs w:val="14"/>
                <w:color w:val="auto"/>
              </w:rPr>
              <w:t>Operating Income</w:t>
            </w:r>
          </w:p>
        </w:tc>
        <w:tc>
          <w:tcPr>
            <w:tcW w:w="960" w:type="dxa"/>
            <w:vAlign w:val="bottom"/>
            <w:tcBorders>
              <w:bottom w:val="single" w:sz="8" w:color="BFE4FF"/>
            </w:tcBorders>
            <w:shd w:val="clear" w:color="auto" w:fill="BFE4FF"/>
          </w:tcPr>
          <w:p>
            <w:pPr>
              <w:spacing w:after="0"/>
              <w:rPr>
                <w:sz w:val="16"/>
                <w:szCs w:val="16"/>
                <w:color w:val="auto"/>
              </w:rPr>
            </w:pPr>
          </w:p>
        </w:tc>
        <w:tc>
          <w:tcPr>
            <w:tcW w:w="540" w:type="dxa"/>
            <w:vAlign w:val="bottom"/>
            <w:tcBorders>
              <w:bottom w:val="single" w:sz="8" w:color="BFE4FF"/>
            </w:tcBorders>
            <w:shd w:val="clear" w:color="auto" w:fill="BFE4FF"/>
          </w:tcPr>
          <w:p>
            <w:pPr>
              <w:jc w:val="right"/>
              <w:ind w:right="48"/>
              <w:spacing w:after="0"/>
              <w:rPr>
                <w:sz w:val="20"/>
                <w:szCs w:val="20"/>
                <w:color w:val="auto"/>
              </w:rPr>
            </w:pPr>
            <w:r>
              <w:rPr>
                <w:rFonts w:ascii="Arial" w:cs="Arial" w:eastAsia="Arial" w:hAnsi="Arial"/>
                <w:sz w:val="14"/>
                <w:szCs w:val="14"/>
                <w:color w:val="auto"/>
              </w:rPr>
              <w:t>392</w:t>
            </w:r>
          </w:p>
        </w:tc>
        <w:tc>
          <w:tcPr>
            <w:tcW w:w="120" w:type="dxa"/>
            <w:vAlign w:val="bottom"/>
            <w:tcBorders>
              <w:bottom w:val="single" w:sz="8" w:color="BFE4FF"/>
            </w:tcBorders>
            <w:shd w:val="clear" w:color="auto" w:fill="BFE4FF"/>
          </w:tcPr>
          <w:p>
            <w:pPr>
              <w:spacing w:after="0"/>
              <w:rPr>
                <w:sz w:val="16"/>
                <w:szCs w:val="16"/>
                <w:color w:val="auto"/>
              </w:rPr>
            </w:pPr>
          </w:p>
        </w:tc>
        <w:tc>
          <w:tcPr>
            <w:tcW w:w="360" w:type="dxa"/>
            <w:vAlign w:val="bottom"/>
            <w:tcBorders>
              <w:bottom w:val="single" w:sz="8" w:color="BFE4FF"/>
            </w:tcBorders>
            <w:shd w:val="clear" w:color="auto" w:fill="BFE4FF"/>
          </w:tcPr>
          <w:p>
            <w:pPr>
              <w:spacing w:after="0"/>
              <w:rPr>
                <w:sz w:val="16"/>
                <w:szCs w:val="16"/>
                <w:color w:val="auto"/>
              </w:rPr>
            </w:pPr>
          </w:p>
        </w:tc>
        <w:tc>
          <w:tcPr>
            <w:tcW w:w="1140" w:type="dxa"/>
            <w:vAlign w:val="bottom"/>
            <w:tcBorders>
              <w:bottom w:val="single" w:sz="8" w:color="BFE4FF"/>
            </w:tcBorders>
            <w:shd w:val="clear" w:color="auto" w:fill="BFE4FF"/>
          </w:tcPr>
          <w:p>
            <w:pPr>
              <w:jc w:val="right"/>
              <w:ind w:right="50"/>
              <w:spacing w:after="0"/>
              <w:rPr>
                <w:sz w:val="20"/>
                <w:szCs w:val="20"/>
                <w:color w:val="auto"/>
              </w:rPr>
            </w:pPr>
            <w:r>
              <w:rPr>
                <w:rFonts w:ascii="Arial" w:cs="Arial" w:eastAsia="Arial" w:hAnsi="Arial"/>
                <w:sz w:val="14"/>
                <w:szCs w:val="14"/>
                <w:color w:val="auto"/>
              </w:rPr>
              <w:t>226</w:t>
            </w:r>
          </w:p>
        </w:tc>
        <w:tc>
          <w:tcPr>
            <w:tcW w:w="120" w:type="dxa"/>
            <w:vAlign w:val="bottom"/>
            <w:tcBorders>
              <w:bottom w:val="single" w:sz="8" w:color="BFE4FF"/>
            </w:tcBorders>
            <w:shd w:val="clear" w:color="auto" w:fill="BFE4FF"/>
          </w:tcPr>
          <w:p>
            <w:pPr>
              <w:spacing w:after="0"/>
              <w:rPr>
                <w:sz w:val="16"/>
                <w:szCs w:val="16"/>
                <w:color w:val="auto"/>
              </w:rPr>
            </w:pPr>
          </w:p>
        </w:tc>
        <w:tc>
          <w:tcPr>
            <w:tcW w:w="380" w:type="dxa"/>
            <w:vAlign w:val="bottom"/>
            <w:tcBorders>
              <w:bottom w:val="single" w:sz="8" w:color="BFE4FF"/>
            </w:tcBorders>
            <w:shd w:val="clear" w:color="auto" w:fill="BFE4FF"/>
          </w:tcPr>
          <w:p>
            <w:pPr>
              <w:spacing w:after="0"/>
              <w:rPr>
                <w:sz w:val="16"/>
                <w:szCs w:val="16"/>
                <w:color w:val="auto"/>
              </w:rPr>
            </w:pPr>
          </w:p>
        </w:tc>
        <w:tc>
          <w:tcPr>
            <w:tcW w:w="1200" w:type="dxa"/>
            <w:vAlign w:val="bottom"/>
            <w:tcBorders>
              <w:bottom w:val="single" w:sz="8" w:color="BFE4FF"/>
            </w:tcBorders>
            <w:shd w:val="clear" w:color="auto" w:fill="BFE4FF"/>
          </w:tcPr>
          <w:p>
            <w:pPr>
              <w:jc w:val="right"/>
              <w:ind w:right="30"/>
              <w:spacing w:after="0"/>
              <w:rPr>
                <w:sz w:val="20"/>
                <w:szCs w:val="20"/>
                <w:color w:val="auto"/>
              </w:rPr>
            </w:pPr>
            <w:r>
              <w:rPr>
                <w:rFonts w:ascii="Arial" w:cs="Arial" w:eastAsia="Arial" w:hAnsi="Arial"/>
                <w:sz w:val="14"/>
                <w:szCs w:val="14"/>
                <w:color w:val="auto"/>
              </w:rPr>
              <w:t>924</w:t>
            </w:r>
          </w:p>
        </w:tc>
        <w:tc>
          <w:tcPr>
            <w:tcW w:w="120" w:type="dxa"/>
            <w:vAlign w:val="bottom"/>
            <w:tcBorders>
              <w:bottom w:val="single" w:sz="8" w:color="BFE4FF"/>
            </w:tcBorders>
            <w:shd w:val="clear" w:color="auto" w:fill="BFE4FF"/>
          </w:tcPr>
          <w:p>
            <w:pPr>
              <w:spacing w:after="0"/>
              <w:rPr>
                <w:sz w:val="16"/>
                <w:szCs w:val="16"/>
                <w:color w:val="auto"/>
              </w:rPr>
            </w:pPr>
          </w:p>
        </w:tc>
        <w:tc>
          <w:tcPr>
            <w:tcW w:w="380" w:type="dxa"/>
            <w:vAlign w:val="bottom"/>
            <w:tcBorders>
              <w:bottom w:val="single" w:sz="8" w:color="BFE4FF"/>
            </w:tcBorders>
            <w:shd w:val="clear" w:color="auto" w:fill="BFE4FF"/>
          </w:tcPr>
          <w:p>
            <w:pPr>
              <w:spacing w:after="0"/>
              <w:rPr>
                <w:sz w:val="16"/>
                <w:szCs w:val="16"/>
                <w:color w:val="auto"/>
              </w:rPr>
            </w:pPr>
          </w:p>
        </w:tc>
        <w:tc>
          <w:tcPr>
            <w:tcW w:w="1200" w:type="dxa"/>
            <w:vAlign w:val="bottom"/>
            <w:tcBorders>
              <w:bottom w:val="single" w:sz="8" w:color="BFE4FF"/>
            </w:tcBorders>
            <w:shd w:val="clear" w:color="auto" w:fill="BFE4FF"/>
          </w:tcPr>
          <w:p>
            <w:pPr>
              <w:jc w:val="right"/>
              <w:ind w:right="29"/>
              <w:spacing w:after="0"/>
              <w:rPr>
                <w:sz w:val="20"/>
                <w:szCs w:val="20"/>
                <w:color w:val="auto"/>
              </w:rPr>
            </w:pPr>
            <w:r>
              <w:rPr>
                <w:rFonts w:ascii="Arial" w:cs="Arial" w:eastAsia="Arial" w:hAnsi="Arial"/>
                <w:sz w:val="14"/>
                <w:szCs w:val="14"/>
                <w:color w:val="auto"/>
              </w:rPr>
              <w:t>664</w:t>
            </w:r>
          </w:p>
        </w:tc>
      </w:tr>
      <w:tr>
        <w:trPr>
          <w:trHeight w:val="193"/>
        </w:trPr>
        <w:tc>
          <w:tcPr>
            <w:tcW w:w="4940" w:type="dxa"/>
            <w:vAlign w:val="bottom"/>
          </w:tcPr>
          <w:p>
            <w:pPr>
              <w:ind w:left="20"/>
              <w:spacing w:after="0"/>
              <w:rPr>
                <w:sz w:val="20"/>
                <w:szCs w:val="20"/>
                <w:color w:val="auto"/>
              </w:rPr>
            </w:pPr>
            <w:r>
              <w:rPr>
                <w:rFonts w:ascii="Arial" w:cs="Arial" w:eastAsia="Arial" w:hAnsi="Arial"/>
                <w:sz w:val="14"/>
                <w:szCs w:val="14"/>
                <w:color w:val="auto"/>
              </w:rPr>
              <w:t>Interest and Other Finance Charges</w:t>
            </w:r>
          </w:p>
        </w:tc>
        <w:tc>
          <w:tcPr>
            <w:tcW w:w="960" w:type="dxa"/>
            <w:vAlign w:val="bottom"/>
          </w:tcPr>
          <w:p>
            <w:pPr>
              <w:spacing w:after="0"/>
              <w:rPr>
                <w:sz w:val="16"/>
                <w:szCs w:val="16"/>
                <w:color w:val="auto"/>
              </w:rPr>
            </w:pPr>
          </w:p>
        </w:tc>
        <w:tc>
          <w:tcPr>
            <w:tcW w:w="540" w:type="dxa"/>
            <w:vAlign w:val="bottom"/>
          </w:tcPr>
          <w:p>
            <w:pPr>
              <w:jc w:val="right"/>
              <w:ind w:right="8"/>
              <w:spacing w:after="0"/>
              <w:rPr>
                <w:sz w:val="20"/>
                <w:szCs w:val="20"/>
                <w:color w:val="auto"/>
              </w:rPr>
            </w:pPr>
            <w:r>
              <w:rPr>
                <w:rFonts w:ascii="Arial" w:cs="Arial" w:eastAsia="Arial" w:hAnsi="Arial"/>
                <w:sz w:val="14"/>
                <w:szCs w:val="14"/>
                <w:color w:val="auto"/>
              </w:rPr>
              <w:t>(134)</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ind w:right="10"/>
              <w:spacing w:after="0"/>
              <w:rPr>
                <w:sz w:val="20"/>
                <w:szCs w:val="20"/>
                <w:color w:val="auto"/>
              </w:rPr>
            </w:pPr>
            <w:r>
              <w:rPr>
                <w:rFonts w:ascii="Arial" w:cs="Arial" w:eastAsia="Arial" w:hAnsi="Arial"/>
                <w:sz w:val="14"/>
                <w:szCs w:val="14"/>
                <w:color w:val="auto"/>
              </w:rPr>
              <w:t>(90)</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(389)</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(259)</w:t>
            </w:r>
          </w:p>
        </w:tc>
      </w:tr>
      <w:tr>
        <w:trPr>
          <w:trHeight w:val="23"/>
        </w:trPr>
        <w:tc>
          <w:tcPr>
            <w:tcW w:w="49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196"/>
        </w:trPr>
        <w:tc>
          <w:tcPr>
            <w:tcW w:w="494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4"/>
                <w:szCs w:val="14"/>
                <w:color w:val="auto"/>
              </w:rPr>
              <w:t>Interest on Securitization Bonds</w:t>
            </w:r>
          </w:p>
        </w:tc>
        <w:tc>
          <w:tcPr>
            <w:tcW w:w="960" w:type="dxa"/>
            <w:vAlign w:val="bottom"/>
            <w:tcBorders>
              <w:bottom w:val="single" w:sz="8" w:color="BFE4FF"/>
            </w:tcBorders>
            <w:shd w:val="clear" w:color="auto" w:fill="BFE4FF"/>
          </w:tcPr>
          <w:p>
            <w:pPr>
              <w:spacing w:after="0"/>
              <w:rPr>
                <w:sz w:val="17"/>
                <w:szCs w:val="17"/>
                <w:color w:val="auto"/>
              </w:rPr>
            </w:pPr>
          </w:p>
        </w:tc>
        <w:tc>
          <w:tcPr>
            <w:tcW w:w="540" w:type="dxa"/>
            <w:vAlign w:val="bottom"/>
            <w:tcBorders>
              <w:bottom w:val="single" w:sz="8" w:color="BFE4FF"/>
            </w:tcBorders>
            <w:shd w:val="clear" w:color="auto" w:fill="BFE4FF"/>
          </w:tcPr>
          <w:p>
            <w:pPr>
              <w:jc w:val="right"/>
              <w:ind w:right="8"/>
              <w:spacing w:after="0"/>
              <w:rPr>
                <w:sz w:val="20"/>
                <w:szCs w:val="20"/>
                <w:color w:val="auto"/>
              </w:rPr>
            </w:pPr>
            <w:r>
              <w:rPr>
                <w:rFonts w:ascii="Arial" w:cs="Arial" w:eastAsia="Arial" w:hAnsi="Arial"/>
                <w:sz w:val="14"/>
                <w:szCs w:val="14"/>
                <w:color w:val="auto"/>
              </w:rPr>
              <w:t>(9)</w:t>
            </w:r>
          </w:p>
        </w:tc>
        <w:tc>
          <w:tcPr>
            <w:tcW w:w="120" w:type="dxa"/>
            <w:vAlign w:val="bottom"/>
            <w:tcBorders>
              <w:bottom w:val="single" w:sz="8" w:color="BFE4FF"/>
            </w:tcBorders>
            <w:shd w:val="clear" w:color="auto" w:fill="BFE4FF"/>
          </w:tcPr>
          <w:p>
            <w:pPr>
              <w:spacing w:after="0"/>
              <w:rPr>
                <w:sz w:val="17"/>
                <w:szCs w:val="17"/>
                <w:color w:val="auto"/>
              </w:rPr>
            </w:pPr>
          </w:p>
        </w:tc>
        <w:tc>
          <w:tcPr>
            <w:tcW w:w="360" w:type="dxa"/>
            <w:vAlign w:val="bottom"/>
            <w:tcBorders>
              <w:bottom w:val="single" w:sz="8" w:color="BFE4FF"/>
            </w:tcBorders>
            <w:shd w:val="clear" w:color="auto" w:fill="BFE4FF"/>
          </w:tcPr>
          <w:p>
            <w:pPr>
              <w:spacing w:after="0"/>
              <w:rPr>
                <w:sz w:val="17"/>
                <w:szCs w:val="17"/>
                <w:color w:val="auto"/>
              </w:rPr>
            </w:pPr>
          </w:p>
        </w:tc>
        <w:tc>
          <w:tcPr>
            <w:tcW w:w="114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4"/>
                <w:szCs w:val="14"/>
                <w:color w:val="auto"/>
              </w:rPr>
              <w:t>(16)</w:t>
            </w:r>
          </w:p>
        </w:tc>
        <w:tc>
          <w:tcPr>
            <w:tcW w:w="120" w:type="dxa"/>
            <w:vAlign w:val="bottom"/>
            <w:tcBorders>
              <w:bottom w:val="single" w:sz="8" w:color="BFE4FF"/>
            </w:tcBorders>
            <w:shd w:val="clear" w:color="auto" w:fill="BFE4FF"/>
          </w:tcPr>
          <w:p>
            <w:pPr>
              <w:spacing w:after="0"/>
              <w:rPr>
                <w:sz w:val="17"/>
                <w:szCs w:val="17"/>
                <w:color w:val="auto"/>
              </w:rPr>
            </w:pPr>
          </w:p>
        </w:tc>
        <w:tc>
          <w:tcPr>
            <w:tcW w:w="380" w:type="dxa"/>
            <w:vAlign w:val="bottom"/>
            <w:tcBorders>
              <w:bottom w:val="single" w:sz="8" w:color="BFE4FF"/>
            </w:tcBorders>
            <w:shd w:val="clear" w:color="auto" w:fill="BFE4FF"/>
          </w:tcPr>
          <w:p>
            <w:pPr>
              <w:spacing w:after="0"/>
              <w:rPr>
                <w:sz w:val="17"/>
                <w:szCs w:val="17"/>
                <w:color w:val="auto"/>
              </w:rPr>
            </w:pPr>
          </w:p>
        </w:tc>
        <w:tc>
          <w:tcPr>
            <w:tcW w:w="120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4"/>
                <w:szCs w:val="14"/>
                <w:color w:val="auto"/>
              </w:rPr>
              <w:t>(31)</w:t>
            </w:r>
          </w:p>
        </w:tc>
        <w:tc>
          <w:tcPr>
            <w:tcW w:w="120" w:type="dxa"/>
            <w:vAlign w:val="bottom"/>
            <w:tcBorders>
              <w:bottom w:val="single" w:sz="8" w:color="BFE4FF"/>
            </w:tcBorders>
            <w:shd w:val="clear" w:color="auto" w:fill="BFE4FF"/>
          </w:tcPr>
          <w:p>
            <w:pPr>
              <w:spacing w:after="0"/>
              <w:rPr>
                <w:sz w:val="17"/>
                <w:szCs w:val="17"/>
                <w:color w:val="auto"/>
              </w:rPr>
            </w:pPr>
          </w:p>
        </w:tc>
        <w:tc>
          <w:tcPr>
            <w:tcW w:w="380" w:type="dxa"/>
            <w:vAlign w:val="bottom"/>
            <w:tcBorders>
              <w:bottom w:val="single" w:sz="8" w:color="BFE4FF"/>
            </w:tcBorders>
            <w:shd w:val="clear" w:color="auto" w:fill="BFE4FF"/>
          </w:tcPr>
          <w:p>
            <w:pPr>
              <w:spacing w:after="0"/>
              <w:rPr>
                <w:sz w:val="17"/>
                <w:szCs w:val="17"/>
                <w:color w:val="auto"/>
              </w:rPr>
            </w:pPr>
          </w:p>
        </w:tc>
        <w:tc>
          <w:tcPr>
            <w:tcW w:w="120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4"/>
                <w:szCs w:val="14"/>
                <w:color w:val="auto"/>
              </w:rPr>
              <w:t>(46)</w:t>
            </w:r>
          </w:p>
        </w:tc>
      </w:tr>
      <w:tr>
        <w:trPr>
          <w:trHeight w:val="193"/>
        </w:trPr>
        <w:tc>
          <w:tcPr>
            <w:tcW w:w="4940" w:type="dxa"/>
            <w:vAlign w:val="bottom"/>
          </w:tcPr>
          <w:p>
            <w:pPr>
              <w:ind w:left="20"/>
              <w:spacing w:after="0"/>
              <w:rPr>
                <w:sz w:val="20"/>
                <w:szCs w:val="20"/>
                <w:color w:val="auto"/>
              </w:rPr>
            </w:pPr>
            <w:r>
              <w:rPr>
                <w:rFonts w:ascii="Arial" w:cs="Arial" w:eastAsia="Arial" w:hAnsi="Arial"/>
                <w:sz w:val="14"/>
                <w:szCs w:val="14"/>
                <w:color w:val="auto"/>
              </w:rPr>
              <w:t>Equity in Earnings of Unconsolidated Affiliate, net</w:t>
            </w:r>
          </w:p>
        </w:tc>
        <w:tc>
          <w:tcPr>
            <w:tcW w:w="960" w:type="dxa"/>
            <w:vAlign w:val="bottom"/>
          </w:tcPr>
          <w:p>
            <w:pPr>
              <w:spacing w:after="0"/>
              <w:rPr>
                <w:sz w:val="16"/>
                <w:szCs w:val="16"/>
                <w:color w:val="auto"/>
              </w:rPr>
            </w:pPr>
          </w:p>
        </w:tc>
        <w:tc>
          <w:tcPr>
            <w:tcW w:w="540" w:type="dxa"/>
            <w:vAlign w:val="bottom"/>
          </w:tcPr>
          <w:p>
            <w:pPr>
              <w:jc w:val="right"/>
              <w:ind w:right="48"/>
              <w:spacing w:after="0"/>
              <w:rPr>
                <w:sz w:val="20"/>
                <w:szCs w:val="20"/>
                <w:color w:val="auto"/>
              </w:rPr>
            </w:pPr>
            <w:r>
              <w:rPr>
                <w:rFonts w:ascii="Arial" w:cs="Arial" w:eastAsia="Arial" w:hAnsi="Arial"/>
                <w:sz w:val="14"/>
                <w:szCs w:val="14"/>
                <w:color w:val="auto"/>
              </w:rPr>
              <w:t>77</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ind w:right="50"/>
              <w:spacing w:after="0"/>
              <w:rPr>
                <w:sz w:val="20"/>
                <w:szCs w:val="20"/>
                <w:color w:val="auto"/>
              </w:rPr>
            </w:pPr>
            <w:r>
              <w:rPr>
                <w:rFonts w:ascii="Arial" w:cs="Arial" w:eastAsia="Arial" w:hAnsi="Arial"/>
                <w:sz w:val="14"/>
                <w:szCs w:val="14"/>
                <w:color w:val="auto"/>
              </w:rPr>
              <w:t>81</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ind w:right="30"/>
              <w:spacing w:after="0"/>
              <w:rPr>
                <w:sz w:val="20"/>
                <w:szCs w:val="20"/>
                <w:color w:val="auto"/>
              </w:rPr>
            </w:pPr>
            <w:r>
              <w:rPr>
                <w:rFonts w:ascii="Arial" w:cs="Arial" w:eastAsia="Arial" w:hAnsi="Arial"/>
                <w:sz w:val="14"/>
                <w:szCs w:val="14"/>
                <w:color w:val="auto"/>
              </w:rPr>
              <w:t>213</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ind w:right="29"/>
              <w:spacing w:after="0"/>
              <w:rPr>
                <w:sz w:val="20"/>
                <w:szCs w:val="20"/>
                <w:color w:val="auto"/>
              </w:rPr>
            </w:pPr>
            <w:r>
              <w:rPr>
                <w:rFonts w:ascii="Arial" w:cs="Arial" w:eastAsia="Arial" w:hAnsi="Arial"/>
                <w:sz w:val="14"/>
                <w:szCs w:val="14"/>
                <w:color w:val="auto"/>
              </w:rPr>
              <w:t>208</w:t>
            </w:r>
          </w:p>
        </w:tc>
      </w:tr>
      <w:tr>
        <w:trPr>
          <w:trHeight w:val="23"/>
        </w:trPr>
        <w:tc>
          <w:tcPr>
            <w:tcW w:w="49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16"/>
        </w:trPr>
        <w:tc>
          <w:tcPr>
            <w:tcW w:w="494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4"/>
                <w:szCs w:val="14"/>
                <w:color w:val="auto"/>
              </w:rPr>
              <w:t>Other Income (Expense), net</w:t>
            </w:r>
          </w:p>
        </w:tc>
        <w:tc>
          <w:tcPr>
            <w:tcW w:w="960" w:type="dxa"/>
            <w:vAlign w:val="bottom"/>
            <w:tcBorders>
              <w:bottom w:val="single" w:sz="8" w:color="BFE4FF"/>
            </w:tcBorders>
            <w:shd w:val="clear" w:color="auto" w:fill="BFE4FF"/>
          </w:tcPr>
          <w:p>
            <w:pPr>
              <w:spacing w:after="0"/>
              <w:rPr>
                <w:sz w:val="18"/>
                <w:szCs w:val="18"/>
                <w:color w:val="auto"/>
              </w:rPr>
            </w:pPr>
          </w:p>
        </w:tc>
        <w:tc>
          <w:tcPr>
            <w:tcW w:w="540" w:type="dxa"/>
            <w:vAlign w:val="bottom"/>
            <w:tcBorders>
              <w:bottom w:val="single" w:sz="8" w:color="BFE4FF"/>
            </w:tcBorders>
            <w:shd w:val="clear" w:color="auto" w:fill="BFE4FF"/>
          </w:tcPr>
          <w:p>
            <w:pPr>
              <w:jc w:val="right"/>
              <w:ind w:right="48"/>
              <w:spacing w:after="0"/>
              <w:rPr>
                <w:sz w:val="20"/>
                <w:szCs w:val="20"/>
                <w:color w:val="auto"/>
              </w:rPr>
            </w:pPr>
            <w:r>
              <w:rPr>
                <w:rFonts w:ascii="Arial" w:cs="Arial" w:eastAsia="Arial" w:hAnsi="Arial"/>
                <w:sz w:val="14"/>
                <w:szCs w:val="14"/>
                <w:color w:val="auto"/>
              </w:rPr>
              <w:t>6</w:t>
            </w:r>
          </w:p>
        </w:tc>
        <w:tc>
          <w:tcPr>
            <w:tcW w:w="120" w:type="dxa"/>
            <w:vAlign w:val="bottom"/>
            <w:tcBorders>
              <w:bottom w:val="single" w:sz="8" w:color="BFE4FF"/>
            </w:tcBorders>
            <w:shd w:val="clear" w:color="auto" w:fill="BFE4FF"/>
          </w:tcPr>
          <w:p>
            <w:pPr>
              <w:spacing w:after="0"/>
              <w:rPr>
                <w:sz w:val="18"/>
                <w:szCs w:val="18"/>
                <w:color w:val="auto"/>
              </w:rPr>
            </w:pPr>
          </w:p>
        </w:tc>
        <w:tc>
          <w:tcPr>
            <w:tcW w:w="360" w:type="dxa"/>
            <w:vAlign w:val="bottom"/>
            <w:tcBorders>
              <w:bottom w:val="single" w:sz="8" w:color="BFE4FF"/>
            </w:tcBorders>
            <w:shd w:val="clear" w:color="auto" w:fill="BFE4FF"/>
          </w:tcPr>
          <w:p>
            <w:pPr>
              <w:spacing w:after="0"/>
              <w:rPr>
                <w:sz w:val="18"/>
                <w:szCs w:val="18"/>
                <w:color w:val="auto"/>
              </w:rPr>
            </w:pPr>
          </w:p>
        </w:tc>
        <w:tc>
          <w:tcPr>
            <w:tcW w:w="1140" w:type="dxa"/>
            <w:vAlign w:val="bottom"/>
            <w:tcBorders>
              <w:bottom w:val="single" w:sz="8" w:color="BFE4FF"/>
            </w:tcBorders>
            <w:shd w:val="clear" w:color="auto" w:fill="BFE4FF"/>
          </w:tcPr>
          <w:p>
            <w:pPr>
              <w:jc w:val="right"/>
              <w:ind w:right="50"/>
              <w:spacing w:after="0"/>
              <w:rPr>
                <w:sz w:val="20"/>
                <w:szCs w:val="20"/>
                <w:color w:val="auto"/>
              </w:rPr>
            </w:pPr>
            <w:r>
              <w:rPr>
                <w:rFonts w:ascii="Arial" w:cs="Arial" w:eastAsia="Arial" w:hAnsi="Arial"/>
                <w:sz w:val="14"/>
                <w:szCs w:val="14"/>
                <w:color w:val="auto"/>
              </w:rPr>
              <w:t>8</w:t>
            </w:r>
          </w:p>
        </w:tc>
        <w:tc>
          <w:tcPr>
            <w:tcW w:w="120" w:type="dxa"/>
            <w:vAlign w:val="bottom"/>
            <w:tcBorders>
              <w:bottom w:val="single" w:sz="8" w:color="BFE4FF"/>
            </w:tcBorders>
            <w:shd w:val="clear" w:color="auto" w:fill="BFE4FF"/>
          </w:tcPr>
          <w:p>
            <w:pPr>
              <w:spacing w:after="0"/>
              <w:rPr>
                <w:sz w:val="18"/>
                <w:szCs w:val="18"/>
                <w:color w:val="auto"/>
              </w:rPr>
            </w:pPr>
          </w:p>
        </w:tc>
        <w:tc>
          <w:tcPr>
            <w:tcW w:w="380" w:type="dxa"/>
            <w:vAlign w:val="bottom"/>
            <w:tcBorders>
              <w:bottom w:val="single" w:sz="8" w:color="BFE4FF"/>
            </w:tcBorders>
            <w:shd w:val="clear" w:color="auto" w:fill="BFE4FF"/>
          </w:tcPr>
          <w:p>
            <w:pPr>
              <w:spacing w:after="0"/>
              <w:rPr>
                <w:sz w:val="18"/>
                <w:szCs w:val="18"/>
                <w:color w:val="auto"/>
              </w:rPr>
            </w:pPr>
          </w:p>
        </w:tc>
        <w:tc>
          <w:tcPr>
            <w:tcW w:w="1200" w:type="dxa"/>
            <w:vAlign w:val="bottom"/>
            <w:tcBorders>
              <w:bottom w:val="single" w:sz="8" w:color="BFE4FF"/>
            </w:tcBorders>
            <w:shd w:val="clear" w:color="auto" w:fill="BFE4FF"/>
          </w:tcPr>
          <w:p>
            <w:pPr>
              <w:jc w:val="right"/>
              <w:ind w:right="30"/>
              <w:spacing w:after="0"/>
              <w:rPr>
                <w:sz w:val="20"/>
                <w:szCs w:val="20"/>
                <w:color w:val="auto"/>
              </w:rPr>
            </w:pPr>
            <w:r>
              <w:rPr>
                <w:rFonts w:ascii="Arial" w:cs="Arial" w:eastAsia="Arial" w:hAnsi="Arial"/>
                <w:sz w:val="14"/>
                <w:szCs w:val="14"/>
                <w:color w:val="auto"/>
              </w:rPr>
              <w:t>30</w:t>
            </w:r>
          </w:p>
        </w:tc>
        <w:tc>
          <w:tcPr>
            <w:tcW w:w="120" w:type="dxa"/>
            <w:vAlign w:val="bottom"/>
            <w:tcBorders>
              <w:bottom w:val="single" w:sz="8" w:color="BFE4FF"/>
            </w:tcBorders>
            <w:shd w:val="clear" w:color="auto" w:fill="BFE4FF"/>
          </w:tcPr>
          <w:p>
            <w:pPr>
              <w:spacing w:after="0"/>
              <w:rPr>
                <w:sz w:val="18"/>
                <w:szCs w:val="18"/>
                <w:color w:val="auto"/>
              </w:rPr>
            </w:pPr>
          </w:p>
        </w:tc>
        <w:tc>
          <w:tcPr>
            <w:tcW w:w="380" w:type="dxa"/>
            <w:vAlign w:val="bottom"/>
            <w:tcBorders>
              <w:bottom w:val="single" w:sz="8" w:color="BFE4FF"/>
            </w:tcBorders>
            <w:shd w:val="clear" w:color="auto" w:fill="BFE4FF"/>
          </w:tcPr>
          <w:p>
            <w:pPr>
              <w:spacing w:after="0"/>
              <w:rPr>
                <w:sz w:val="18"/>
                <w:szCs w:val="18"/>
                <w:color w:val="auto"/>
              </w:rPr>
            </w:pPr>
          </w:p>
        </w:tc>
        <w:tc>
          <w:tcPr>
            <w:tcW w:w="120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4"/>
                <w:szCs w:val="14"/>
                <w:color w:val="auto"/>
              </w:rPr>
              <w:t>(234)</w:t>
            </w:r>
          </w:p>
        </w:tc>
      </w:tr>
      <w:tr>
        <w:trPr>
          <w:trHeight w:val="184"/>
        </w:trPr>
        <w:tc>
          <w:tcPr>
            <w:tcW w:w="4940" w:type="dxa"/>
            <w:vAlign w:val="bottom"/>
          </w:tcPr>
          <w:p>
            <w:pPr>
              <w:ind w:left="20"/>
              <w:spacing w:after="0"/>
              <w:rPr>
                <w:sz w:val="20"/>
                <w:szCs w:val="20"/>
                <w:color w:val="auto"/>
              </w:rPr>
            </w:pPr>
            <w:r>
              <w:rPr>
                <w:rFonts w:ascii="Arial" w:cs="Arial" w:eastAsia="Arial" w:hAnsi="Arial"/>
                <w:sz w:val="14"/>
                <w:szCs w:val="14"/>
                <w:color w:val="auto"/>
              </w:rPr>
              <w:t>Income Before Income Taxes</w:t>
            </w:r>
          </w:p>
        </w:tc>
        <w:tc>
          <w:tcPr>
            <w:tcW w:w="96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332</w:t>
            </w:r>
          </w:p>
        </w:tc>
        <w:tc>
          <w:tcPr>
            <w:tcW w:w="12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right"/>
              <w:ind w:right="50"/>
              <w:spacing w:after="0"/>
              <w:rPr>
                <w:sz w:val="20"/>
                <w:szCs w:val="20"/>
                <w:color w:val="auto"/>
              </w:rPr>
            </w:pPr>
            <w:r>
              <w:rPr>
                <w:rFonts w:ascii="Arial" w:cs="Arial" w:eastAsia="Arial" w:hAnsi="Arial"/>
                <w:sz w:val="14"/>
                <w:szCs w:val="14"/>
                <w:color w:val="auto"/>
              </w:rPr>
              <w:t>209</w:t>
            </w:r>
          </w:p>
        </w:tc>
        <w:tc>
          <w:tcPr>
            <w:tcW w:w="120" w:type="dxa"/>
            <w:vAlign w:val="bottom"/>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jc w:val="right"/>
              <w:ind w:right="30"/>
              <w:spacing w:after="0"/>
              <w:rPr>
                <w:sz w:val="20"/>
                <w:szCs w:val="20"/>
                <w:color w:val="auto"/>
              </w:rPr>
            </w:pPr>
            <w:r>
              <w:rPr>
                <w:rFonts w:ascii="Arial" w:cs="Arial" w:eastAsia="Arial" w:hAnsi="Arial"/>
                <w:sz w:val="14"/>
                <w:szCs w:val="14"/>
                <w:color w:val="auto"/>
              </w:rPr>
              <w:t>747</w:t>
            </w:r>
          </w:p>
        </w:tc>
        <w:tc>
          <w:tcPr>
            <w:tcW w:w="120" w:type="dxa"/>
            <w:vAlign w:val="bottom"/>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rPr>
              <w:t>333</w:t>
            </w:r>
          </w:p>
        </w:tc>
      </w:tr>
      <w:tr>
        <w:trPr>
          <w:trHeight w:val="23"/>
        </w:trPr>
        <w:tc>
          <w:tcPr>
            <w:tcW w:w="49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16"/>
        </w:trPr>
        <w:tc>
          <w:tcPr>
            <w:tcW w:w="494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4"/>
                <w:szCs w:val="14"/>
                <w:color w:val="auto"/>
              </w:rPr>
              <w:t>Income Tax Expense</w:t>
            </w:r>
          </w:p>
        </w:tc>
        <w:tc>
          <w:tcPr>
            <w:tcW w:w="960" w:type="dxa"/>
            <w:vAlign w:val="bottom"/>
            <w:tcBorders>
              <w:bottom w:val="single" w:sz="8" w:color="BFE4FF"/>
            </w:tcBorders>
            <w:shd w:val="clear" w:color="auto" w:fill="BFE4FF"/>
          </w:tcPr>
          <w:p>
            <w:pPr>
              <w:spacing w:after="0"/>
              <w:rPr>
                <w:sz w:val="18"/>
                <w:szCs w:val="18"/>
                <w:color w:val="auto"/>
              </w:rPr>
            </w:pPr>
          </w:p>
        </w:tc>
        <w:tc>
          <w:tcPr>
            <w:tcW w:w="540" w:type="dxa"/>
            <w:vAlign w:val="bottom"/>
            <w:tcBorders>
              <w:bottom w:val="single" w:sz="8" w:color="BFE4FF"/>
            </w:tcBorders>
            <w:shd w:val="clear" w:color="auto" w:fill="BFE4FF"/>
          </w:tcPr>
          <w:p>
            <w:pPr>
              <w:jc w:val="right"/>
              <w:ind w:right="48"/>
              <w:spacing w:after="0"/>
              <w:rPr>
                <w:sz w:val="20"/>
                <w:szCs w:val="20"/>
                <w:color w:val="auto"/>
              </w:rPr>
            </w:pPr>
            <w:r>
              <w:rPr>
                <w:rFonts w:ascii="Arial" w:cs="Arial" w:eastAsia="Arial" w:hAnsi="Arial"/>
                <w:sz w:val="14"/>
                <w:szCs w:val="14"/>
                <w:color w:val="auto"/>
              </w:rPr>
              <w:t>62</w:t>
            </w:r>
          </w:p>
        </w:tc>
        <w:tc>
          <w:tcPr>
            <w:tcW w:w="120" w:type="dxa"/>
            <w:vAlign w:val="bottom"/>
            <w:tcBorders>
              <w:bottom w:val="single" w:sz="8" w:color="BFE4FF"/>
            </w:tcBorders>
            <w:shd w:val="clear" w:color="auto" w:fill="BFE4FF"/>
          </w:tcPr>
          <w:p>
            <w:pPr>
              <w:spacing w:after="0"/>
              <w:rPr>
                <w:sz w:val="18"/>
                <w:szCs w:val="18"/>
                <w:color w:val="auto"/>
              </w:rPr>
            </w:pPr>
          </w:p>
        </w:tc>
        <w:tc>
          <w:tcPr>
            <w:tcW w:w="360" w:type="dxa"/>
            <w:vAlign w:val="bottom"/>
            <w:tcBorders>
              <w:bottom w:val="single" w:sz="8" w:color="BFE4FF"/>
            </w:tcBorders>
            <w:shd w:val="clear" w:color="auto" w:fill="BFE4FF"/>
          </w:tcPr>
          <w:p>
            <w:pPr>
              <w:spacing w:after="0"/>
              <w:rPr>
                <w:sz w:val="18"/>
                <w:szCs w:val="18"/>
                <w:color w:val="auto"/>
              </w:rPr>
            </w:pPr>
          </w:p>
        </w:tc>
        <w:tc>
          <w:tcPr>
            <w:tcW w:w="1140" w:type="dxa"/>
            <w:vAlign w:val="bottom"/>
            <w:tcBorders>
              <w:bottom w:val="single" w:sz="8" w:color="BFE4FF"/>
            </w:tcBorders>
            <w:shd w:val="clear" w:color="auto" w:fill="BFE4FF"/>
          </w:tcPr>
          <w:p>
            <w:pPr>
              <w:jc w:val="right"/>
              <w:ind w:right="50"/>
              <w:spacing w:after="0"/>
              <w:rPr>
                <w:sz w:val="20"/>
                <w:szCs w:val="20"/>
                <w:color w:val="auto"/>
              </w:rPr>
            </w:pPr>
            <w:r>
              <w:rPr>
                <w:rFonts w:ascii="Arial" w:cs="Arial" w:eastAsia="Arial" w:hAnsi="Arial"/>
                <w:sz w:val="14"/>
                <w:szCs w:val="14"/>
                <w:color w:val="auto"/>
              </w:rPr>
              <w:t>51</w:t>
            </w:r>
          </w:p>
        </w:tc>
        <w:tc>
          <w:tcPr>
            <w:tcW w:w="120" w:type="dxa"/>
            <w:vAlign w:val="bottom"/>
            <w:tcBorders>
              <w:bottom w:val="single" w:sz="8" w:color="BFE4FF"/>
            </w:tcBorders>
            <w:shd w:val="clear" w:color="auto" w:fill="BFE4FF"/>
          </w:tcPr>
          <w:p>
            <w:pPr>
              <w:spacing w:after="0"/>
              <w:rPr>
                <w:sz w:val="18"/>
                <w:szCs w:val="18"/>
                <w:color w:val="auto"/>
              </w:rPr>
            </w:pPr>
          </w:p>
        </w:tc>
        <w:tc>
          <w:tcPr>
            <w:tcW w:w="380" w:type="dxa"/>
            <w:vAlign w:val="bottom"/>
            <w:tcBorders>
              <w:bottom w:val="single" w:sz="8" w:color="BFE4FF"/>
            </w:tcBorders>
            <w:shd w:val="clear" w:color="auto" w:fill="BFE4FF"/>
          </w:tcPr>
          <w:p>
            <w:pPr>
              <w:spacing w:after="0"/>
              <w:rPr>
                <w:sz w:val="18"/>
                <w:szCs w:val="18"/>
                <w:color w:val="auto"/>
              </w:rPr>
            </w:pPr>
          </w:p>
        </w:tc>
        <w:tc>
          <w:tcPr>
            <w:tcW w:w="1200" w:type="dxa"/>
            <w:vAlign w:val="bottom"/>
            <w:tcBorders>
              <w:bottom w:val="single" w:sz="8" w:color="BFE4FF"/>
            </w:tcBorders>
            <w:shd w:val="clear" w:color="auto" w:fill="BFE4FF"/>
          </w:tcPr>
          <w:p>
            <w:pPr>
              <w:jc w:val="right"/>
              <w:ind w:right="30"/>
              <w:spacing w:after="0"/>
              <w:rPr>
                <w:sz w:val="20"/>
                <w:szCs w:val="20"/>
                <w:color w:val="auto"/>
              </w:rPr>
            </w:pPr>
            <w:r>
              <w:rPr>
                <w:rFonts w:ascii="Arial" w:cs="Arial" w:eastAsia="Arial" w:hAnsi="Arial"/>
                <w:sz w:val="14"/>
                <w:szCs w:val="14"/>
                <w:color w:val="auto"/>
              </w:rPr>
              <w:t>113</w:t>
            </w:r>
          </w:p>
        </w:tc>
        <w:tc>
          <w:tcPr>
            <w:tcW w:w="120" w:type="dxa"/>
            <w:vAlign w:val="bottom"/>
            <w:tcBorders>
              <w:bottom w:val="single" w:sz="8" w:color="BFE4FF"/>
            </w:tcBorders>
            <w:shd w:val="clear" w:color="auto" w:fill="BFE4FF"/>
          </w:tcPr>
          <w:p>
            <w:pPr>
              <w:spacing w:after="0"/>
              <w:rPr>
                <w:sz w:val="18"/>
                <w:szCs w:val="18"/>
                <w:color w:val="auto"/>
              </w:rPr>
            </w:pPr>
          </w:p>
        </w:tc>
        <w:tc>
          <w:tcPr>
            <w:tcW w:w="380" w:type="dxa"/>
            <w:vAlign w:val="bottom"/>
            <w:tcBorders>
              <w:bottom w:val="single" w:sz="8" w:color="BFE4FF"/>
            </w:tcBorders>
            <w:shd w:val="clear" w:color="auto" w:fill="BFE4FF"/>
          </w:tcPr>
          <w:p>
            <w:pPr>
              <w:spacing w:after="0"/>
              <w:rPr>
                <w:sz w:val="18"/>
                <w:szCs w:val="18"/>
                <w:color w:val="auto"/>
              </w:rPr>
            </w:pPr>
          </w:p>
        </w:tc>
        <w:tc>
          <w:tcPr>
            <w:tcW w:w="1200" w:type="dxa"/>
            <w:vAlign w:val="bottom"/>
            <w:tcBorders>
              <w:bottom w:val="single" w:sz="8" w:color="BFE4FF"/>
            </w:tcBorders>
            <w:shd w:val="clear" w:color="auto" w:fill="BFE4FF"/>
          </w:tcPr>
          <w:p>
            <w:pPr>
              <w:jc w:val="right"/>
              <w:ind w:right="29"/>
              <w:spacing w:after="0"/>
              <w:rPr>
                <w:sz w:val="20"/>
                <w:szCs w:val="20"/>
                <w:color w:val="auto"/>
              </w:rPr>
            </w:pPr>
            <w:r>
              <w:rPr>
                <w:rFonts w:ascii="Arial" w:cs="Arial" w:eastAsia="Arial" w:hAnsi="Arial"/>
                <w:sz w:val="14"/>
                <w:szCs w:val="14"/>
                <w:color w:val="auto"/>
              </w:rPr>
              <w:t>85</w:t>
            </w:r>
          </w:p>
        </w:tc>
      </w:tr>
      <w:tr>
        <w:trPr>
          <w:trHeight w:val="184"/>
        </w:trPr>
        <w:tc>
          <w:tcPr>
            <w:tcW w:w="494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96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270</w:t>
            </w:r>
          </w:p>
        </w:tc>
        <w:tc>
          <w:tcPr>
            <w:tcW w:w="12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right"/>
              <w:ind w:right="50"/>
              <w:spacing w:after="0"/>
              <w:rPr>
                <w:sz w:val="20"/>
                <w:szCs w:val="20"/>
                <w:color w:val="auto"/>
              </w:rPr>
            </w:pPr>
            <w:r>
              <w:rPr>
                <w:rFonts w:ascii="Arial" w:cs="Arial" w:eastAsia="Arial" w:hAnsi="Arial"/>
                <w:sz w:val="14"/>
                <w:szCs w:val="14"/>
                <w:color w:val="auto"/>
              </w:rPr>
              <w:t>158</w:t>
            </w:r>
          </w:p>
        </w:tc>
        <w:tc>
          <w:tcPr>
            <w:tcW w:w="120" w:type="dxa"/>
            <w:vAlign w:val="bottom"/>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jc w:val="right"/>
              <w:ind w:right="30"/>
              <w:spacing w:after="0"/>
              <w:rPr>
                <w:sz w:val="20"/>
                <w:szCs w:val="20"/>
                <w:color w:val="auto"/>
              </w:rPr>
            </w:pPr>
            <w:r>
              <w:rPr>
                <w:rFonts w:ascii="Arial" w:cs="Arial" w:eastAsia="Arial" w:hAnsi="Arial"/>
                <w:sz w:val="14"/>
                <w:szCs w:val="14"/>
                <w:color w:val="auto"/>
              </w:rPr>
              <w:t>634</w:t>
            </w:r>
          </w:p>
        </w:tc>
        <w:tc>
          <w:tcPr>
            <w:tcW w:w="120" w:type="dxa"/>
            <w:vAlign w:val="bottom"/>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rPr>
              <w:t>248</w:t>
            </w:r>
          </w:p>
        </w:tc>
      </w:tr>
      <w:tr>
        <w:trPr>
          <w:trHeight w:val="23"/>
        </w:trPr>
        <w:tc>
          <w:tcPr>
            <w:tcW w:w="49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16"/>
        </w:trPr>
        <w:tc>
          <w:tcPr>
            <w:tcW w:w="494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4"/>
                <w:szCs w:val="14"/>
                <w:color w:val="auto"/>
              </w:rPr>
              <w:t>Preferred Stock Dividend Requirement</w:t>
            </w:r>
          </w:p>
        </w:tc>
        <w:tc>
          <w:tcPr>
            <w:tcW w:w="960" w:type="dxa"/>
            <w:vAlign w:val="bottom"/>
            <w:tcBorders>
              <w:bottom w:val="single" w:sz="8" w:color="BFE4FF"/>
            </w:tcBorders>
            <w:shd w:val="clear" w:color="auto" w:fill="BFE4FF"/>
          </w:tcPr>
          <w:p>
            <w:pPr>
              <w:spacing w:after="0"/>
              <w:rPr>
                <w:sz w:val="18"/>
                <w:szCs w:val="18"/>
                <w:color w:val="auto"/>
              </w:rPr>
            </w:pPr>
          </w:p>
        </w:tc>
        <w:tc>
          <w:tcPr>
            <w:tcW w:w="540" w:type="dxa"/>
            <w:vAlign w:val="bottom"/>
            <w:tcBorders>
              <w:bottom w:val="single" w:sz="8" w:color="BFE4FF"/>
            </w:tcBorders>
            <w:shd w:val="clear" w:color="auto" w:fill="BFE4FF"/>
          </w:tcPr>
          <w:p>
            <w:pPr>
              <w:jc w:val="right"/>
              <w:ind w:right="48"/>
              <w:spacing w:after="0"/>
              <w:rPr>
                <w:sz w:val="20"/>
                <w:szCs w:val="20"/>
                <w:color w:val="auto"/>
              </w:rPr>
            </w:pPr>
            <w:r>
              <w:rPr>
                <w:rFonts w:ascii="Arial" w:cs="Arial" w:eastAsia="Arial" w:hAnsi="Arial"/>
                <w:sz w:val="14"/>
                <w:szCs w:val="14"/>
                <w:color w:val="auto"/>
              </w:rPr>
              <w:t>29</w:t>
            </w:r>
          </w:p>
        </w:tc>
        <w:tc>
          <w:tcPr>
            <w:tcW w:w="120" w:type="dxa"/>
            <w:vAlign w:val="bottom"/>
            <w:tcBorders>
              <w:bottom w:val="single" w:sz="8" w:color="BFE4FF"/>
            </w:tcBorders>
            <w:shd w:val="clear" w:color="auto" w:fill="BFE4FF"/>
          </w:tcPr>
          <w:p>
            <w:pPr>
              <w:spacing w:after="0"/>
              <w:rPr>
                <w:sz w:val="18"/>
                <w:szCs w:val="18"/>
                <w:color w:val="auto"/>
              </w:rPr>
            </w:pPr>
          </w:p>
        </w:tc>
        <w:tc>
          <w:tcPr>
            <w:tcW w:w="360" w:type="dxa"/>
            <w:vAlign w:val="bottom"/>
            <w:tcBorders>
              <w:bottom w:val="single" w:sz="8" w:color="BFE4FF"/>
            </w:tcBorders>
            <w:shd w:val="clear" w:color="auto" w:fill="BFE4FF"/>
          </w:tcPr>
          <w:p>
            <w:pPr>
              <w:spacing w:after="0"/>
              <w:rPr>
                <w:sz w:val="18"/>
                <w:szCs w:val="18"/>
                <w:color w:val="auto"/>
              </w:rPr>
            </w:pPr>
          </w:p>
        </w:tc>
        <w:tc>
          <w:tcPr>
            <w:tcW w:w="1140" w:type="dxa"/>
            <w:vAlign w:val="bottom"/>
            <w:tcBorders>
              <w:bottom w:val="single" w:sz="8" w:color="BFE4FF"/>
            </w:tcBorders>
            <w:shd w:val="clear" w:color="auto" w:fill="BFE4FF"/>
          </w:tcPr>
          <w:p>
            <w:pPr>
              <w:jc w:val="right"/>
              <w:ind w:right="50"/>
              <w:spacing w:after="0"/>
              <w:rPr>
                <w:sz w:val="20"/>
                <w:szCs w:val="20"/>
                <w:color w:val="auto"/>
              </w:rPr>
            </w:pPr>
            <w:r>
              <w:rPr>
                <w:rFonts w:ascii="Arial" w:cs="Arial" w:eastAsia="Arial" w:hAnsi="Arial"/>
                <w:sz w:val="14"/>
                <w:szCs w:val="14"/>
                <w:color w:val="auto"/>
              </w:rPr>
              <w:t>5</w:t>
            </w:r>
          </w:p>
        </w:tc>
        <w:tc>
          <w:tcPr>
            <w:tcW w:w="120" w:type="dxa"/>
            <w:vAlign w:val="bottom"/>
            <w:tcBorders>
              <w:bottom w:val="single" w:sz="8" w:color="BFE4FF"/>
            </w:tcBorders>
            <w:shd w:val="clear" w:color="auto" w:fill="BFE4FF"/>
          </w:tcPr>
          <w:p>
            <w:pPr>
              <w:spacing w:after="0"/>
              <w:rPr>
                <w:sz w:val="18"/>
                <w:szCs w:val="18"/>
                <w:color w:val="auto"/>
              </w:rPr>
            </w:pPr>
          </w:p>
        </w:tc>
        <w:tc>
          <w:tcPr>
            <w:tcW w:w="380" w:type="dxa"/>
            <w:vAlign w:val="bottom"/>
            <w:tcBorders>
              <w:bottom w:val="single" w:sz="8" w:color="BFE4FF"/>
            </w:tcBorders>
            <w:shd w:val="clear" w:color="auto" w:fill="BFE4FF"/>
          </w:tcPr>
          <w:p>
            <w:pPr>
              <w:spacing w:after="0"/>
              <w:rPr>
                <w:sz w:val="18"/>
                <w:szCs w:val="18"/>
                <w:color w:val="auto"/>
              </w:rPr>
            </w:pPr>
          </w:p>
        </w:tc>
        <w:tc>
          <w:tcPr>
            <w:tcW w:w="1200" w:type="dxa"/>
            <w:vAlign w:val="bottom"/>
            <w:tcBorders>
              <w:bottom w:val="single" w:sz="8" w:color="BFE4FF"/>
            </w:tcBorders>
            <w:shd w:val="clear" w:color="auto" w:fill="BFE4FF"/>
          </w:tcPr>
          <w:p>
            <w:pPr>
              <w:jc w:val="right"/>
              <w:ind w:right="30"/>
              <w:spacing w:after="0"/>
              <w:rPr>
                <w:sz w:val="20"/>
                <w:szCs w:val="20"/>
                <w:color w:val="auto"/>
              </w:rPr>
            </w:pPr>
            <w:r>
              <w:rPr>
                <w:rFonts w:ascii="Arial" w:cs="Arial" w:eastAsia="Arial" w:hAnsi="Arial"/>
                <w:sz w:val="14"/>
                <w:szCs w:val="14"/>
                <w:color w:val="auto"/>
              </w:rPr>
              <w:t>88</w:t>
            </w:r>
          </w:p>
        </w:tc>
        <w:tc>
          <w:tcPr>
            <w:tcW w:w="120" w:type="dxa"/>
            <w:vAlign w:val="bottom"/>
            <w:tcBorders>
              <w:bottom w:val="single" w:sz="8" w:color="BFE4FF"/>
            </w:tcBorders>
            <w:shd w:val="clear" w:color="auto" w:fill="BFE4FF"/>
          </w:tcPr>
          <w:p>
            <w:pPr>
              <w:spacing w:after="0"/>
              <w:rPr>
                <w:sz w:val="18"/>
                <w:szCs w:val="18"/>
                <w:color w:val="auto"/>
              </w:rPr>
            </w:pPr>
          </w:p>
        </w:tc>
        <w:tc>
          <w:tcPr>
            <w:tcW w:w="380" w:type="dxa"/>
            <w:vAlign w:val="bottom"/>
            <w:tcBorders>
              <w:bottom w:val="single" w:sz="8" w:color="BFE4FF"/>
            </w:tcBorders>
            <w:shd w:val="clear" w:color="auto" w:fill="BFE4FF"/>
          </w:tcPr>
          <w:p>
            <w:pPr>
              <w:spacing w:after="0"/>
              <w:rPr>
                <w:sz w:val="18"/>
                <w:szCs w:val="18"/>
                <w:color w:val="auto"/>
              </w:rPr>
            </w:pPr>
          </w:p>
        </w:tc>
        <w:tc>
          <w:tcPr>
            <w:tcW w:w="1200" w:type="dxa"/>
            <w:vAlign w:val="bottom"/>
            <w:tcBorders>
              <w:bottom w:val="single" w:sz="8" w:color="BFE4FF"/>
            </w:tcBorders>
            <w:shd w:val="clear" w:color="auto" w:fill="BFE4FF"/>
          </w:tcPr>
          <w:p>
            <w:pPr>
              <w:jc w:val="right"/>
              <w:ind w:right="29"/>
              <w:spacing w:after="0"/>
              <w:rPr>
                <w:sz w:val="20"/>
                <w:szCs w:val="20"/>
                <w:color w:val="auto"/>
              </w:rPr>
            </w:pPr>
            <w:r>
              <w:rPr>
                <w:rFonts w:ascii="Arial" w:cs="Arial" w:eastAsia="Arial" w:hAnsi="Arial"/>
                <w:sz w:val="14"/>
                <w:szCs w:val="14"/>
                <w:color w:val="auto"/>
              </w:rPr>
              <w:t>5</w:t>
            </w:r>
          </w:p>
        </w:tc>
      </w:tr>
      <w:tr>
        <w:trPr>
          <w:trHeight w:val="240"/>
        </w:trPr>
        <w:tc>
          <w:tcPr>
            <w:tcW w:w="4940" w:type="dxa"/>
            <w:vAlign w:val="bottom"/>
            <w:tcBorders>
              <w:bottom w:val="single" w:sz="8" w:color="BFE4FF"/>
            </w:tcBorders>
          </w:tcPr>
          <w:p>
            <w:pPr>
              <w:ind w:left="20"/>
              <w:spacing w:after="0"/>
              <w:rPr>
                <w:sz w:val="20"/>
                <w:szCs w:val="20"/>
                <w:color w:val="auto"/>
              </w:rPr>
            </w:pPr>
            <w:r>
              <w:rPr>
                <w:rFonts w:ascii="Arial" w:cs="Arial" w:eastAsia="Arial" w:hAnsi="Arial"/>
                <w:sz w:val="14"/>
                <w:szCs w:val="14"/>
                <w:color w:val="auto"/>
              </w:rPr>
              <w:t>Income Available to Common Shareholders</w:t>
            </w:r>
          </w:p>
        </w:tc>
        <w:tc>
          <w:tcPr>
            <w:tcW w:w="960" w:type="dxa"/>
            <w:vAlign w:val="bottom"/>
            <w:tcBorders>
              <w:top w:val="single" w:sz="8" w:color="auto"/>
              <w:bottom w:val="single" w:sz="8" w:color="auto"/>
            </w:tcBorders>
          </w:tcPr>
          <w:p>
            <w:pPr>
              <w:jc w:val="right"/>
              <w:ind w:right="792"/>
              <w:spacing w:after="0"/>
              <w:rPr>
                <w:sz w:val="20"/>
                <w:szCs w:val="20"/>
                <w:color w:val="auto"/>
              </w:rPr>
            </w:pPr>
            <w:r>
              <w:rPr>
                <w:rFonts w:ascii="Arial" w:cs="Arial" w:eastAsia="Arial" w:hAnsi="Arial"/>
                <w:sz w:val="14"/>
                <w:szCs w:val="14"/>
                <w:color w:val="auto"/>
              </w:rPr>
              <w:t>$</w:t>
            </w:r>
          </w:p>
        </w:tc>
        <w:tc>
          <w:tcPr>
            <w:tcW w:w="5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241</w:t>
            </w:r>
          </w:p>
        </w:tc>
        <w:tc>
          <w:tcPr>
            <w:tcW w:w="120" w:type="dxa"/>
            <w:vAlign w:val="bottom"/>
            <w:tcBorders>
              <w:bottom w:val="single" w:sz="8" w:color="BFE4FF"/>
            </w:tcBorders>
          </w:tcPr>
          <w:p>
            <w:pPr>
              <w:spacing w:after="0"/>
              <w:rPr>
                <w:sz w:val="20"/>
                <w:szCs w:val="20"/>
                <w:color w:val="auto"/>
              </w:rPr>
            </w:pPr>
          </w:p>
        </w:tc>
        <w:tc>
          <w:tcPr>
            <w:tcW w:w="360" w:type="dxa"/>
            <w:vAlign w:val="bottom"/>
            <w:tcBorders>
              <w:top w:val="single" w:sz="8" w:color="auto"/>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4"/>
                <w:szCs w:val="14"/>
                <w:color w:val="auto"/>
              </w:rPr>
              <w:t>153</w:t>
            </w:r>
          </w:p>
        </w:tc>
        <w:tc>
          <w:tcPr>
            <w:tcW w:w="120" w:type="dxa"/>
            <w:vAlign w:val="bottom"/>
            <w:tcBorders>
              <w:bottom w:val="single" w:sz="8" w:color="BFE4FF"/>
            </w:tcBorders>
          </w:tcPr>
          <w:p>
            <w:pPr>
              <w:spacing w:after="0"/>
              <w:rPr>
                <w:sz w:val="20"/>
                <w:szCs w:val="20"/>
                <w:color w:val="auto"/>
              </w:rPr>
            </w:pPr>
          </w:p>
        </w:tc>
        <w:tc>
          <w:tcPr>
            <w:tcW w:w="380" w:type="dxa"/>
            <w:vAlign w:val="bottom"/>
            <w:tcBorders>
              <w:top w:val="single" w:sz="8" w:color="auto"/>
              <w:bottom w:val="single" w:sz="8" w:color="auto"/>
            </w:tcBorders>
          </w:tcPr>
          <w:p>
            <w:pPr>
              <w:jc w:val="right"/>
              <w:ind w:right="228"/>
              <w:spacing w:after="0"/>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4"/>
                <w:szCs w:val="14"/>
                <w:color w:val="auto"/>
              </w:rPr>
              <w:t>546</w:t>
            </w:r>
          </w:p>
        </w:tc>
        <w:tc>
          <w:tcPr>
            <w:tcW w:w="120" w:type="dxa"/>
            <w:vAlign w:val="bottom"/>
            <w:tcBorders>
              <w:bottom w:val="single" w:sz="8" w:color="BFE4FF"/>
            </w:tcBorders>
          </w:tcPr>
          <w:p>
            <w:pPr>
              <w:spacing w:after="0"/>
              <w:rPr>
                <w:sz w:val="20"/>
                <w:szCs w:val="20"/>
                <w:color w:val="auto"/>
              </w:rPr>
            </w:pPr>
          </w:p>
        </w:tc>
        <w:tc>
          <w:tcPr>
            <w:tcW w:w="380" w:type="dxa"/>
            <w:vAlign w:val="bottom"/>
            <w:tcBorders>
              <w:top w:val="single" w:sz="8" w:color="auto"/>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243</w:t>
            </w:r>
          </w:p>
        </w:tc>
      </w:tr>
      <w:tr>
        <w:trPr>
          <w:trHeight w:val="188"/>
        </w:trPr>
        <w:tc>
          <w:tcPr>
            <w:tcW w:w="494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4"/>
                <w:szCs w:val="14"/>
                <w:color w:val="auto"/>
              </w:rPr>
              <w:t>Basic Earnings Per Common Share</w:t>
            </w:r>
          </w:p>
        </w:tc>
        <w:tc>
          <w:tcPr>
            <w:tcW w:w="960" w:type="dxa"/>
            <w:vAlign w:val="bottom"/>
            <w:tcBorders>
              <w:bottom w:val="single" w:sz="8" w:color="auto"/>
            </w:tcBorders>
            <w:shd w:val="clear" w:color="auto" w:fill="BFE4FF"/>
          </w:tcPr>
          <w:p>
            <w:pPr>
              <w:jc w:val="right"/>
              <w:ind w:right="792"/>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shd w:val="clear" w:color="auto" w:fill="BFE4FF"/>
          </w:tcPr>
          <w:p>
            <w:pPr>
              <w:jc w:val="right"/>
              <w:ind w:right="48"/>
              <w:spacing w:after="0"/>
              <w:rPr>
                <w:sz w:val="20"/>
                <w:szCs w:val="20"/>
                <w:color w:val="auto"/>
              </w:rPr>
            </w:pPr>
            <w:r>
              <w:rPr>
                <w:rFonts w:ascii="Arial" w:cs="Arial" w:eastAsia="Arial" w:hAnsi="Arial"/>
                <w:sz w:val="14"/>
                <w:szCs w:val="14"/>
                <w:color w:val="auto"/>
              </w:rPr>
              <w:t>0.48</w:t>
            </w:r>
          </w:p>
        </w:tc>
        <w:tc>
          <w:tcPr>
            <w:tcW w:w="120" w:type="dxa"/>
            <w:vAlign w:val="bottom"/>
            <w:tcBorders>
              <w:bottom w:val="single" w:sz="8" w:color="BFE4FF"/>
            </w:tcBorders>
            <w:shd w:val="clear" w:color="auto" w:fill="BFE4FF"/>
          </w:tcPr>
          <w:p>
            <w:pPr>
              <w:spacing w:after="0"/>
              <w:rPr>
                <w:sz w:val="16"/>
                <w:szCs w:val="16"/>
                <w:color w:val="auto"/>
              </w:rPr>
            </w:pPr>
          </w:p>
        </w:tc>
        <w:tc>
          <w:tcPr>
            <w:tcW w:w="360" w:type="dxa"/>
            <w:vAlign w:val="bottom"/>
            <w:tcBorders>
              <w:bottom w:val="single" w:sz="8" w:color="auto"/>
            </w:tcBorders>
            <w:shd w:val="clear" w:color="auto" w:fill="BFE4FF"/>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BFE4FF"/>
          </w:tcPr>
          <w:p>
            <w:pPr>
              <w:jc w:val="right"/>
              <w:ind w:right="50"/>
              <w:spacing w:after="0"/>
              <w:rPr>
                <w:sz w:val="20"/>
                <w:szCs w:val="20"/>
                <w:color w:val="auto"/>
              </w:rPr>
            </w:pPr>
            <w:r>
              <w:rPr>
                <w:rFonts w:ascii="Arial" w:cs="Arial" w:eastAsia="Arial" w:hAnsi="Arial"/>
                <w:sz w:val="14"/>
                <w:szCs w:val="14"/>
                <w:color w:val="auto"/>
              </w:rPr>
              <w:t>0.35</w:t>
            </w:r>
          </w:p>
        </w:tc>
        <w:tc>
          <w:tcPr>
            <w:tcW w:w="120" w:type="dxa"/>
            <w:vAlign w:val="bottom"/>
            <w:tcBorders>
              <w:bottom w:val="single" w:sz="8" w:color="BFE4FF"/>
            </w:tcBorders>
            <w:shd w:val="clear" w:color="auto" w:fill="BFE4FF"/>
          </w:tcPr>
          <w:p>
            <w:pPr>
              <w:spacing w:after="0"/>
              <w:rPr>
                <w:sz w:val="16"/>
                <w:szCs w:val="16"/>
                <w:color w:val="auto"/>
              </w:rPr>
            </w:pPr>
          </w:p>
        </w:tc>
        <w:tc>
          <w:tcPr>
            <w:tcW w:w="380" w:type="dxa"/>
            <w:vAlign w:val="bottom"/>
            <w:tcBorders>
              <w:bottom w:val="single" w:sz="8" w:color="auto"/>
            </w:tcBorders>
            <w:shd w:val="clear" w:color="auto" w:fill="BFE4FF"/>
          </w:tcPr>
          <w:p>
            <w:pPr>
              <w:jc w:val="right"/>
              <w:ind w:right="228"/>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shd w:val="clear" w:color="auto" w:fill="BFE4FF"/>
          </w:tcPr>
          <w:p>
            <w:pPr>
              <w:jc w:val="right"/>
              <w:ind w:right="30"/>
              <w:spacing w:after="0"/>
              <w:rPr>
                <w:sz w:val="20"/>
                <w:szCs w:val="20"/>
                <w:color w:val="auto"/>
              </w:rPr>
            </w:pPr>
            <w:r>
              <w:rPr>
                <w:rFonts w:ascii="Arial" w:cs="Arial" w:eastAsia="Arial" w:hAnsi="Arial"/>
                <w:sz w:val="14"/>
                <w:szCs w:val="14"/>
                <w:color w:val="auto"/>
              </w:rPr>
              <w:t>1.09</w:t>
            </w:r>
          </w:p>
        </w:tc>
        <w:tc>
          <w:tcPr>
            <w:tcW w:w="120" w:type="dxa"/>
            <w:vAlign w:val="bottom"/>
            <w:tcBorders>
              <w:bottom w:val="single" w:sz="8" w:color="BFE4FF"/>
            </w:tcBorders>
            <w:shd w:val="clear" w:color="auto" w:fill="BFE4FF"/>
          </w:tcPr>
          <w:p>
            <w:pPr>
              <w:spacing w:after="0"/>
              <w:rPr>
                <w:sz w:val="16"/>
                <w:szCs w:val="16"/>
                <w:color w:val="auto"/>
              </w:rPr>
            </w:pPr>
          </w:p>
        </w:tc>
        <w:tc>
          <w:tcPr>
            <w:tcW w:w="380" w:type="dxa"/>
            <w:vAlign w:val="bottom"/>
            <w:tcBorders>
              <w:bottom w:val="single" w:sz="8" w:color="auto"/>
            </w:tcBorders>
            <w:shd w:val="clear" w:color="auto" w:fill="BFE4FF"/>
          </w:tcPr>
          <w:p>
            <w:pPr>
              <w:jc w:val="right"/>
              <w:ind w:right="20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BFE4FF"/>
          </w:tcPr>
          <w:p>
            <w:pPr>
              <w:jc w:val="right"/>
              <w:ind w:right="29"/>
              <w:spacing w:after="0"/>
              <w:rPr>
                <w:sz w:val="20"/>
                <w:szCs w:val="20"/>
                <w:color w:val="auto"/>
              </w:rPr>
            </w:pPr>
            <w:r>
              <w:rPr>
                <w:rFonts w:ascii="Arial" w:cs="Arial" w:eastAsia="Arial" w:hAnsi="Arial"/>
                <w:sz w:val="14"/>
                <w:szCs w:val="14"/>
                <w:color w:val="auto"/>
              </w:rPr>
              <w:t>0.56</w:t>
            </w:r>
          </w:p>
        </w:tc>
      </w:tr>
      <w:tr>
        <w:trPr>
          <w:trHeight w:val="20"/>
        </w:trPr>
        <w:tc>
          <w:tcPr>
            <w:tcW w:w="49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88"/>
        </w:trPr>
        <w:tc>
          <w:tcPr>
            <w:tcW w:w="4940" w:type="dxa"/>
            <w:vAlign w:val="bottom"/>
          </w:tcPr>
          <w:p>
            <w:pPr>
              <w:ind w:left="20"/>
              <w:spacing w:after="0"/>
              <w:rPr>
                <w:sz w:val="20"/>
                <w:szCs w:val="20"/>
                <w:color w:val="auto"/>
              </w:rPr>
            </w:pPr>
            <w:r>
              <w:rPr>
                <w:rFonts w:ascii="Arial" w:cs="Arial" w:eastAsia="Arial" w:hAnsi="Arial"/>
                <w:sz w:val="14"/>
                <w:szCs w:val="14"/>
                <w:color w:val="auto"/>
              </w:rPr>
              <w:t>Diluted Earnings Per Common Share</w:t>
            </w:r>
          </w:p>
        </w:tc>
        <w:tc>
          <w:tcPr>
            <w:tcW w:w="960" w:type="dxa"/>
            <w:vAlign w:val="bottom"/>
            <w:tcBorders>
              <w:bottom w:val="single" w:sz="8" w:color="auto"/>
            </w:tcBorders>
          </w:tcPr>
          <w:p>
            <w:pPr>
              <w:jc w:val="right"/>
              <w:ind w:right="792"/>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0.47</w:t>
            </w:r>
          </w:p>
        </w:tc>
        <w:tc>
          <w:tcPr>
            <w:tcW w:w="120" w:type="dxa"/>
            <w:vAlign w:val="bottom"/>
          </w:tcPr>
          <w:p>
            <w:pPr>
              <w:spacing w:after="0"/>
              <w:rPr>
                <w:sz w:val="16"/>
                <w:szCs w:val="16"/>
                <w:color w:val="auto"/>
              </w:rPr>
            </w:pP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0.35</w:t>
            </w:r>
          </w:p>
        </w:tc>
        <w:tc>
          <w:tcPr>
            <w:tcW w:w="120" w:type="dxa"/>
            <w:vAlign w:val="bottom"/>
          </w:tcPr>
          <w:p>
            <w:pPr>
              <w:spacing w:after="0"/>
              <w:rPr>
                <w:sz w:val="16"/>
                <w:szCs w:val="16"/>
                <w:color w:val="auto"/>
              </w:rPr>
            </w:pPr>
          </w:p>
        </w:tc>
        <w:tc>
          <w:tcPr>
            <w:tcW w:w="3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1.08</w:t>
            </w:r>
          </w:p>
        </w:tc>
        <w:tc>
          <w:tcPr>
            <w:tcW w:w="120" w:type="dxa"/>
            <w:vAlign w:val="bottom"/>
          </w:tcPr>
          <w:p>
            <w:pPr>
              <w:spacing w:after="0"/>
              <w:rPr>
                <w:sz w:val="16"/>
                <w:szCs w:val="16"/>
                <w:color w:val="auto"/>
              </w:rPr>
            </w:pPr>
          </w:p>
        </w:tc>
        <w:tc>
          <w:tcPr>
            <w:tcW w:w="3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0.56</w:t>
            </w:r>
          </w:p>
        </w:tc>
      </w:tr>
      <w:tr>
        <w:trPr>
          <w:trHeight w:val="20"/>
        </w:trPr>
        <w:tc>
          <w:tcPr>
            <w:tcW w:w="49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344"/>
        </w:trPr>
        <w:tc>
          <w:tcPr>
            <w:tcW w:w="4940" w:type="dxa"/>
            <w:vAlign w:val="bottom"/>
          </w:tcPr>
          <w:p>
            <w:pPr>
              <w:spacing w:after="0"/>
              <w:rPr>
                <w:sz w:val="24"/>
                <w:szCs w:val="24"/>
                <w:color w:val="auto"/>
              </w:rPr>
            </w:pPr>
          </w:p>
        </w:tc>
        <w:tc>
          <w:tcPr>
            <w:tcW w:w="960" w:type="dxa"/>
            <w:vAlign w:val="bottom"/>
          </w:tcPr>
          <w:p>
            <w:pPr>
              <w:jc w:val="right"/>
              <w:ind w:right="32"/>
              <w:spacing w:after="0"/>
              <w:rPr>
                <w:sz w:val="20"/>
                <w:szCs w:val="20"/>
                <w:color w:val="auto"/>
              </w:rPr>
            </w:pPr>
            <w:r>
              <w:rPr>
                <w:rFonts w:ascii="Arial" w:cs="Arial" w:eastAsia="Arial" w:hAnsi="Arial"/>
                <w:sz w:val="14"/>
                <w:szCs w:val="14"/>
                <w:color w:val="auto"/>
              </w:rPr>
              <w:t>66</w:t>
            </w: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ectPr>
          <w:pgSz w:w="11900" w:h="16838" w:orient="portrait"/>
          <w:cols w:equalWidth="0" w:num="1">
            <w:col w:w="11460"/>
          </w:cols>
          <w:pgMar w:left="220" w:top="129" w:right="219" w:bottom="1440" w:gutter="0" w:footer="0" w:header="0"/>
        </w:sectPr>
      </w:pPr>
    </w:p>
    <w:bookmarkStart w:id="76" w:name="page77"/>
    <w:bookmarkEnd w:id="76"/>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37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Three months ended September 30, 2019 compared to three months ended September 30, 2018</w:t>
      </w:r>
    </w:p>
    <w:p>
      <w:pPr>
        <w:spacing w:after="0" w:line="184" w:lineRule="exact"/>
        <w:rPr>
          <w:sz w:val="20"/>
          <w:szCs w:val="20"/>
          <w:color w:val="auto"/>
        </w:rPr>
      </w:pPr>
    </w:p>
    <w:p>
      <w:pPr>
        <w:ind w:firstLine="259"/>
        <w:spacing w:after="0" w:line="288" w:lineRule="auto"/>
        <w:rPr>
          <w:sz w:val="20"/>
          <w:szCs w:val="20"/>
          <w:color w:val="auto"/>
        </w:rPr>
      </w:pPr>
      <w:r>
        <w:rPr>
          <w:rFonts w:ascii="Arial" w:cs="Arial" w:eastAsia="Arial" w:hAnsi="Arial"/>
          <w:sz w:val="14"/>
          <w:szCs w:val="14"/>
          <w:color w:val="auto"/>
        </w:rPr>
        <w:t>CenterPoint Energy reported income available to common shareholders of $241 million ($0.47 per diluted common share) for the three months ended September 30, 2019 compared to $153 million ($0.35 per diluted common share) for the three months ended September 30, 2018.</w:t>
      </w:r>
    </w:p>
    <w:p>
      <w:pPr>
        <w:spacing w:after="0" w:line="131"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increase in income available to common shareholders of $88 million was primarily due to the following key factors:</w:t>
      </w:r>
    </w:p>
    <w:p>
      <w:pPr>
        <w:spacing w:after="0" w:line="184" w:lineRule="exact"/>
        <w:rPr>
          <w:sz w:val="20"/>
          <w:szCs w:val="20"/>
          <w:color w:val="auto"/>
        </w:rPr>
      </w:pPr>
    </w:p>
    <w:p>
      <w:pPr>
        <w:ind w:left="520" w:hanging="255"/>
        <w:spacing w:after="0"/>
        <w:tabs>
          <w:tab w:leader="none" w:pos="520" w:val="left"/>
        </w:tabs>
        <w:numPr>
          <w:ilvl w:val="0"/>
          <w:numId w:val="56"/>
        </w:numPr>
        <w:rPr>
          <w:rFonts w:ascii="Arial" w:cs="Arial" w:eastAsia="Arial" w:hAnsi="Arial"/>
          <w:sz w:val="14"/>
          <w:szCs w:val="14"/>
          <w:color w:val="auto"/>
        </w:rPr>
      </w:pPr>
      <w:r>
        <w:rPr>
          <w:rFonts w:ascii="Arial" w:cs="Arial" w:eastAsia="Arial" w:hAnsi="Arial"/>
          <w:sz w:val="14"/>
          <w:szCs w:val="14"/>
          <w:color w:val="auto"/>
        </w:rPr>
        <w:t>a $166 million increase in operating income discussed below in Results of Operations by Reportable Segment;</w:t>
      </w:r>
    </w:p>
    <w:p>
      <w:pPr>
        <w:spacing w:after="0" w:line="183" w:lineRule="exact"/>
        <w:rPr>
          <w:rFonts w:ascii="Arial" w:cs="Arial" w:eastAsia="Arial" w:hAnsi="Arial"/>
          <w:sz w:val="14"/>
          <w:szCs w:val="14"/>
          <w:color w:val="auto"/>
        </w:rPr>
      </w:pPr>
    </w:p>
    <w:p>
      <w:pPr>
        <w:ind w:left="520" w:hanging="255"/>
        <w:spacing w:after="0"/>
        <w:tabs>
          <w:tab w:leader="none" w:pos="520" w:val="left"/>
        </w:tabs>
        <w:numPr>
          <w:ilvl w:val="0"/>
          <w:numId w:val="56"/>
        </w:numPr>
        <w:rPr>
          <w:rFonts w:ascii="Arial" w:cs="Arial" w:eastAsia="Arial" w:hAnsi="Arial"/>
          <w:sz w:val="14"/>
          <w:szCs w:val="14"/>
          <w:color w:val="auto"/>
        </w:rPr>
      </w:pPr>
      <w:r>
        <w:rPr>
          <w:rFonts w:ascii="Arial" w:cs="Arial" w:eastAsia="Arial" w:hAnsi="Arial"/>
          <w:sz w:val="14"/>
          <w:szCs w:val="14"/>
          <w:color w:val="auto"/>
        </w:rPr>
        <w:t>a $16 million increase in gain on marketable securities, included in Other Income (Expense), net shown above; and</w:t>
      </w:r>
    </w:p>
    <w:p>
      <w:pPr>
        <w:spacing w:after="0" w:line="183" w:lineRule="exact"/>
        <w:rPr>
          <w:rFonts w:ascii="Arial" w:cs="Arial" w:eastAsia="Arial" w:hAnsi="Arial"/>
          <w:sz w:val="14"/>
          <w:szCs w:val="14"/>
          <w:color w:val="auto"/>
        </w:rPr>
      </w:pPr>
    </w:p>
    <w:p>
      <w:pPr>
        <w:ind w:left="520" w:hanging="255"/>
        <w:spacing w:after="0"/>
        <w:tabs>
          <w:tab w:leader="none" w:pos="520" w:val="left"/>
        </w:tabs>
        <w:numPr>
          <w:ilvl w:val="0"/>
          <w:numId w:val="56"/>
        </w:numPr>
        <w:rPr>
          <w:rFonts w:ascii="Arial" w:cs="Arial" w:eastAsia="Arial" w:hAnsi="Arial"/>
          <w:sz w:val="14"/>
          <w:szCs w:val="14"/>
          <w:color w:val="auto"/>
        </w:rPr>
      </w:pPr>
      <w:r>
        <w:rPr>
          <w:rFonts w:ascii="Arial" w:cs="Arial" w:eastAsia="Arial" w:hAnsi="Arial"/>
          <w:sz w:val="14"/>
          <w:szCs w:val="14"/>
          <w:color w:val="auto"/>
        </w:rPr>
        <w:t>a $7 million decrease in interest expense related to lower outstanding balances of the Securitization Bonds.</w:t>
      </w:r>
    </w:p>
    <w:p>
      <w:pPr>
        <w:spacing w:after="0" w:line="200" w:lineRule="exact"/>
        <w:rPr>
          <w:sz w:val="20"/>
          <w:szCs w:val="20"/>
          <w:color w:val="auto"/>
        </w:rPr>
      </w:pPr>
    </w:p>
    <w:p>
      <w:pPr>
        <w:spacing w:after="0" w:line="329" w:lineRule="exact"/>
        <w:rPr>
          <w:sz w:val="20"/>
          <w:szCs w:val="20"/>
          <w:color w:val="auto"/>
        </w:rPr>
      </w:pPr>
    </w:p>
    <w:p>
      <w:pPr>
        <w:ind w:left="520" w:hanging="255"/>
        <w:spacing w:after="0" w:line="288" w:lineRule="auto"/>
        <w:tabs>
          <w:tab w:leader="none" w:pos="520" w:val="left"/>
        </w:tabs>
        <w:numPr>
          <w:ilvl w:val="0"/>
          <w:numId w:val="57"/>
        </w:numPr>
        <w:rPr>
          <w:rFonts w:ascii="Arial" w:cs="Arial" w:eastAsia="Arial" w:hAnsi="Arial"/>
          <w:sz w:val="14"/>
          <w:szCs w:val="14"/>
          <w:color w:val="auto"/>
        </w:rPr>
      </w:pPr>
      <w:r>
        <w:rPr>
          <w:rFonts w:ascii="Arial" w:cs="Arial" w:eastAsia="Arial" w:hAnsi="Arial"/>
          <w:sz w:val="14"/>
          <w:szCs w:val="14"/>
          <w:color w:val="auto"/>
        </w:rPr>
        <w:t>a $44 million increase in interest expense, primarily as a result of higher outstanding long-term debt used to finance the Merger and additional long-term debt acquired through the Merger, discussed further in Notes 3 and 12 to the Interim Condensed Financial Statements;</w:t>
      </w:r>
    </w:p>
    <w:p>
      <w:pPr>
        <w:spacing w:after="0" w:line="130" w:lineRule="exact"/>
        <w:rPr>
          <w:rFonts w:ascii="Arial" w:cs="Arial" w:eastAsia="Arial" w:hAnsi="Arial"/>
          <w:sz w:val="14"/>
          <w:szCs w:val="14"/>
          <w:color w:val="auto"/>
        </w:rPr>
      </w:pPr>
    </w:p>
    <w:p>
      <w:pPr>
        <w:ind w:left="520" w:hanging="255"/>
        <w:spacing w:after="0"/>
        <w:tabs>
          <w:tab w:leader="none" w:pos="520" w:val="left"/>
        </w:tabs>
        <w:numPr>
          <w:ilvl w:val="0"/>
          <w:numId w:val="57"/>
        </w:numPr>
        <w:rPr>
          <w:rFonts w:ascii="Arial" w:cs="Arial" w:eastAsia="Arial" w:hAnsi="Arial"/>
          <w:sz w:val="14"/>
          <w:szCs w:val="14"/>
          <w:color w:val="auto"/>
        </w:rPr>
      </w:pPr>
      <w:r>
        <w:rPr>
          <w:rFonts w:ascii="Arial" w:cs="Arial" w:eastAsia="Arial" w:hAnsi="Arial"/>
          <w:sz w:val="14"/>
          <w:szCs w:val="14"/>
          <w:color w:val="auto"/>
        </w:rPr>
        <w:t>a $24 million increase in preferred stock dividend requirements primarily as a result of the Merger;</w:t>
      </w:r>
    </w:p>
    <w:p>
      <w:pPr>
        <w:spacing w:after="0" w:line="183" w:lineRule="exact"/>
        <w:rPr>
          <w:rFonts w:ascii="Arial" w:cs="Arial" w:eastAsia="Arial" w:hAnsi="Arial"/>
          <w:sz w:val="14"/>
          <w:szCs w:val="14"/>
          <w:color w:val="auto"/>
        </w:rPr>
      </w:pPr>
    </w:p>
    <w:p>
      <w:pPr>
        <w:ind w:left="520" w:hanging="255"/>
        <w:spacing w:after="0"/>
        <w:tabs>
          <w:tab w:leader="none" w:pos="520" w:val="left"/>
        </w:tabs>
        <w:numPr>
          <w:ilvl w:val="0"/>
          <w:numId w:val="57"/>
        </w:numPr>
        <w:rPr>
          <w:rFonts w:ascii="Arial" w:cs="Arial" w:eastAsia="Arial" w:hAnsi="Arial"/>
          <w:sz w:val="14"/>
          <w:szCs w:val="14"/>
          <w:color w:val="0000FF"/>
        </w:rPr>
      </w:pPr>
      <w:r>
        <w:rPr>
          <w:rFonts w:ascii="Arial" w:cs="Arial" w:eastAsia="Arial" w:hAnsi="Arial"/>
          <w:sz w:val="14"/>
          <w:szCs w:val="14"/>
          <w:color w:val="auto"/>
        </w:rPr>
        <w:t>an $18 million increase in losses on the underlying value of the indexed debt securities related to the ZENS, included in Other Income (Expense), net shown above;</w:t>
      </w:r>
    </w:p>
    <w:p>
      <w:pPr>
        <w:spacing w:after="0" w:line="183" w:lineRule="exact"/>
        <w:rPr>
          <w:rFonts w:ascii="Arial" w:cs="Arial" w:eastAsia="Arial" w:hAnsi="Arial"/>
          <w:sz w:val="14"/>
          <w:szCs w:val="14"/>
          <w:color w:val="0000FF"/>
        </w:rPr>
      </w:pPr>
    </w:p>
    <w:p>
      <w:pPr>
        <w:ind w:left="520" w:hanging="255"/>
        <w:spacing w:after="0"/>
        <w:tabs>
          <w:tab w:leader="none" w:pos="520" w:val="left"/>
        </w:tabs>
        <w:numPr>
          <w:ilvl w:val="0"/>
          <w:numId w:val="57"/>
        </w:numPr>
        <w:rPr>
          <w:rFonts w:ascii="Arial" w:cs="Arial" w:eastAsia="Arial" w:hAnsi="Arial"/>
          <w:sz w:val="14"/>
          <w:szCs w:val="14"/>
          <w:color w:val="auto"/>
        </w:rPr>
      </w:pPr>
      <w:r>
        <w:rPr>
          <w:rFonts w:ascii="Arial" w:cs="Arial" w:eastAsia="Arial" w:hAnsi="Arial"/>
          <w:sz w:val="14"/>
          <w:szCs w:val="14"/>
          <w:color w:val="auto"/>
        </w:rPr>
        <w:t>a $11 million increase in income tax expense due to higher income before income taxes that was partially offset by the lower effective tax rate as explained below; and</w:t>
      </w:r>
    </w:p>
    <w:p>
      <w:pPr>
        <w:spacing w:after="0" w:line="183" w:lineRule="exact"/>
        <w:rPr>
          <w:rFonts w:ascii="Arial" w:cs="Arial" w:eastAsia="Arial" w:hAnsi="Arial"/>
          <w:sz w:val="14"/>
          <w:szCs w:val="14"/>
          <w:color w:val="auto"/>
        </w:rPr>
      </w:pPr>
    </w:p>
    <w:p>
      <w:pPr>
        <w:ind w:left="520" w:hanging="255"/>
        <w:spacing w:after="0"/>
        <w:tabs>
          <w:tab w:leader="none" w:pos="520" w:val="left"/>
        </w:tabs>
        <w:numPr>
          <w:ilvl w:val="0"/>
          <w:numId w:val="57"/>
        </w:numPr>
        <w:rPr>
          <w:rFonts w:ascii="Arial" w:cs="Arial" w:eastAsia="Arial" w:hAnsi="Arial"/>
          <w:sz w:val="14"/>
          <w:szCs w:val="14"/>
          <w:color w:val="auto"/>
        </w:rPr>
      </w:pPr>
      <w:r>
        <w:rPr>
          <w:rFonts w:ascii="Arial" w:cs="Arial" w:eastAsia="Arial" w:hAnsi="Arial"/>
          <w:sz w:val="14"/>
          <w:szCs w:val="14"/>
          <w:color w:val="auto"/>
        </w:rPr>
        <w:t>a $4 million decrease to equity in earnings from the investment in Enable, discussed further in Note 9 to the Interim Condensed Financial Statements.</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Nine months ended September 30, 2019 compared to nine months ended September 30, 2018</w:t>
      </w:r>
    </w:p>
    <w:p>
      <w:pPr>
        <w:spacing w:after="0" w:line="184" w:lineRule="exact"/>
        <w:rPr>
          <w:sz w:val="20"/>
          <w:szCs w:val="20"/>
          <w:color w:val="auto"/>
        </w:rPr>
      </w:pPr>
    </w:p>
    <w:p>
      <w:pPr>
        <w:ind w:firstLine="259"/>
        <w:spacing w:after="0" w:line="288" w:lineRule="auto"/>
        <w:rPr>
          <w:sz w:val="20"/>
          <w:szCs w:val="20"/>
          <w:color w:val="auto"/>
        </w:rPr>
      </w:pPr>
      <w:r>
        <w:rPr>
          <w:rFonts w:ascii="Arial" w:cs="Arial" w:eastAsia="Arial" w:hAnsi="Arial"/>
          <w:sz w:val="14"/>
          <w:szCs w:val="14"/>
          <w:color w:val="auto"/>
        </w:rPr>
        <w:t>CenterPoint Energy reported income available to common shareholders of $546 million ($1.08 per diluted common share) for the nine months ended September 30, 2019 compared to $243 million ($0.56 per diluted common share) for the nine months ended September 30, 2018.</w:t>
      </w:r>
    </w:p>
    <w:p>
      <w:pPr>
        <w:spacing w:after="0" w:line="131"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increase of $303 million in income available to common shareholders was primarily due to the following key factors:</w:t>
      </w:r>
    </w:p>
    <w:p>
      <w:pPr>
        <w:spacing w:after="0" w:line="184" w:lineRule="exact"/>
        <w:rPr>
          <w:sz w:val="20"/>
          <w:szCs w:val="20"/>
          <w:color w:val="auto"/>
        </w:rPr>
      </w:pPr>
    </w:p>
    <w:p>
      <w:pPr>
        <w:ind w:left="520" w:hanging="255"/>
        <w:spacing w:after="0"/>
        <w:tabs>
          <w:tab w:leader="none" w:pos="520" w:val="left"/>
        </w:tabs>
        <w:numPr>
          <w:ilvl w:val="0"/>
          <w:numId w:val="58"/>
        </w:numPr>
        <w:rPr>
          <w:rFonts w:ascii="Arial" w:cs="Arial" w:eastAsia="Arial" w:hAnsi="Arial"/>
          <w:sz w:val="14"/>
          <w:szCs w:val="14"/>
          <w:color w:val="auto"/>
        </w:rPr>
      </w:pPr>
      <w:r>
        <w:rPr>
          <w:rFonts w:ascii="Arial" w:cs="Arial" w:eastAsia="Arial" w:hAnsi="Arial"/>
          <w:sz w:val="14"/>
          <w:szCs w:val="14"/>
          <w:color w:val="auto"/>
        </w:rPr>
        <w:t>a $260 million increase in operating income discussed below in Results of Operations by Reportable Segment;</w:t>
      </w:r>
    </w:p>
    <w:p>
      <w:pPr>
        <w:spacing w:after="0" w:line="183" w:lineRule="exact"/>
        <w:rPr>
          <w:rFonts w:ascii="Arial" w:cs="Arial" w:eastAsia="Arial" w:hAnsi="Arial"/>
          <w:sz w:val="14"/>
          <w:szCs w:val="14"/>
          <w:color w:val="auto"/>
        </w:rPr>
      </w:pPr>
    </w:p>
    <w:p>
      <w:pPr>
        <w:ind w:left="520" w:hanging="255"/>
        <w:spacing w:after="0"/>
        <w:tabs>
          <w:tab w:leader="none" w:pos="520" w:val="left"/>
        </w:tabs>
        <w:numPr>
          <w:ilvl w:val="0"/>
          <w:numId w:val="58"/>
        </w:numPr>
        <w:rPr>
          <w:rFonts w:ascii="Arial" w:cs="Arial" w:eastAsia="Arial" w:hAnsi="Arial"/>
          <w:sz w:val="14"/>
          <w:szCs w:val="14"/>
          <w:color w:val="auto"/>
        </w:rPr>
      </w:pPr>
      <w:r>
        <w:rPr>
          <w:rFonts w:ascii="Arial" w:cs="Arial" w:eastAsia="Arial" w:hAnsi="Arial"/>
          <w:sz w:val="14"/>
          <w:szCs w:val="14"/>
          <w:color w:val="auto"/>
        </w:rPr>
        <w:t>a $140 million increase in gain on marketable securities, included in Other Income (Expense), net shown above;</w:t>
      </w:r>
    </w:p>
    <w:p>
      <w:pPr>
        <w:spacing w:after="0" w:line="183" w:lineRule="exact"/>
        <w:rPr>
          <w:rFonts w:ascii="Arial" w:cs="Arial" w:eastAsia="Arial" w:hAnsi="Arial"/>
          <w:sz w:val="14"/>
          <w:szCs w:val="14"/>
          <w:color w:val="auto"/>
        </w:rPr>
      </w:pPr>
    </w:p>
    <w:p>
      <w:pPr>
        <w:ind w:left="520" w:hanging="255"/>
        <w:spacing w:after="0" w:line="288" w:lineRule="auto"/>
        <w:tabs>
          <w:tab w:leader="none" w:pos="520" w:val="left"/>
        </w:tabs>
        <w:numPr>
          <w:ilvl w:val="0"/>
          <w:numId w:val="58"/>
        </w:numPr>
        <w:rPr>
          <w:rFonts w:ascii="Arial" w:cs="Arial" w:eastAsia="Arial" w:hAnsi="Arial"/>
          <w:sz w:val="14"/>
          <w:szCs w:val="14"/>
          <w:color w:val="auto"/>
        </w:rPr>
      </w:pPr>
      <w:r>
        <w:rPr>
          <w:rFonts w:ascii="Arial" w:cs="Arial" w:eastAsia="Arial" w:hAnsi="Arial"/>
          <w:sz w:val="14"/>
          <w:szCs w:val="14"/>
          <w:color w:val="auto"/>
        </w:rPr>
        <w:t>a $100 million decrease in losses on the underlying value of indexed debt securities related to the ZENS, included in Other Income (Expense), net shown above (losses recorded from Meredith Corporation’s acquisition of Time Inc. in March 2018 and AT&amp;T Inc.’s acquisition of Time Warner Inc. in June 2018);</w:t>
      </w:r>
    </w:p>
    <w:p>
      <w:pPr>
        <w:spacing w:after="0" w:line="130" w:lineRule="exact"/>
        <w:rPr>
          <w:rFonts w:ascii="Arial" w:cs="Arial" w:eastAsia="Arial" w:hAnsi="Arial"/>
          <w:sz w:val="14"/>
          <w:szCs w:val="14"/>
          <w:color w:val="auto"/>
        </w:rPr>
      </w:pPr>
    </w:p>
    <w:p>
      <w:pPr>
        <w:ind w:left="520" w:hanging="255"/>
        <w:spacing w:after="0" w:line="288" w:lineRule="auto"/>
        <w:tabs>
          <w:tab w:leader="none" w:pos="520" w:val="left"/>
        </w:tabs>
        <w:numPr>
          <w:ilvl w:val="0"/>
          <w:numId w:val="58"/>
        </w:numPr>
        <w:rPr>
          <w:rFonts w:ascii="Arial" w:cs="Arial" w:eastAsia="Arial" w:hAnsi="Arial"/>
          <w:sz w:val="14"/>
          <w:szCs w:val="14"/>
          <w:color w:val="auto"/>
        </w:rPr>
      </w:pPr>
      <w:r>
        <w:rPr>
          <w:rFonts w:ascii="Arial" w:cs="Arial" w:eastAsia="Arial" w:hAnsi="Arial"/>
          <w:sz w:val="14"/>
          <w:szCs w:val="14"/>
          <w:color w:val="auto"/>
        </w:rPr>
        <w:t>a $24 million increase in other miscellaneous non-operating income included in Other Income (Expense), net shown above that included $16 million in higher interest income, a $5 million increase in dividend income and $3 million in additional income from miscellaneous items;</w:t>
      </w:r>
    </w:p>
    <w:p>
      <w:pPr>
        <w:spacing w:after="0" w:line="130" w:lineRule="exact"/>
        <w:rPr>
          <w:rFonts w:ascii="Arial" w:cs="Arial" w:eastAsia="Arial" w:hAnsi="Arial"/>
          <w:sz w:val="14"/>
          <w:szCs w:val="14"/>
          <w:color w:val="auto"/>
        </w:rPr>
      </w:pPr>
    </w:p>
    <w:p>
      <w:pPr>
        <w:ind w:left="520" w:hanging="255"/>
        <w:spacing w:after="0"/>
        <w:tabs>
          <w:tab w:leader="none" w:pos="520" w:val="left"/>
        </w:tabs>
        <w:numPr>
          <w:ilvl w:val="0"/>
          <w:numId w:val="58"/>
        </w:numPr>
        <w:rPr>
          <w:rFonts w:ascii="Arial" w:cs="Arial" w:eastAsia="Arial" w:hAnsi="Arial"/>
          <w:sz w:val="14"/>
          <w:szCs w:val="14"/>
          <w:color w:val="auto"/>
        </w:rPr>
      </w:pPr>
      <w:r>
        <w:rPr>
          <w:rFonts w:ascii="Arial" w:cs="Arial" w:eastAsia="Arial" w:hAnsi="Arial"/>
          <w:sz w:val="14"/>
          <w:szCs w:val="14"/>
          <w:color w:val="auto"/>
        </w:rPr>
        <w:t>a $15 million decrease in interest expense related to lower outstanding balances of the Securitization Bonds; and</w:t>
      </w:r>
    </w:p>
    <w:p>
      <w:pPr>
        <w:spacing w:after="0" w:line="183" w:lineRule="exact"/>
        <w:rPr>
          <w:rFonts w:ascii="Arial" w:cs="Arial" w:eastAsia="Arial" w:hAnsi="Arial"/>
          <w:sz w:val="14"/>
          <w:szCs w:val="14"/>
          <w:color w:val="auto"/>
        </w:rPr>
      </w:pPr>
    </w:p>
    <w:p>
      <w:pPr>
        <w:ind w:left="520" w:hanging="255"/>
        <w:spacing w:after="0"/>
        <w:tabs>
          <w:tab w:leader="none" w:pos="520" w:val="left"/>
        </w:tabs>
        <w:numPr>
          <w:ilvl w:val="0"/>
          <w:numId w:val="58"/>
        </w:numPr>
        <w:rPr>
          <w:rFonts w:ascii="Arial" w:cs="Arial" w:eastAsia="Arial" w:hAnsi="Arial"/>
          <w:sz w:val="14"/>
          <w:szCs w:val="14"/>
          <w:color w:val="auto"/>
        </w:rPr>
      </w:pPr>
      <w:r>
        <w:rPr>
          <w:rFonts w:ascii="Arial" w:cs="Arial" w:eastAsia="Arial" w:hAnsi="Arial"/>
          <w:sz w:val="14"/>
          <w:szCs w:val="14"/>
          <w:color w:val="auto"/>
        </w:rPr>
        <w:t>a $5 million increase to equity in earnings from the investment in Enable, discussed further in Note 9 to the Interim Condensed Financial Statements.</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67</w:t>
      </w:r>
    </w:p>
    <w:p>
      <w:pPr>
        <w:sectPr>
          <w:pgSz w:w="11900" w:h="16838" w:orient="portrait"/>
          <w:cols w:equalWidth="0" w:num="1">
            <w:col w:w="11460"/>
          </w:cols>
          <w:pgMar w:left="220" w:top="129" w:right="219" w:bottom="1440" w:gutter="0" w:footer="0" w:header="0"/>
        </w:sectPr>
      </w:pPr>
    </w:p>
    <w:bookmarkStart w:id="77" w:name="page78"/>
    <w:bookmarkEnd w:id="77"/>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205"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These increases were partially offset by the following:</w:t>
      </w:r>
    </w:p>
    <w:p>
      <w:pPr>
        <w:spacing w:after="0" w:line="184" w:lineRule="exact"/>
        <w:rPr>
          <w:sz w:val="20"/>
          <w:szCs w:val="20"/>
          <w:color w:val="auto"/>
        </w:rPr>
      </w:pPr>
    </w:p>
    <w:p>
      <w:pPr>
        <w:ind w:left="520" w:hanging="255"/>
        <w:spacing w:after="0" w:line="288" w:lineRule="auto"/>
        <w:tabs>
          <w:tab w:leader="none" w:pos="520" w:val="left"/>
        </w:tabs>
        <w:numPr>
          <w:ilvl w:val="0"/>
          <w:numId w:val="59"/>
        </w:numPr>
        <w:rPr>
          <w:rFonts w:ascii="Arial" w:cs="Arial" w:eastAsia="Arial" w:hAnsi="Arial"/>
          <w:sz w:val="14"/>
          <w:szCs w:val="14"/>
          <w:color w:val="auto"/>
        </w:rPr>
      </w:pPr>
      <w:r>
        <w:rPr>
          <w:rFonts w:ascii="Arial" w:cs="Arial" w:eastAsia="Arial" w:hAnsi="Arial"/>
          <w:sz w:val="14"/>
          <w:szCs w:val="14"/>
          <w:color w:val="auto"/>
        </w:rPr>
        <w:t>a $130 million increase in interest expense, primarily as a result of higher outstanding long-term debt used to finance the Merger and additional long-term debt acquired through the Merger, discussed further in Notes 3 and 12 to the Interim Condensed Financial Statements;</w:t>
      </w:r>
    </w:p>
    <w:p>
      <w:pPr>
        <w:spacing w:after="0" w:line="130" w:lineRule="exact"/>
        <w:rPr>
          <w:rFonts w:ascii="Arial" w:cs="Arial" w:eastAsia="Arial" w:hAnsi="Arial"/>
          <w:sz w:val="14"/>
          <w:szCs w:val="14"/>
          <w:color w:val="auto"/>
        </w:rPr>
      </w:pPr>
    </w:p>
    <w:p>
      <w:pPr>
        <w:ind w:left="520" w:hanging="255"/>
        <w:spacing w:after="0"/>
        <w:tabs>
          <w:tab w:leader="none" w:pos="520" w:val="left"/>
        </w:tabs>
        <w:numPr>
          <w:ilvl w:val="0"/>
          <w:numId w:val="59"/>
        </w:numPr>
        <w:rPr>
          <w:rFonts w:ascii="Arial" w:cs="Arial" w:eastAsia="Arial" w:hAnsi="Arial"/>
          <w:sz w:val="14"/>
          <w:szCs w:val="14"/>
          <w:color w:val="auto"/>
        </w:rPr>
      </w:pPr>
      <w:r>
        <w:rPr>
          <w:rFonts w:ascii="Arial" w:cs="Arial" w:eastAsia="Arial" w:hAnsi="Arial"/>
          <w:sz w:val="14"/>
          <w:szCs w:val="14"/>
          <w:color w:val="auto"/>
        </w:rPr>
        <w:t>a $83 million increase in preferred stock dividend requirements primarily as a result of the Merger; and</w:t>
      </w:r>
    </w:p>
    <w:p>
      <w:pPr>
        <w:spacing w:after="0" w:line="183" w:lineRule="exact"/>
        <w:rPr>
          <w:rFonts w:ascii="Arial" w:cs="Arial" w:eastAsia="Arial" w:hAnsi="Arial"/>
          <w:sz w:val="14"/>
          <w:szCs w:val="14"/>
          <w:color w:val="auto"/>
        </w:rPr>
      </w:pPr>
    </w:p>
    <w:p>
      <w:pPr>
        <w:ind w:left="520" w:hanging="255"/>
        <w:spacing w:after="0"/>
        <w:tabs>
          <w:tab w:leader="none" w:pos="520" w:val="left"/>
        </w:tabs>
        <w:numPr>
          <w:ilvl w:val="0"/>
          <w:numId w:val="59"/>
        </w:numPr>
        <w:rPr>
          <w:rFonts w:ascii="Arial" w:cs="Arial" w:eastAsia="Arial" w:hAnsi="Arial"/>
          <w:sz w:val="14"/>
          <w:szCs w:val="14"/>
          <w:color w:val="auto"/>
        </w:rPr>
      </w:pPr>
      <w:r>
        <w:rPr>
          <w:rFonts w:ascii="Arial" w:cs="Arial" w:eastAsia="Arial" w:hAnsi="Arial"/>
          <w:sz w:val="14"/>
          <w:szCs w:val="14"/>
          <w:color w:val="auto"/>
        </w:rPr>
        <w:t>a $28 million increase in income tax expense due to higher income before income taxes that was partially offset by the lower effective tax rate as explained below.</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Income Tax Expense</w:t>
      </w:r>
    </w:p>
    <w:p>
      <w:pPr>
        <w:spacing w:after="0" w:line="184" w:lineRule="exact"/>
        <w:rPr>
          <w:sz w:val="20"/>
          <w:szCs w:val="20"/>
          <w:color w:val="auto"/>
        </w:rPr>
      </w:pPr>
    </w:p>
    <w:p>
      <w:pPr>
        <w:jc w:val="both"/>
        <w:ind w:firstLine="259"/>
        <w:spacing w:after="0" w:line="294" w:lineRule="auto"/>
        <w:rPr>
          <w:sz w:val="20"/>
          <w:szCs w:val="20"/>
          <w:color w:val="auto"/>
        </w:rPr>
      </w:pPr>
      <w:r>
        <w:rPr>
          <w:rFonts w:ascii="Arial" w:cs="Arial" w:eastAsia="Arial" w:hAnsi="Arial"/>
          <w:sz w:val="13"/>
          <w:szCs w:val="13"/>
          <w:color w:val="auto"/>
        </w:rPr>
        <w:t>CenterPoint Energy’s effective tax rate reported for the three months ended September 30, 2019 was 19% compared to 24% for the three months ended September 30, 2018. CenterPoint Energy’s effective tax rate reported for the nine months ended September 30, 2019 was 15% compared to 26% for the nine months ended September 30, 2018. The lower effective tax rate for the three and nine months ended September 30, 2019 was primarily due to the following: an increase in the amount of amortization of the net regulatory EDIT liability; the effect of state tax law changes that resulted in the remeasurement of state deferred taxes; and the impact of changes in valuation allowances on certain state net operating losses.</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HOUSTON ELECTRIC’S MANAGEMENT’S NARRATIVE ANALYSIS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OF CONSOLIDATED RESULTS OF OPERATIONS</w:t>
      </w:r>
    </w:p>
    <w:p>
      <w:pPr>
        <w:spacing w:after="0" w:line="174" w:lineRule="exact"/>
        <w:rPr>
          <w:sz w:val="20"/>
          <w:szCs w:val="20"/>
          <w:color w:val="auto"/>
        </w:rPr>
      </w:pPr>
    </w:p>
    <w:p>
      <w:pPr>
        <w:jc w:val="both"/>
        <w:ind w:firstLine="259"/>
        <w:spacing w:after="0" w:line="263" w:lineRule="auto"/>
        <w:rPr>
          <w:sz w:val="20"/>
          <w:szCs w:val="20"/>
          <w:color w:val="auto"/>
        </w:rPr>
      </w:pPr>
      <w:r>
        <w:rPr>
          <w:rFonts w:ascii="Arial" w:cs="Arial" w:eastAsia="Arial" w:hAnsi="Arial"/>
          <w:sz w:val="14"/>
          <w:szCs w:val="14"/>
          <w:color w:val="auto"/>
        </w:rPr>
        <w:t>Houston Electric’s results of operations are affected by seasonal fluctuations in the demand for electricity. Houston Electric’s results of operations are also affected by, among other things, the actions of various governmental authorities having jurisdiction over rates Houston Electric charges, debt service costs, income tax expense, Houston Electric’s ability to collect receivables from REPs and Houston Electric’s ability to recover its regulatory assets. For more information regarding factors that may affect the future results of operations of Houston Electric’s business, please read “Risk Factors — Risk Factors Associated with Our Consolidated Financial Condition,” “— Risk Factors Affecting Electric Generation, Transmission and Distribution Businesses” and “— Other Risk Factors Affecting Our Businesses or CenterPoint Energy’s Interests in Enable Midstream Partners, LP” in Item 1A of Part I of the Registrants’ combined 2018 Form 10-K and in Item 1A of Part II of this Form 10-Q.</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5160" w:type="dxa"/>
            <w:vAlign w:val="bottom"/>
          </w:tcPr>
          <w:p>
            <w:pPr>
              <w:spacing w:after="0"/>
              <w:rPr>
                <w:sz w:val="13"/>
                <w:szCs w:val="13"/>
                <w:color w:val="auto"/>
              </w:rPr>
            </w:pPr>
          </w:p>
        </w:tc>
        <w:tc>
          <w:tcPr>
            <w:tcW w:w="2640" w:type="dxa"/>
            <w:vAlign w:val="bottom"/>
            <w:tcBorders>
              <w:bottom w:val="single" w:sz="8" w:color="auto"/>
            </w:tcBorders>
            <w:gridSpan w:val="4"/>
          </w:tcPr>
          <w:p>
            <w:pPr>
              <w:jc w:val="right"/>
              <w:ind w:right="113"/>
              <w:spacing w:after="0"/>
              <w:rPr>
                <w:sz w:val="20"/>
                <w:szCs w:val="20"/>
                <w:color w:val="auto"/>
              </w:rPr>
            </w:pPr>
            <w:r>
              <w:rPr>
                <w:rFonts w:ascii="Arial" w:cs="Arial" w:eastAsia="Arial" w:hAnsi="Arial"/>
                <w:sz w:val="11"/>
                <w:szCs w:val="11"/>
                <w:b w:val="1"/>
                <w:bCs w:val="1"/>
                <w:color w:val="auto"/>
              </w:rPr>
              <w:t>Three Months Ended September 30,</w:t>
            </w:r>
          </w:p>
        </w:tc>
        <w:tc>
          <w:tcPr>
            <w:tcW w:w="48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540" w:type="dxa"/>
            <w:vAlign w:val="bottom"/>
            <w:tcBorders>
              <w:bottom w:val="single" w:sz="8" w:color="auto"/>
            </w:tcBorders>
            <w:gridSpan w:val="4"/>
          </w:tcPr>
          <w:p>
            <w:pPr>
              <w:jc w:val="right"/>
              <w:ind w:right="73"/>
              <w:spacing w:after="0"/>
              <w:rPr>
                <w:sz w:val="20"/>
                <w:szCs w:val="20"/>
                <w:color w:val="auto"/>
              </w:rPr>
            </w:pPr>
            <w:r>
              <w:rPr>
                <w:rFonts w:ascii="Arial" w:cs="Arial" w:eastAsia="Arial" w:hAnsi="Arial"/>
                <w:sz w:val="11"/>
                <w:szCs w:val="11"/>
                <w:b w:val="1"/>
                <w:bCs w:val="1"/>
                <w:color w:val="auto"/>
              </w:rPr>
              <w:t>Nine Months Ended September 30,</w:t>
            </w:r>
          </w:p>
        </w:tc>
        <w:tc>
          <w:tcPr>
            <w:tcW w:w="520" w:type="dxa"/>
            <w:vAlign w:val="bottom"/>
            <w:tcBorders>
              <w:bottom w:val="single" w:sz="8" w:color="auto"/>
            </w:tcBorders>
          </w:tcPr>
          <w:p>
            <w:pPr>
              <w:spacing w:after="0"/>
              <w:rPr>
                <w:sz w:val="13"/>
                <w:szCs w:val="13"/>
                <w:color w:val="auto"/>
              </w:rPr>
            </w:pPr>
          </w:p>
        </w:tc>
      </w:tr>
      <w:tr>
        <w:trPr>
          <w:trHeight w:val="206"/>
        </w:trPr>
        <w:tc>
          <w:tcPr>
            <w:tcW w:w="5160" w:type="dxa"/>
            <w:vAlign w:val="bottom"/>
          </w:tcPr>
          <w:p>
            <w:pPr>
              <w:spacing w:after="0"/>
              <w:rPr>
                <w:sz w:val="17"/>
                <w:szCs w:val="17"/>
                <w:color w:val="auto"/>
              </w:rPr>
            </w:pPr>
          </w:p>
        </w:tc>
        <w:tc>
          <w:tcPr>
            <w:tcW w:w="1020" w:type="dxa"/>
            <w:vAlign w:val="bottom"/>
            <w:tcBorders>
              <w:bottom w:val="single" w:sz="8" w:color="auto"/>
            </w:tcBorders>
          </w:tcPr>
          <w:p>
            <w:pPr>
              <w:jc w:val="right"/>
              <w:ind w:right="75"/>
              <w:spacing w:after="0"/>
              <w:rPr>
                <w:sz w:val="20"/>
                <w:szCs w:val="20"/>
                <w:color w:val="auto"/>
              </w:rPr>
            </w:pPr>
            <w:r>
              <w:rPr>
                <w:rFonts w:ascii="Arial" w:cs="Arial" w:eastAsia="Arial" w:hAnsi="Arial"/>
                <w:sz w:val="11"/>
                <w:szCs w:val="11"/>
                <w:b w:val="1"/>
                <w:bCs w:val="1"/>
                <w:color w:val="auto"/>
              </w:rPr>
              <w:t>2019</w:t>
            </w:r>
          </w:p>
        </w:tc>
        <w:tc>
          <w:tcPr>
            <w:tcW w:w="4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93"/>
              <w:spacing w:after="0"/>
              <w:rPr>
                <w:sz w:val="20"/>
                <w:szCs w:val="20"/>
                <w:color w:val="auto"/>
              </w:rPr>
            </w:pPr>
            <w:r>
              <w:rPr>
                <w:rFonts w:ascii="Arial" w:cs="Arial" w:eastAsia="Arial" w:hAnsi="Arial"/>
                <w:sz w:val="11"/>
                <w:szCs w:val="11"/>
                <w:b w:val="1"/>
                <w:bCs w:val="1"/>
                <w:color w:val="auto"/>
              </w:rPr>
              <w:t>2018</w:t>
            </w:r>
          </w:p>
        </w:tc>
        <w:tc>
          <w:tcPr>
            <w:tcW w:w="4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5"/>
              <w:spacing w:after="0"/>
              <w:rPr>
                <w:sz w:val="20"/>
                <w:szCs w:val="20"/>
                <w:color w:val="auto"/>
              </w:rPr>
            </w:pPr>
            <w:r>
              <w:rPr>
                <w:rFonts w:ascii="Arial" w:cs="Arial" w:eastAsia="Arial" w:hAnsi="Arial"/>
                <w:sz w:val="11"/>
                <w:szCs w:val="11"/>
                <w:b w:val="1"/>
                <w:bCs w:val="1"/>
                <w:color w:val="auto"/>
              </w:rPr>
              <w:t>2019</w:t>
            </w:r>
          </w:p>
        </w:tc>
        <w:tc>
          <w:tcPr>
            <w:tcW w:w="5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3"/>
              <w:spacing w:after="0"/>
              <w:rPr>
                <w:sz w:val="20"/>
                <w:szCs w:val="20"/>
                <w:color w:val="auto"/>
              </w:rPr>
            </w:pPr>
            <w:r>
              <w:rPr>
                <w:rFonts w:ascii="Arial" w:cs="Arial" w:eastAsia="Arial" w:hAnsi="Arial"/>
                <w:sz w:val="11"/>
                <w:szCs w:val="11"/>
                <w:b w:val="1"/>
                <w:bCs w:val="1"/>
                <w:color w:val="auto"/>
              </w:rPr>
              <w:t>2018</w:t>
            </w:r>
          </w:p>
        </w:tc>
        <w:tc>
          <w:tcPr>
            <w:tcW w:w="520" w:type="dxa"/>
            <w:vAlign w:val="bottom"/>
            <w:tcBorders>
              <w:bottom w:val="single" w:sz="8" w:color="auto"/>
            </w:tcBorders>
          </w:tcPr>
          <w:p>
            <w:pPr>
              <w:spacing w:after="0"/>
              <w:rPr>
                <w:sz w:val="17"/>
                <w:szCs w:val="17"/>
                <w:color w:val="auto"/>
              </w:rPr>
            </w:pPr>
          </w:p>
        </w:tc>
      </w:tr>
      <w:tr>
        <w:trPr>
          <w:trHeight w:val="152"/>
        </w:trPr>
        <w:tc>
          <w:tcPr>
            <w:tcW w:w="51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560" w:type="dxa"/>
            <w:vAlign w:val="bottom"/>
            <w:gridSpan w:val="3"/>
          </w:tcPr>
          <w:p>
            <w:pPr>
              <w:jc w:val="right"/>
              <w:ind w:right="675"/>
              <w:spacing w:after="0"/>
              <w:rPr>
                <w:sz w:val="20"/>
                <w:szCs w:val="20"/>
                <w:color w:val="auto"/>
              </w:rPr>
            </w:pPr>
            <w:r>
              <w:rPr>
                <w:rFonts w:ascii="Arial" w:cs="Arial" w:eastAsia="Arial" w:hAnsi="Arial"/>
                <w:sz w:val="11"/>
                <w:szCs w:val="11"/>
                <w:b w:val="1"/>
                <w:bCs w:val="1"/>
                <w:color w:val="auto"/>
              </w:rPr>
              <w:t>(in millions)</w:t>
            </w: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520" w:type="dxa"/>
            <w:vAlign w:val="bottom"/>
          </w:tcPr>
          <w:p>
            <w:pPr>
              <w:spacing w:after="0"/>
              <w:rPr>
                <w:sz w:val="13"/>
                <w:szCs w:val="13"/>
                <w:color w:val="auto"/>
              </w:rPr>
            </w:pPr>
          </w:p>
        </w:tc>
      </w:tr>
      <w:tr>
        <w:trPr>
          <w:trHeight w:val="200"/>
        </w:trPr>
        <w:tc>
          <w:tcPr>
            <w:tcW w:w="516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4"/>
                <w:szCs w:val="14"/>
                <w:color w:val="auto"/>
              </w:rPr>
              <w:t xml:space="preserve">Revenues </w:t>
            </w:r>
            <w:r>
              <w:rPr>
                <w:rFonts w:ascii="Arial" w:cs="Arial" w:eastAsia="Arial" w:hAnsi="Arial"/>
                <w:sz w:val="11"/>
                <w:szCs w:val="11"/>
                <w:color w:val="auto"/>
              </w:rPr>
              <w:t>(1)</w:t>
            </w:r>
          </w:p>
        </w:tc>
        <w:tc>
          <w:tcPr>
            <w:tcW w:w="1020" w:type="dxa"/>
            <w:vAlign w:val="bottom"/>
            <w:tcBorders>
              <w:bottom w:val="single" w:sz="8" w:color="CCEEFF"/>
            </w:tcBorders>
            <w:shd w:val="clear" w:color="auto" w:fill="CCEEFF"/>
          </w:tcPr>
          <w:p>
            <w:pPr>
              <w:jc w:val="right"/>
              <w:ind w:right="855"/>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859</w:t>
            </w:r>
          </w:p>
        </w:tc>
        <w:tc>
          <w:tcPr>
            <w:tcW w:w="12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ind w:right="853"/>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897</w:t>
            </w:r>
          </w:p>
        </w:tc>
        <w:tc>
          <w:tcPr>
            <w:tcW w:w="12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ind w:right="795"/>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2,310</w:t>
            </w:r>
          </w:p>
        </w:tc>
        <w:tc>
          <w:tcPr>
            <w:tcW w:w="12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ind w:right="793"/>
              <w:spacing w:after="0"/>
              <w:rPr>
                <w:sz w:val="20"/>
                <w:szCs w:val="20"/>
                <w:color w:val="auto"/>
              </w:rPr>
            </w:pPr>
            <w:r>
              <w:rPr>
                <w:rFonts w:ascii="Arial" w:cs="Arial" w:eastAsia="Arial" w:hAnsi="Arial"/>
                <w:sz w:val="14"/>
                <w:szCs w:val="14"/>
                <w:color w:val="auto"/>
                <w:w w:val="76"/>
              </w:rPr>
              <w:t>$</w:t>
            </w:r>
          </w:p>
        </w:tc>
        <w:tc>
          <w:tcPr>
            <w:tcW w:w="52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2,506</w:t>
            </w:r>
          </w:p>
        </w:tc>
      </w:tr>
      <w:tr>
        <w:trPr>
          <w:trHeight w:val="193"/>
        </w:trPr>
        <w:tc>
          <w:tcPr>
            <w:tcW w:w="5160" w:type="dxa"/>
            <w:vAlign w:val="bottom"/>
          </w:tcPr>
          <w:p>
            <w:pPr>
              <w:ind w:left="560"/>
              <w:spacing w:after="0"/>
              <w:rPr>
                <w:sz w:val="20"/>
                <w:szCs w:val="20"/>
                <w:color w:val="auto"/>
              </w:rPr>
            </w:pPr>
            <w:r>
              <w:rPr>
                <w:rFonts w:ascii="Arial" w:cs="Arial" w:eastAsia="Arial" w:hAnsi="Arial"/>
                <w:sz w:val="14"/>
                <w:szCs w:val="14"/>
                <w:color w:val="auto"/>
              </w:rPr>
              <w:t>Expenses</w:t>
            </w:r>
          </w:p>
        </w:tc>
        <w:tc>
          <w:tcPr>
            <w:tcW w:w="1020" w:type="dxa"/>
            <w:vAlign w:val="bottom"/>
          </w:tcPr>
          <w:p>
            <w:pPr>
              <w:spacing w:after="0"/>
              <w:rPr>
                <w:sz w:val="16"/>
                <w:szCs w:val="16"/>
                <w:color w:val="auto"/>
              </w:rPr>
            </w:pPr>
          </w:p>
        </w:tc>
        <w:tc>
          <w:tcPr>
            <w:tcW w:w="480" w:type="dxa"/>
            <w:vAlign w:val="bottom"/>
          </w:tcPr>
          <w:p>
            <w:pPr>
              <w:jc w:val="right"/>
              <w:ind w:right="48"/>
              <w:spacing w:after="0"/>
              <w:rPr>
                <w:sz w:val="20"/>
                <w:szCs w:val="20"/>
                <w:color w:val="auto"/>
              </w:rPr>
            </w:pPr>
            <w:r>
              <w:rPr>
                <w:rFonts w:ascii="Arial" w:cs="Arial" w:eastAsia="Arial" w:hAnsi="Arial"/>
                <w:sz w:val="14"/>
                <w:szCs w:val="14"/>
                <w:color w:val="auto"/>
              </w:rPr>
              <w:t>590</w:t>
            </w: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80" w:type="dxa"/>
            <w:vAlign w:val="bottom"/>
          </w:tcPr>
          <w:p>
            <w:pPr>
              <w:jc w:val="right"/>
              <w:ind w:right="50"/>
              <w:spacing w:after="0"/>
              <w:rPr>
                <w:sz w:val="20"/>
                <w:szCs w:val="20"/>
                <w:color w:val="auto"/>
              </w:rPr>
            </w:pPr>
            <w:r>
              <w:rPr>
                <w:rFonts w:ascii="Arial" w:cs="Arial" w:eastAsia="Arial" w:hAnsi="Arial"/>
                <w:sz w:val="14"/>
                <w:szCs w:val="14"/>
                <w:color w:val="auto"/>
              </w:rPr>
              <w:t>670</w:t>
            </w: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20" w:type="dxa"/>
            <w:vAlign w:val="bottom"/>
          </w:tcPr>
          <w:p>
            <w:pPr>
              <w:jc w:val="right"/>
              <w:ind w:right="28"/>
              <w:spacing w:after="0"/>
              <w:rPr>
                <w:sz w:val="20"/>
                <w:szCs w:val="20"/>
                <w:color w:val="auto"/>
              </w:rPr>
            </w:pPr>
            <w:r>
              <w:rPr>
                <w:rFonts w:ascii="Arial" w:cs="Arial" w:eastAsia="Arial" w:hAnsi="Arial"/>
                <w:sz w:val="14"/>
                <w:szCs w:val="14"/>
                <w:color w:val="auto"/>
              </w:rPr>
              <w:t>1,791</w:t>
            </w: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20" w:type="dxa"/>
            <w:vAlign w:val="bottom"/>
          </w:tcPr>
          <w:p>
            <w:pPr>
              <w:jc w:val="right"/>
              <w:ind w:right="28"/>
              <w:spacing w:after="0"/>
              <w:rPr>
                <w:sz w:val="20"/>
                <w:szCs w:val="20"/>
                <w:color w:val="auto"/>
              </w:rPr>
            </w:pPr>
            <w:r>
              <w:rPr>
                <w:rFonts w:ascii="Arial" w:cs="Arial" w:eastAsia="Arial" w:hAnsi="Arial"/>
                <w:sz w:val="14"/>
                <w:szCs w:val="14"/>
                <w:color w:val="auto"/>
              </w:rPr>
              <w:t>1,979</w:t>
            </w:r>
          </w:p>
        </w:tc>
      </w:tr>
      <w:tr>
        <w:trPr>
          <w:trHeight w:val="23"/>
        </w:trPr>
        <w:tc>
          <w:tcPr>
            <w:tcW w:w="516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r>
        <w:trPr>
          <w:trHeight w:val="186"/>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Operating income</w:t>
            </w:r>
          </w:p>
        </w:tc>
        <w:tc>
          <w:tcPr>
            <w:tcW w:w="102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269</w:t>
            </w:r>
          </w:p>
        </w:tc>
        <w:tc>
          <w:tcPr>
            <w:tcW w:w="12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227</w:t>
            </w:r>
          </w:p>
        </w:tc>
        <w:tc>
          <w:tcPr>
            <w:tcW w:w="12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519</w:t>
            </w:r>
          </w:p>
        </w:tc>
        <w:tc>
          <w:tcPr>
            <w:tcW w:w="12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527</w:t>
            </w:r>
          </w:p>
        </w:tc>
      </w:tr>
      <w:tr>
        <w:trPr>
          <w:trHeight w:val="193"/>
        </w:trPr>
        <w:tc>
          <w:tcPr>
            <w:tcW w:w="5160" w:type="dxa"/>
            <w:vAlign w:val="bottom"/>
          </w:tcPr>
          <w:p>
            <w:pPr>
              <w:ind w:left="20"/>
              <w:spacing w:after="0"/>
              <w:rPr>
                <w:sz w:val="20"/>
                <w:szCs w:val="20"/>
                <w:color w:val="auto"/>
              </w:rPr>
            </w:pPr>
            <w:r>
              <w:rPr>
                <w:rFonts w:ascii="Arial" w:cs="Arial" w:eastAsia="Arial" w:hAnsi="Arial"/>
                <w:sz w:val="14"/>
                <w:szCs w:val="14"/>
                <w:color w:val="auto"/>
              </w:rPr>
              <w:t>Interest and other finance charges</w:t>
            </w:r>
          </w:p>
        </w:tc>
        <w:tc>
          <w:tcPr>
            <w:tcW w:w="102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(41)</w:t>
            </w: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(32)</w:t>
            </w: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(123)</w:t>
            </w: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(101)</w:t>
            </w:r>
          </w:p>
        </w:tc>
      </w:tr>
      <w:tr>
        <w:trPr>
          <w:trHeight w:val="23"/>
        </w:trPr>
        <w:tc>
          <w:tcPr>
            <w:tcW w:w="5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96"/>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Interest on Securitization Bonds</w:t>
            </w:r>
          </w:p>
        </w:tc>
        <w:tc>
          <w:tcPr>
            <w:tcW w:w="102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2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12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12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(46)</w:t>
            </w:r>
          </w:p>
        </w:tc>
      </w:tr>
      <w:tr>
        <w:trPr>
          <w:trHeight w:val="193"/>
        </w:trPr>
        <w:tc>
          <w:tcPr>
            <w:tcW w:w="5160" w:type="dxa"/>
            <w:vAlign w:val="bottom"/>
          </w:tcPr>
          <w:p>
            <w:pPr>
              <w:ind w:left="20"/>
              <w:spacing w:after="0"/>
              <w:rPr>
                <w:sz w:val="20"/>
                <w:szCs w:val="20"/>
                <w:color w:val="auto"/>
              </w:rPr>
            </w:pPr>
            <w:r>
              <w:rPr>
                <w:rFonts w:ascii="Arial" w:cs="Arial" w:eastAsia="Arial" w:hAnsi="Arial"/>
                <w:sz w:val="14"/>
                <w:szCs w:val="14"/>
                <w:color w:val="auto"/>
              </w:rPr>
              <w:t>Other income (expense), net</w:t>
            </w:r>
          </w:p>
        </w:tc>
        <w:tc>
          <w:tcPr>
            <w:tcW w:w="1020" w:type="dxa"/>
            <w:vAlign w:val="bottom"/>
          </w:tcPr>
          <w:p>
            <w:pPr>
              <w:spacing w:after="0"/>
              <w:rPr>
                <w:sz w:val="16"/>
                <w:szCs w:val="16"/>
                <w:color w:val="auto"/>
              </w:rPr>
            </w:pPr>
          </w:p>
        </w:tc>
        <w:tc>
          <w:tcPr>
            <w:tcW w:w="480" w:type="dxa"/>
            <w:vAlign w:val="bottom"/>
          </w:tcPr>
          <w:p>
            <w:pPr>
              <w:jc w:val="right"/>
              <w:ind w:right="48"/>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60" w:type="dxa"/>
            <w:vAlign w:val="bottom"/>
          </w:tcPr>
          <w:p>
            <w:pPr>
              <w:spacing w:after="0"/>
              <w:rPr>
                <w:sz w:val="16"/>
                <w:szCs w:val="16"/>
                <w:color w:val="auto"/>
              </w:rPr>
            </w:pPr>
          </w:p>
        </w:tc>
        <w:tc>
          <w:tcPr>
            <w:tcW w:w="520" w:type="dxa"/>
            <w:vAlign w:val="bottom"/>
          </w:tcPr>
          <w:p>
            <w:pPr>
              <w:jc w:val="right"/>
              <w:ind w:right="28"/>
              <w:spacing w:after="0"/>
              <w:rPr>
                <w:sz w:val="20"/>
                <w:szCs w:val="20"/>
                <w:color w:val="auto"/>
              </w:rPr>
            </w:pPr>
            <w:r>
              <w:rPr>
                <w:rFonts w:ascii="Arial" w:cs="Arial" w:eastAsia="Arial" w:hAnsi="Arial"/>
                <w:sz w:val="14"/>
                <w:szCs w:val="14"/>
                <w:color w:val="auto"/>
              </w:rPr>
              <w:t>17</w:t>
            </w: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(6)</w:t>
            </w:r>
          </w:p>
        </w:tc>
      </w:tr>
      <w:tr>
        <w:trPr>
          <w:trHeight w:val="23"/>
        </w:trPr>
        <w:tc>
          <w:tcPr>
            <w:tcW w:w="516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r>
        <w:trPr>
          <w:trHeight w:val="186"/>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Income before income taxes</w:t>
            </w:r>
          </w:p>
        </w:tc>
        <w:tc>
          <w:tcPr>
            <w:tcW w:w="102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226</w:t>
            </w:r>
          </w:p>
        </w:tc>
        <w:tc>
          <w:tcPr>
            <w:tcW w:w="12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179</w:t>
            </w:r>
          </w:p>
        </w:tc>
        <w:tc>
          <w:tcPr>
            <w:tcW w:w="12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382</w:t>
            </w:r>
          </w:p>
        </w:tc>
        <w:tc>
          <w:tcPr>
            <w:tcW w:w="12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374</w:t>
            </w:r>
          </w:p>
        </w:tc>
      </w:tr>
      <w:tr>
        <w:trPr>
          <w:trHeight w:val="193"/>
        </w:trPr>
        <w:tc>
          <w:tcPr>
            <w:tcW w:w="5160" w:type="dxa"/>
            <w:vAlign w:val="bottom"/>
          </w:tcPr>
          <w:p>
            <w:pPr>
              <w:ind w:left="20"/>
              <w:spacing w:after="0"/>
              <w:rPr>
                <w:sz w:val="20"/>
                <w:szCs w:val="20"/>
                <w:color w:val="auto"/>
              </w:rPr>
            </w:pPr>
            <w:r>
              <w:rPr>
                <w:rFonts w:ascii="Arial" w:cs="Arial" w:eastAsia="Arial" w:hAnsi="Arial"/>
                <w:sz w:val="14"/>
                <w:szCs w:val="14"/>
                <w:color w:val="auto"/>
              </w:rPr>
              <w:t>Income tax expense</w:t>
            </w:r>
          </w:p>
        </w:tc>
        <w:tc>
          <w:tcPr>
            <w:tcW w:w="1020" w:type="dxa"/>
            <w:vAlign w:val="bottom"/>
          </w:tcPr>
          <w:p>
            <w:pPr>
              <w:spacing w:after="0"/>
              <w:rPr>
                <w:sz w:val="16"/>
                <w:szCs w:val="16"/>
                <w:color w:val="auto"/>
              </w:rPr>
            </w:pPr>
          </w:p>
        </w:tc>
        <w:tc>
          <w:tcPr>
            <w:tcW w:w="480" w:type="dxa"/>
            <w:vAlign w:val="bottom"/>
          </w:tcPr>
          <w:p>
            <w:pPr>
              <w:jc w:val="right"/>
              <w:ind w:right="48"/>
              <w:spacing w:after="0"/>
              <w:rPr>
                <w:sz w:val="20"/>
                <w:szCs w:val="20"/>
                <w:color w:val="auto"/>
              </w:rPr>
            </w:pPr>
            <w:r>
              <w:rPr>
                <w:rFonts w:ascii="Arial" w:cs="Arial" w:eastAsia="Arial" w:hAnsi="Arial"/>
                <w:sz w:val="14"/>
                <w:szCs w:val="14"/>
                <w:color w:val="auto"/>
              </w:rPr>
              <w:t>41</w:t>
            </w: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80" w:type="dxa"/>
            <w:vAlign w:val="bottom"/>
          </w:tcPr>
          <w:p>
            <w:pPr>
              <w:jc w:val="right"/>
              <w:ind w:right="50"/>
              <w:spacing w:after="0"/>
              <w:rPr>
                <w:sz w:val="20"/>
                <w:szCs w:val="20"/>
                <w:color w:val="auto"/>
              </w:rPr>
            </w:pPr>
            <w:r>
              <w:rPr>
                <w:rFonts w:ascii="Arial" w:cs="Arial" w:eastAsia="Arial" w:hAnsi="Arial"/>
                <w:sz w:val="14"/>
                <w:szCs w:val="14"/>
                <w:color w:val="auto"/>
              </w:rPr>
              <w:t>36</w:t>
            </w: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20" w:type="dxa"/>
            <w:vAlign w:val="bottom"/>
          </w:tcPr>
          <w:p>
            <w:pPr>
              <w:jc w:val="right"/>
              <w:ind w:right="28"/>
              <w:spacing w:after="0"/>
              <w:rPr>
                <w:sz w:val="20"/>
                <w:szCs w:val="20"/>
                <w:color w:val="auto"/>
              </w:rPr>
            </w:pPr>
            <w:r>
              <w:rPr>
                <w:rFonts w:ascii="Arial" w:cs="Arial" w:eastAsia="Arial" w:hAnsi="Arial"/>
                <w:sz w:val="14"/>
                <w:szCs w:val="14"/>
                <w:color w:val="auto"/>
              </w:rPr>
              <w:t>70</w:t>
            </w: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20" w:type="dxa"/>
            <w:vAlign w:val="bottom"/>
          </w:tcPr>
          <w:p>
            <w:pPr>
              <w:jc w:val="right"/>
              <w:ind w:right="28"/>
              <w:spacing w:after="0"/>
              <w:rPr>
                <w:sz w:val="20"/>
                <w:szCs w:val="20"/>
                <w:color w:val="auto"/>
              </w:rPr>
            </w:pPr>
            <w:r>
              <w:rPr>
                <w:rFonts w:ascii="Arial" w:cs="Arial" w:eastAsia="Arial" w:hAnsi="Arial"/>
                <w:sz w:val="14"/>
                <w:szCs w:val="14"/>
                <w:color w:val="auto"/>
              </w:rPr>
              <w:t>78</w:t>
            </w:r>
          </w:p>
        </w:tc>
      </w:tr>
      <w:tr>
        <w:trPr>
          <w:trHeight w:val="23"/>
        </w:trPr>
        <w:tc>
          <w:tcPr>
            <w:tcW w:w="516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r>
        <w:trPr>
          <w:trHeight w:val="200"/>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1020" w:type="dxa"/>
            <w:vAlign w:val="bottom"/>
            <w:tcBorders>
              <w:bottom w:val="single" w:sz="8" w:color="auto"/>
            </w:tcBorders>
            <w:shd w:val="clear" w:color="auto" w:fill="CCEEFF"/>
          </w:tcPr>
          <w:p>
            <w:pPr>
              <w:jc w:val="right"/>
              <w:ind w:right="855"/>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185</w:t>
            </w:r>
          </w:p>
        </w:tc>
        <w:tc>
          <w:tcPr>
            <w:tcW w:w="12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853"/>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143</w:t>
            </w:r>
          </w:p>
        </w:tc>
        <w:tc>
          <w:tcPr>
            <w:tcW w:w="12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795"/>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312</w:t>
            </w:r>
          </w:p>
        </w:tc>
        <w:tc>
          <w:tcPr>
            <w:tcW w:w="12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793"/>
              <w:spacing w:after="0"/>
              <w:rPr>
                <w:sz w:val="20"/>
                <w:szCs w:val="20"/>
                <w:color w:val="auto"/>
              </w:rPr>
            </w:pPr>
            <w:r>
              <w:rPr>
                <w:rFonts w:ascii="Arial" w:cs="Arial" w:eastAsia="Arial" w:hAnsi="Arial"/>
                <w:sz w:val="14"/>
                <w:szCs w:val="14"/>
                <w:color w:val="auto"/>
                <w:w w:val="76"/>
              </w:rPr>
              <w:t>$</w:t>
            </w:r>
          </w:p>
        </w:tc>
        <w:tc>
          <w:tcPr>
            <w:tcW w:w="5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296</w:t>
            </w:r>
          </w:p>
        </w:tc>
      </w:tr>
      <w:tr>
        <w:trPr>
          <w:trHeight w:val="20"/>
        </w:trPr>
        <w:tc>
          <w:tcPr>
            <w:tcW w:w="51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bl>
    <w:p>
      <w:pPr>
        <w:spacing w:after="0" w:line="162" w:lineRule="exact"/>
        <w:rPr>
          <w:sz w:val="20"/>
          <w:szCs w:val="20"/>
          <w:color w:val="auto"/>
        </w:rPr>
      </w:pPr>
    </w:p>
    <w:p>
      <w:pPr>
        <w:jc w:val="both"/>
        <w:ind w:left="520" w:hanging="255"/>
        <w:spacing w:after="0" w:line="272" w:lineRule="auto"/>
        <w:tabs>
          <w:tab w:leader="none" w:pos="520" w:val="left"/>
        </w:tabs>
        <w:numPr>
          <w:ilvl w:val="0"/>
          <w:numId w:val="60"/>
        </w:numPr>
        <w:rPr>
          <w:rFonts w:ascii="Arial" w:cs="Arial" w:eastAsia="Arial" w:hAnsi="Arial"/>
          <w:sz w:val="14"/>
          <w:szCs w:val="14"/>
          <w:color w:val="auto"/>
        </w:rPr>
      </w:pPr>
      <w:r>
        <w:rPr>
          <w:rFonts w:ascii="Arial" w:cs="Arial" w:eastAsia="Arial" w:hAnsi="Arial"/>
          <w:sz w:val="14"/>
          <w:szCs w:val="14"/>
          <w:color w:val="auto"/>
        </w:rPr>
        <w:t>Excludes weather hedge gain (loss) of $-0- and $-0- for the three months ended September 30, 2019 and 2018, respectively, and $3 million and $(4) million for the nine months ended September 30, 2019 and 2018, respectively, recorded in Utility revenues on CenterPoint Energy’s Condensed Statements of Consolidated Income. See Note 7(a) to the Interim Condensed Financial Statements for more information on the weather hedge.</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Three months ended September 30, 2019 compared to three months ended September 30, 2018</w:t>
      </w:r>
    </w:p>
    <w:p>
      <w:pPr>
        <w:spacing w:after="0" w:line="184" w:lineRule="exact"/>
        <w:rPr>
          <w:sz w:val="20"/>
          <w:szCs w:val="20"/>
          <w:color w:val="auto"/>
        </w:rPr>
      </w:pPr>
    </w:p>
    <w:p>
      <w:pPr>
        <w:ind w:left="260"/>
        <w:spacing w:after="0"/>
        <w:rPr>
          <w:sz w:val="20"/>
          <w:szCs w:val="20"/>
          <w:color w:val="auto"/>
        </w:rPr>
      </w:pPr>
      <w:r>
        <w:rPr>
          <w:rFonts w:ascii="Arial" w:cs="Arial" w:eastAsia="Arial" w:hAnsi="Arial"/>
          <w:sz w:val="13"/>
          <w:szCs w:val="13"/>
          <w:color w:val="auto"/>
        </w:rPr>
        <w:t>Houston Electric reported net income of $185 million for the three months ended September 30, 2019 compared to net income of $143 million for the three months ended September 30, 2018.</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68</w:t>
      </w:r>
    </w:p>
    <w:p>
      <w:pPr>
        <w:sectPr>
          <w:pgSz w:w="11900" w:h="16838" w:orient="portrait"/>
          <w:cols w:equalWidth="0" w:num="1">
            <w:col w:w="11460"/>
          </w:cols>
          <w:pgMar w:left="220" w:top="129" w:right="219" w:bottom="1440" w:gutter="0" w:footer="0" w:header="0"/>
        </w:sectPr>
      </w:pPr>
    </w:p>
    <w:bookmarkStart w:id="78" w:name="page79"/>
    <w:bookmarkEnd w:id="78"/>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205"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increase of $42 million in net income was primarily due to the following key factors:</w:t>
      </w:r>
    </w:p>
    <w:p>
      <w:pPr>
        <w:spacing w:after="0" w:line="184" w:lineRule="exact"/>
        <w:rPr>
          <w:sz w:val="20"/>
          <w:szCs w:val="20"/>
          <w:color w:val="auto"/>
        </w:rPr>
      </w:pPr>
    </w:p>
    <w:p>
      <w:pPr>
        <w:ind w:left="520" w:hanging="255"/>
        <w:spacing w:after="0"/>
        <w:tabs>
          <w:tab w:leader="none" w:pos="520" w:val="left"/>
        </w:tabs>
        <w:numPr>
          <w:ilvl w:val="0"/>
          <w:numId w:val="61"/>
        </w:numPr>
        <w:rPr>
          <w:rFonts w:ascii="Arial" w:cs="Arial" w:eastAsia="Arial" w:hAnsi="Arial"/>
          <w:sz w:val="14"/>
          <w:szCs w:val="14"/>
          <w:color w:val="auto"/>
        </w:rPr>
      </w:pPr>
      <w:r>
        <w:rPr>
          <w:rFonts w:ascii="Arial" w:cs="Arial" w:eastAsia="Arial" w:hAnsi="Arial"/>
          <w:sz w:val="14"/>
          <w:szCs w:val="14"/>
          <w:color w:val="auto"/>
        </w:rPr>
        <w:t>a $47 million increase in TDU operating income discussed below in Results of Operations by Reportable Segment;</w:t>
      </w:r>
    </w:p>
    <w:p>
      <w:pPr>
        <w:spacing w:after="0" w:line="183" w:lineRule="exact"/>
        <w:rPr>
          <w:rFonts w:ascii="Arial" w:cs="Arial" w:eastAsia="Arial" w:hAnsi="Arial"/>
          <w:sz w:val="14"/>
          <w:szCs w:val="14"/>
          <w:color w:val="auto"/>
        </w:rPr>
      </w:pPr>
    </w:p>
    <w:p>
      <w:pPr>
        <w:ind w:left="520" w:hanging="255"/>
        <w:spacing w:after="0"/>
        <w:tabs>
          <w:tab w:leader="none" w:pos="520" w:val="left"/>
        </w:tabs>
        <w:numPr>
          <w:ilvl w:val="0"/>
          <w:numId w:val="61"/>
        </w:numPr>
        <w:rPr>
          <w:rFonts w:ascii="Arial" w:cs="Arial" w:eastAsia="Arial" w:hAnsi="Arial"/>
          <w:sz w:val="14"/>
          <w:szCs w:val="14"/>
          <w:color w:val="auto"/>
        </w:rPr>
      </w:pPr>
      <w:r>
        <w:rPr>
          <w:rFonts w:ascii="Arial" w:cs="Arial" w:eastAsia="Arial" w:hAnsi="Arial"/>
          <w:sz w:val="14"/>
          <w:szCs w:val="14"/>
          <w:color w:val="auto"/>
        </w:rPr>
        <w:t>a $7 million decrease in interest expense related to lower outstanding balances of the Securitization Bonds; and</w:t>
      </w:r>
    </w:p>
    <w:p>
      <w:pPr>
        <w:spacing w:after="0" w:line="183" w:lineRule="exact"/>
        <w:rPr>
          <w:rFonts w:ascii="Arial" w:cs="Arial" w:eastAsia="Arial" w:hAnsi="Arial"/>
          <w:sz w:val="14"/>
          <w:szCs w:val="14"/>
          <w:color w:val="auto"/>
        </w:rPr>
      </w:pPr>
    </w:p>
    <w:p>
      <w:pPr>
        <w:ind w:left="260" w:right="2140" w:firstLine="5"/>
        <w:spacing w:after="0" w:line="514" w:lineRule="auto"/>
        <w:tabs>
          <w:tab w:leader="none" w:pos="519" w:val="left"/>
        </w:tabs>
        <w:numPr>
          <w:ilvl w:val="0"/>
          <w:numId w:val="61"/>
        </w:numPr>
        <w:rPr>
          <w:rFonts w:ascii="Arial" w:cs="Arial" w:eastAsia="Arial" w:hAnsi="Arial"/>
          <w:sz w:val="14"/>
          <w:szCs w:val="14"/>
          <w:color w:val="auto"/>
        </w:rPr>
      </w:pPr>
      <w:r>
        <w:rPr>
          <w:rFonts w:ascii="Arial" w:cs="Arial" w:eastAsia="Arial" w:hAnsi="Arial"/>
          <w:sz w:val="14"/>
          <w:szCs w:val="14"/>
          <w:color w:val="auto"/>
        </w:rPr>
        <w:t>a $7 million increase in Other income (expense), net due to increased interest income primarily from investments in the CenterPoint Energy money pool. These increases were partially offset by the following:</w:t>
      </w:r>
    </w:p>
    <w:p>
      <w:pPr>
        <w:ind w:left="520" w:hanging="255"/>
        <w:spacing w:after="0"/>
        <w:tabs>
          <w:tab w:leader="none" w:pos="520" w:val="left"/>
        </w:tabs>
        <w:numPr>
          <w:ilvl w:val="0"/>
          <w:numId w:val="61"/>
        </w:numPr>
        <w:rPr>
          <w:rFonts w:ascii="Arial" w:cs="Arial" w:eastAsia="Arial" w:hAnsi="Arial"/>
          <w:sz w:val="14"/>
          <w:szCs w:val="14"/>
          <w:color w:val="auto"/>
        </w:rPr>
      </w:pPr>
      <w:r>
        <w:rPr>
          <w:rFonts w:ascii="Arial" w:cs="Arial" w:eastAsia="Arial" w:hAnsi="Arial"/>
          <w:sz w:val="14"/>
          <w:szCs w:val="14"/>
          <w:color w:val="auto"/>
        </w:rPr>
        <w:t>a $9 million increase in interest expense due to higher outstanding other long-term debt;</w:t>
      </w:r>
    </w:p>
    <w:p>
      <w:pPr>
        <w:spacing w:after="0" w:line="183" w:lineRule="exact"/>
        <w:rPr>
          <w:rFonts w:ascii="Arial" w:cs="Arial" w:eastAsia="Arial" w:hAnsi="Arial"/>
          <w:sz w:val="14"/>
          <w:szCs w:val="14"/>
          <w:color w:val="auto"/>
        </w:rPr>
      </w:pPr>
    </w:p>
    <w:p>
      <w:pPr>
        <w:ind w:left="520" w:hanging="255"/>
        <w:spacing w:after="0"/>
        <w:tabs>
          <w:tab w:leader="none" w:pos="520" w:val="left"/>
        </w:tabs>
        <w:numPr>
          <w:ilvl w:val="0"/>
          <w:numId w:val="61"/>
        </w:numPr>
        <w:rPr>
          <w:rFonts w:ascii="Arial" w:cs="Arial" w:eastAsia="Arial" w:hAnsi="Arial"/>
          <w:sz w:val="14"/>
          <w:szCs w:val="14"/>
          <w:color w:val="auto"/>
        </w:rPr>
      </w:pPr>
      <w:r>
        <w:rPr>
          <w:rFonts w:ascii="Arial" w:cs="Arial" w:eastAsia="Arial" w:hAnsi="Arial"/>
          <w:sz w:val="14"/>
          <w:szCs w:val="14"/>
          <w:color w:val="auto"/>
        </w:rPr>
        <w:t>a $5 million decrease in operating income from the Bond Companies; and</w:t>
      </w:r>
    </w:p>
    <w:p>
      <w:pPr>
        <w:spacing w:after="0" w:line="183" w:lineRule="exact"/>
        <w:rPr>
          <w:rFonts w:ascii="Arial" w:cs="Arial" w:eastAsia="Arial" w:hAnsi="Arial"/>
          <w:sz w:val="14"/>
          <w:szCs w:val="14"/>
          <w:color w:val="auto"/>
        </w:rPr>
      </w:pPr>
    </w:p>
    <w:p>
      <w:pPr>
        <w:ind w:left="520" w:hanging="255"/>
        <w:spacing w:after="0"/>
        <w:tabs>
          <w:tab w:leader="none" w:pos="520" w:val="left"/>
        </w:tabs>
        <w:numPr>
          <w:ilvl w:val="0"/>
          <w:numId w:val="61"/>
        </w:numPr>
        <w:rPr>
          <w:rFonts w:ascii="Arial" w:cs="Arial" w:eastAsia="Arial" w:hAnsi="Arial"/>
          <w:sz w:val="14"/>
          <w:szCs w:val="14"/>
          <w:color w:val="auto"/>
        </w:rPr>
      </w:pPr>
      <w:r>
        <w:rPr>
          <w:rFonts w:ascii="Arial" w:cs="Arial" w:eastAsia="Arial" w:hAnsi="Arial"/>
          <w:sz w:val="14"/>
          <w:szCs w:val="14"/>
          <w:color w:val="auto"/>
        </w:rPr>
        <w:t>a $5 million increase of income tax expense due to higher income before income taxes that was partially offset by the lower effective tax rate as explained below.</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Nine months ended September 30, 2019 compared to nine months ended September 30, 2018</w:t>
      </w:r>
    </w:p>
    <w:p>
      <w:pPr>
        <w:spacing w:after="0" w:line="184" w:lineRule="exact"/>
        <w:rPr>
          <w:sz w:val="20"/>
          <w:szCs w:val="20"/>
          <w:color w:val="auto"/>
        </w:rPr>
      </w:pPr>
    </w:p>
    <w:p>
      <w:pPr>
        <w:ind w:left="260"/>
        <w:spacing w:after="0"/>
        <w:rPr>
          <w:sz w:val="20"/>
          <w:szCs w:val="20"/>
          <w:color w:val="auto"/>
        </w:rPr>
      </w:pPr>
      <w:r>
        <w:rPr>
          <w:rFonts w:ascii="Arial" w:cs="Arial" w:eastAsia="Arial" w:hAnsi="Arial"/>
          <w:sz w:val="13"/>
          <w:szCs w:val="13"/>
          <w:color w:val="auto"/>
        </w:rPr>
        <w:t>Houston Electric reported net income of $312 million for the nine months ended September 30, 2019 compared to net income of $296 million for the nine months ended September 30, 2018.</w:t>
      </w:r>
    </w:p>
    <w:p>
      <w:pPr>
        <w:spacing w:after="0" w:line="195"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increase of $16 million in net income was primarily due to the following key factors:</w:t>
      </w:r>
    </w:p>
    <w:p>
      <w:pPr>
        <w:spacing w:after="0" w:line="184" w:lineRule="exact"/>
        <w:rPr>
          <w:sz w:val="20"/>
          <w:szCs w:val="20"/>
          <w:color w:val="auto"/>
        </w:rPr>
      </w:pPr>
    </w:p>
    <w:p>
      <w:pPr>
        <w:ind w:left="520" w:hanging="255"/>
        <w:spacing w:after="0" w:line="288" w:lineRule="auto"/>
        <w:tabs>
          <w:tab w:leader="none" w:pos="520" w:val="left"/>
        </w:tabs>
        <w:numPr>
          <w:ilvl w:val="0"/>
          <w:numId w:val="62"/>
        </w:numPr>
        <w:rPr>
          <w:rFonts w:ascii="Arial" w:cs="Arial" w:eastAsia="Arial" w:hAnsi="Arial"/>
          <w:sz w:val="14"/>
          <w:szCs w:val="14"/>
          <w:color w:val="auto"/>
        </w:rPr>
      </w:pPr>
      <w:r>
        <w:rPr>
          <w:rFonts w:ascii="Arial" w:cs="Arial" w:eastAsia="Arial" w:hAnsi="Arial"/>
          <w:sz w:val="14"/>
          <w:szCs w:val="14"/>
          <w:color w:val="auto"/>
        </w:rPr>
        <w:t>a $23 million increase in Other income (expense), net due to increased interest income of $19 million primarily from investments in the CenterPoint Energy money pool and $4 million from miscellaneous other non-operating income;</w:t>
      </w:r>
    </w:p>
    <w:p>
      <w:pPr>
        <w:spacing w:after="0" w:line="130" w:lineRule="exact"/>
        <w:rPr>
          <w:rFonts w:ascii="Arial" w:cs="Arial" w:eastAsia="Arial" w:hAnsi="Arial"/>
          <w:sz w:val="14"/>
          <w:szCs w:val="14"/>
          <w:color w:val="auto"/>
        </w:rPr>
      </w:pPr>
    </w:p>
    <w:p>
      <w:pPr>
        <w:ind w:left="520" w:hanging="255"/>
        <w:spacing w:after="0"/>
        <w:tabs>
          <w:tab w:leader="none" w:pos="520" w:val="left"/>
        </w:tabs>
        <w:numPr>
          <w:ilvl w:val="0"/>
          <w:numId w:val="62"/>
        </w:numPr>
        <w:rPr>
          <w:rFonts w:ascii="Arial" w:cs="Arial" w:eastAsia="Arial" w:hAnsi="Arial"/>
          <w:sz w:val="14"/>
          <w:szCs w:val="14"/>
          <w:color w:val="auto"/>
        </w:rPr>
      </w:pPr>
      <w:r>
        <w:rPr>
          <w:rFonts w:ascii="Arial" w:cs="Arial" w:eastAsia="Arial" w:hAnsi="Arial"/>
          <w:sz w:val="14"/>
          <w:szCs w:val="14"/>
          <w:color w:val="auto"/>
        </w:rPr>
        <w:t>a $15 million decrease in interest expense related to lower outstanding balances of the Securitization Bonds;</w:t>
      </w:r>
    </w:p>
    <w:p>
      <w:pPr>
        <w:spacing w:after="0" w:line="183" w:lineRule="exact"/>
        <w:rPr>
          <w:rFonts w:ascii="Arial" w:cs="Arial" w:eastAsia="Arial" w:hAnsi="Arial"/>
          <w:sz w:val="14"/>
          <w:szCs w:val="14"/>
          <w:color w:val="auto"/>
        </w:rPr>
      </w:pPr>
    </w:p>
    <w:p>
      <w:pPr>
        <w:ind w:left="520" w:hanging="255"/>
        <w:spacing w:after="0" w:line="288" w:lineRule="auto"/>
        <w:tabs>
          <w:tab w:leader="none" w:pos="520" w:val="left"/>
        </w:tabs>
        <w:numPr>
          <w:ilvl w:val="0"/>
          <w:numId w:val="62"/>
        </w:numPr>
        <w:rPr>
          <w:rFonts w:ascii="Arial" w:cs="Arial" w:eastAsia="Arial" w:hAnsi="Arial"/>
          <w:sz w:val="14"/>
          <w:szCs w:val="14"/>
          <w:color w:val="auto"/>
        </w:rPr>
      </w:pPr>
      <w:r>
        <w:rPr>
          <w:rFonts w:ascii="Arial" w:cs="Arial" w:eastAsia="Arial" w:hAnsi="Arial"/>
          <w:sz w:val="14"/>
          <w:szCs w:val="14"/>
          <w:color w:val="auto"/>
        </w:rPr>
        <w:t>an $8 million increase in TDU operating income discussed below in Results of Operations by Reportable Segment, exclusive of a $3 million gain in the nine months ended September 30, 2019 and a $4 million loss in the nine months ended September 30, 2018 from weather hedges recorded at CenterPoint Energy; and</w:t>
      </w:r>
    </w:p>
    <w:p>
      <w:pPr>
        <w:spacing w:after="0" w:line="130" w:lineRule="exact"/>
        <w:rPr>
          <w:rFonts w:ascii="Arial" w:cs="Arial" w:eastAsia="Arial" w:hAnsi="Arial"/>
          <w:sz w:val="14"/>
          <w:szCs w:val="14"/>
          <w:color w:val="auto"/>
        </w:rPr>
      </w:pPr>
    </w:p>
    <w:p>
      <w:pPr>
        <w:ind w:left="520" w:hanging="255"/>
        <w:spacing w:after="0"/>
        <w:tabs>
          <w:tab w:leader="none" w:pos="520" w:val="left"/>
        </w:tabs>
        <w:numPr>
          <w:ilvl w:val="0"/>
          <w:numId w:val="62"/>
        </w:numPr>
        <w:rPr>
          <w:rFonts w:ascii="Arial" w:cs="Arial" w:eastAsia="Arial" w:hAnsi="Arial"/>
          <w:sz w:val="14"/>
          <w:szCs w:val="14"/>
          <w:color w:val="auto"/>
        </w:rPr>
      </w:pPr>
      <w:r>
        <w:rPr>
          <w:rFonts w:ascii="Arial" w:cs="Arial" w:eastAsia="Arial" w:hAnsi="Arial"/>
          <w:sz w:val="14"/>
          <w:szCs w:val="14"/>
          <w:color w:val="auto"/>
        </w:rPr>
        <w:t>an $8 million decrease in income tax expense primarily due to the lower effective tax rate as explained below that was partially offset by higher income before income taxes.</w:t>
      </w:r>
    </w:p>
    <w:p>
      <w:pPr>
        <w:spacing w:after="0" w:line="184"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These increases were partially offset by the following:</w:t>
      </w:r>
    </w:p>
    <w:p>
      <w:pPr>
        <w:spacing w:after="0" w:line="184" w:lineRule="exact"/>
        <w:rPr>
          <w:sz w:val="20"/>
          <w:szCs w:val="20"/>
          <w:color w:val="auto"/>
        </w:rPr>
      </w:pPr>
    </w:p>
    <w:p>
      <w:pPr>
        <w:ind w:left="520" w:hanging="255"/>
        <w:spacing w:after="0"/>
        <w:tabs>
          <w:tab w:leader="none" w:pos="520" w:val="left"/>
        </w:tabs>
        <w:numPr>
          <w:ilvl w:val="0"/>
          <w:numId w:val="63"/>
        </w:numPr>
        <w:rPr>
          <w:rFonts w:ascii="Arial" w:cs="Arial" w:eastAsia="Arial" w:hAnsi="Arial"/>
          <w:sz w:val="14"/>
          <w:szCs w:val="14"/>
          <w:color w:val="auto"/>
        </w:rPr>
      </w:pPr>
      <w:r>
        <w:rPr>
          <w:rFonts w:ascii="Arial" w:cs="Arial" w:eastAsia="Arial" w:hAnsi="Arial"/>
          <w:sz w:val="14"/>
          <w:szCs w:val="14"/>
          <w:color w:val="auto"/>
        </w:rPr>
        <w:t>a $22 million increase in interest expense due to higher outstanding other long-term debt; and</w:t>
      </w:r>
    </w:p>
    <w:p>
      <w:pPr>
        <w:spacing w:after="0" w:line="183" w:lineRule="exact"/>
        <w:rPr>
          <w:rFonts w:ascii="Arial" w:cs="Arial" w:eastAsia="Arial" w:hAnsi="Arial"/>
          <w:sz w:val="14"/>
          <w:szCs w:val="14"/>
          <w:color w:val="auto"/>
        </w:rPr>
      </w:pPr>
    </w:p>
    <w:p>
      <w:pPr>
        <w:ind w:left="520" w:hanging="255"/>
        <w:spacing w:after="0"/>
        <w:tabs>
          <w:tab w:leader="none" w:pos="520" w:val="left"/>
        </w:tabs>
        <w:numPr>
          <w:ilvl w:val="0"/>
          <w:numId w:val="63"/>
        </w:numPr>
        <w:rPr>
          <w:rFonts w:ascii="Arial" w:cs="Arial" w:eastAsia="Arial" w:hAnsi="Arial"/>
          <w:sz w:val="14"/>
          <w:szCs w:val="14"/>
          <w:color w:val="auto"/>
        </w:rPr>
      </w:pPr>
      <w:r>
        <w:rPr>
          <w:rFonts w:ascii="Arial" w:cs="Arial" w:eastAsia="Arial" w:hAnsi="Arial"/>
          <w:sz w:val="14"/>
          <w:szCs w:val="14"/>
          <w:color w:val="auto"/>
        </w:rPr>
        <w:t>a $16 million decrease in operating income from the Bond Companies.</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Income Tax Expense</w:t>
      </w:r>
    </w:p>
    <w:p>
      <w:pPr>
        <w:spacing w:after="0" w:line="184" w:lineRule="exact"/>
        <w:rPr>
          <w:sz w:val="20"/>
          <w:szCs w:val="20"/>
          <w:color w:val="auto"/>
        </w:rPr>
      </w:pPr>
    </w:p>
    <w:p>
      <w:pPr>
        <w:jc w:val="both"/>
        <w:ind w:firstLine="259"/>
        <w:spacing w:after="0" w:line="272" w:lineRule="auto"/>
        <w:rPr>
          <w:sz w:val="20"/>
          <w:szCs w:val="20"/>
          <w:color w:val="auto"/>
        </w:rPr>
      </w:pPr>
      <w:r>
        <w:rPr>
          <w:rFonts w:ascii="Arial" w:cs="Arial" w:eastAsia="Arial" w:hAnsi="Arial"/>
          <w:sz w:val="14"/>
          <w:szCs w:val="14"/>
          <w:color w:val="auto"/>
        </w:rPr>
        <w:t>Houston Electric’s effective tax rate reported for the three months ended September 30, 2019 was 18% compared to 20% for the three months ended September 30, 2018. Houston Electric’s effective tax rate reported for the nine months ended September 30, 2019 was 18% compared to 21% for the nine months ended September 30, 2018. The lower effective tax rate for both the three and nine months ended September 30, 2019 was primarily due to an increase in the amount of amortization of the net regulatory EDIT liability.</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69</w:t>
      </w:r>
    </w:p>
    <w:p>
      <w:pPr>
        <w:sectPr>
          <w:pgSz w:w="11900" w:h="16838" w:orient="portrait"/>
          <w:cols w:equalWidth="0" w:num="1">
            <w:col w:w="11460"/>
          </w:cols>
          <w:pgMar w:left="220" w:top="129" w:right="219" w:bottom="1440" w:gutter="0" w:footer="0" w:header="0"/>
        </w:sectPr>
      </w:pPr>
    </w:p>
    <w:bookmarkStart w:id="79" w:name="page80"/>
    <w:bookmarkEnd w:id="79"/>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2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CERC’S MANAGEMENT’S NARRATIVE ANALYSIS OF CONSOLIDATED RESULTS OF OPERATIONS</w:t>
      </w:r>
    </w:p>
    <w:p>
      <w:pPr>
        <w:spacing w:after="0" w:line="188" w:lineRule="exact"/>
        <w:rPr>
          <w:sz w:val="20"/>
          <w:szCs w:val="20"/>
          <w:color w:val="auto"/>
        </w:rPr>
      </w:pPr>
    </w:p>
    <w:p>
      <w:pPr>
        <w:jc w:val="both"/>
        <w:ind w:firstLine="259"/>
        <w:spacing w:after="0" w:line="287" w:lineRule="auto"/>
        <w:rPr>
          <w:sz w:val="20"/>
          <w:szCs w:val="20"/>
          <w:color w:val="auto"/>
        </w:rPr>
      </w:pPr>
      <w:r>
        <w:rPr>
          <w:rFonts w:ascii="Arial" w:cs="Arial" w:eastAsia="Arial" w:hAnsi="Arial"/>
          <w:sz w:val="13"/>
          <w:szCs w:val="13"/>
          <w:color w:val="auto"/>
        </w:rPr>
        <w:t>CERC’s results of operations are affected by seasonal fluctuations in the demand for natural gas and price movements of energy commodities as well as the optimization of margins through natural gas basis differentials. CERC’s results of operations are also affected by, among other things, the actions of various federal, state and local governmental authorities having jurisdiction over rates CERC charges, competition in CERC’s various business operations, the effectiveness of CERC’s risk management activities, debt service costs and income tax expense. For more information regarding factors that may affect the future results of operations for CERC’s business, please read “Risk Factors — Risk Factors Associated with Our Consolidated Financial Condition,” “— Risk Factors Affecting Natural Gas Distribution and Competitive Energy Services Businesses” and “— Other Risk Factors Affecting Our Businesses or CenterPoint Energy’s Interests in Enable Midstream Partners, LP” in Item 1A of Part I of the Registrants’ combined 2018 Form 10-K and in Item 1A of Part II of this Form 10-Q.</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5160" w:type="dxa"/>
            <w:vAlign w:val="bottom"/>
          </w:tcPr>
          <w:p>
            <w:pPr>
              <w:spacing w:after="0"/>
              <w:rPr>
                <w:sz w:val="13"/>
                <w:szCs w:val="13"/>
                <w:color w:val="auto"/>
              </w:rPr>
            </w:pPr>
          </w:p>
        </w:tc>
        <w:tc>
          <w:tcPr>
            <w:tcW w:w="2580" w:type="dxa"/>
            <w:vAlign w:val="bottom"/>
            <w:tcBorders>
              <w:bottom w:val="single" w:sz="8" w:color="auto"/>
            </w:tcBorders>
            <w:gridSpan w:val="4"/>
          </w:tcPr>
          <w:p>
            <w:pPr>
              <w:jc w:val="right"/>
              <w:ind w:right="53"/>
              <w:spacing w:after="0"/>
              <w:rPr>
                <w:sz w:val="20"/>
                <w:szCs w:val="20"/>
                <w:color w:val="auto"/>
              </w:rPr>
            </w:pPr>
            <w:r>
              <w:rPr>
                <w:rFonts w:ascii="Arial" w:cs="Arial" w:eastAsia="Arial" w:hAnsi="Arial"/>
                <w:sz w:val="11"/>
                <w:szCs w:val="11"/>
                <w:b w:val="1"/>
                <w:bCs w:val="1"/>
                <w:color w:val="auto"/>
              </w:rPr>
              <w:t>Three Months Ended September 30,</w:t>
            </w:r>
          </w:p>
        </w:tc>
        <w:tc>
          <w:tcPr>
            <w:tcW w:w="5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2640" w:type="dxa"/>
            <w:vAlign w:val="bottom"/>
            <w:tcBorders>
              <w:bottom w:val="single" w:sz="8" w:color="auto"/>
            </w:tcBorders>
            <w:gridSpan w:val="4"/>
          </w:tcPr>
          <w:p>
            <w:pPr>
              <w:jc w:val="right"/>
              <w:ind w:right="589"/>
              <w:spacing w:after="0"/>
              <w:rPr>
                <w:sz w:val="20"/>
                <w:szCs w:val="20"/>
                <w:color w:val="auto"/>
              </w:rPr>
            </w:pPr>
            <w:r>
              <w:rPr>
                <w:rFonts w:ascii="Arial" w:cs="Arial" w:eastAsia="Arial" w:hAnsi="Arial"/>
                <w:sz w:val="11"/>
                <w:szCs w:val="11"/>
                <w:b w:val="1"/>
                <w:bCs w:val="1"/>
                <w:color w:val="auto"/>
              </w:rPr>
              <w:t>Nine Months Ended September 30,</w:t>
            </w:r>
          </w:p>
        </w:tc>
      </w:tr>
      <w:tr>
        <w:trPr>
          <w:trHeight w:val="206"/>
        </w:trPr>
        <w:tc>
          <w:tcPr>
            <w:tcW w:w="5160" w:type="dxa"/>
            <w:vAlign w:val="bottom"/>
          </w:tcPr>
          <w:p>
            <w:pPr>
              <w:spacing w:after="0"/>
              <w:rPr>
                <w:sz w:val="17"/>
                <w:szCs w:val="17"/>
                <w:color w:val="auto"/>
              </w:rPr>
            </w:pPr>
          </w:p>
        </w:tc>
        <w:tc>
          <w:tcPr>
            <w:tcW w:w="960" w:type="dxa"/>
            <w:vAlign w:val="bottom"/>
            <w:tcBorders>
              <w:bottom w:val="single" w:sz="8" w:color="auto"/>
            </w:tcBorders>
          </w:tcPr>
          <w:p>
            <w:pPr>
              <w:jc w:val="right"/>
              <w:ind w:right="15"/>
              <w:spacing w:after="0"/>
              <w:rPr>
                <w:sz w:val="20"/>
                <w:szCs w:val="20"/>
                <w:color w:val="auto"/>
              </w:rPr>
            </w:pPr>
            <w:r>
              <w:rPr>
                <w:rFonts w:ascii="Arial" w:cs="Arial" w:eastAsia="Arial" w:hAnsi="Arial"/>
                <w:sz w:val="11"/>
                <w:szCs w:val="11"/>
                <w:b w:val="1"/>
                <w:bCs w:val="1"/>
                <w:color w:val="auto"/>
              </w:rPr>
              <w:t>2019</w:t>
            </w:r>
          </w:p>
        </w:tc>
        <w:tc>
          <w:tcPr>
            <w:tcW w:w="5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3"/>
              <w:spacing w:after="0"/>
              <w:rPr>
                <w:sz w:val="20"/>
                <w:szCs w:val="20"/>
                <w:color w:val="auto"/>
              </w:rPr>
            </w:pPr>
            <w:r>
              <w:rPr>
                <w:rFonts w:ascii="Arial" w:cs="Arial" w:eastAsia="Arial" w:hAnsi="Arial"/>
                <w:sz w:val="11"/>
                <w:szCs w:val="11"/>
                <w:b w:val="1"/>
                <w:bCs w:val="1"/>
                <w:color w:val="auto"/>
              </w:rPr>
              <w:t>2018</w:t>
            </w:r>
          </w:p>
        </w:tc>
        <w:tc>
          <w:tcPr>
            <w:tcW w:w="5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551"/>
              <w:spacing w:after="0"/>
              <w:rPr>
                <w:sz w:val="20"/>
                <w:szCs w:val="20"/>
                <w:color w:val="auto"/>
              </w:rPr>
            </w:pPr>
            <w:r>
              <w:rPr>
                <w:rFonts w:ascii="Arial" w:cs="Arial" w:eastAsia="Arial" w:hAnsi="Arial"/>
                <w:sz w:val="11"/>
                <w:szCs w:val="11"/>
                <w:b w:val="1"/>
                <w:bCs w:val="1"/>
                <w:color w:val="auto"/>
              </w:rPr>
              <w:t>2019</w:t>
            </w:r>
          </w:p>
        </w:tc>
        <w:tc>
          <w:tcPr>
            <w:tcW w:w="1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549"/>
              <w:spacing w:after="0"/>
              <w:rPr>
                <w:sz w:val="20"/>
                <w:szCs w:val="20"/>
                <w:color w:val="auto"/>
              </w:rPr>
            </w:pPr>
            <w:r>
              <w:rPr>
                <w:rFonts w:ascii="Arial" w:cs="Arial" w:eastAsia="Arial" w:hAnsi="Arial"/>
                <w:sz w:val="11"/>
                <w:szCs w:val="11"/>
                <w:b w:val="1"/>
                <w:bCs w:val="1"/>
                <w:color w:val="auto"/>
              </w:rPr>
              <w:t>2018</w:t>
            </w:r>
          </w:p>
        </w:tc>
      </w:tr>
      <w:tr>
        <w:trPr>
          <w:trHeight w:val="196"/>
        </w:trPr>
        <w:tc>
          <w:tcPr>
            <w:tcW w:w="5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80" w:type="dxa"/>
            <w:vAlign w:val="bottom"/>
            <w:gridSpan w:val="3"/>
          </w:tcPr>
          <w:p>
            <w:pPr>
              <w:jc w:val="right"/>
              <w:ind w:right="128"/>
              <w:spacing w:after="0"/>
              <w:rPr>
                <w:sz w:val="20"/>
                <w:szCs w:val="20"/>
                <w:color w:val="auto"/>
              </w:rPr>
            </w:pPr>
            <w:r>
              <w:rPr>
                <w:rFonts w:ascii="Arial" w:cs="Arial" w:eastAsia="Arial" w:hAnsi="Arial"/>
                <w:sz w:val="11"/>
                <w:szCs w:val="11"/>
                <w:b w:val="1"/>
                <w:bCs w:val="1"/>
                <w:color w:val="auto"/>
              </w:rPr>
              <w:t>(in millions)</w:t>
            </w: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0"/>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Revenues</w:t>
            </w:r>
          </w:p>
        </w:tc>
        <w:tc>
          <w:tcPr>
            <w:tcW w:w="960" w:type="dxa"/>
            <w:vAlign w:val="bottom"/>
            <w:tcBorders>
              <w:bottom w:val="single" w:sz="8" w:color="CCEEFF"/>
            </w:tcBorders>
            <w:shd w:val="clear" w:color="auto" w:fill="CCEEFF"/>
          </w:tcPr>
          <w:p>
            <w:pPr>
              <w:jc w:val="right"/>
              <w:ind w:right="795"/>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1,126</w:t>
            </w:r>
          </w:p>
        </w:tc>
        <w:tc>
          <w:tcPr>
            <w:tcW w:w="12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ind w:right="793"/>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1,312</w:t>
            </w:r>
          </w:p>
        </w:tc>
        <w:tc>
          <w:tcPr>
            <w:tcW w:w="12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4,836</w:t>
            </w:r>
          </w:p>
        </w:tc>
        <w:tc>
          <w:tcPr>
            <w:tcW w:w="1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jc w:val="right"/>
              <w:ind w:right="208"/>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5,040</w:t>
            </w:r>
          </w:p>
        </w:tc>
      </w:tr>
      <w:tr>
        <w:trPr>
          <w:trHeight w:val="193"/>
        </w:trPr>
        <w:tc>
          <w:tcPr>
            <w:tcW w:w="5160" w:type="dxa"/>
            <w:vAlign w:val="bottom"/>
          </w:tcPr>
          <w:p>
            <w:pPr>
              <w:ind w:left="20"/>
              <w:spacing w:after="0"/>
              <w:rPr>
                <w:sz w:val="20"/>
                <w:szCs w:val="20"/>
                <w:color w:val="auto"/>
              </w:rPr>
            </w:pPr>
            <w:r>
              <w:rPr>
                <w:rFonts w:ascii="Arial" w:cs="Arial" w:eastAsia="Arial" w:hAnsi="Arial"/>
                <w:sz w:val="14"/>
                <w:szCs w:val="14"/>
                <w:color w:val="auto"/>
              </w:rPr>
              <w:t>Expenses</w:t>
            </w:r>
          </w:p>
        </w:tc>
        <w:tc>
          <w:tcPr>
            <w:tcW w:w="960" w:type="dxa"/>
            <w:vAlign w:val="bottom"/>
          </w:tcPr>
          <w:p>
            <w:pPr>
              <w:spacing w:after="0"/>
              <w:rPr>
                <w:sz w:val="16"/>
                <w:szCs w:val="16"/>
                <w:color w:val="auto"/>
              </w:rPr>
            </w:pPr>
          </w:p>
        </w:tc>
        <w:tc>
          <w:tcPr>
            <w:tcW w:w="540" w:type="dxa"/>
            <w:vAlign w:val="bottom"/>
          </w:tcPr>
          <w:p>
            <w:pPr>
              <w:jc w:val="right"/>
              <w:ind w:right="48"/>
              <w:spacing w:after="0"/>
              <w:rPr>
                <w:sz w:val="20"/>
                <w:szCs w:val="20"/>
                <w:color w:val="auto"/>
              </w:rPr>
            </w:pPr>
            <w:r>
              <w:rPr>
                <w:rFonts w:ascii="Arial" w:cs="Arial" w:eastAsia="Arial" w:hAnsi="Arial"/>
                <w:sz w:val="14"/>
                <w:szCs w:val="14"/>
                <w:color w:val="auto"/>
              </w:rPr>
              <w:t>1,103</w:t>
            </w: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40" w:type="dxa"/>
            <w:vAlign w:val="bottom"/>
          </w:tcPr>
          <w:p>
            <w:pPr>
              <w:jc w:val="right"/>
              <w:ind w:right="49"/>
              <w:spacing w:after="0"/>
              <w:rPr>
                <w:sz w:val="20"/>
                <w:szCs w:val="20"/>
                <w:color w:val="auto"/>
              </w:rPr>
            </w:pPr>
            <w:r>
              <w:rPr>
                <w:rFonts w:ascii="Arial" w:cs="Arial" w:eastAsia="Arial" w:hAnsi="Arial"/>
                <w:sz w:val="14"/>
                <w:szCs w:val="14"/>
                <w:color w:val="auto"/>
              </w:rPr>
              <w:t>1,319</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60" w:type="dxa"/>
            <w:vAlign w:val="bottom"/>
          </w:tcPr>
          <w:p>
            <w:pPr>
              <w:jc w:val="right"/>
              <w:ind w:right="31"/>
              <w:spacing w:after="0"/>
              <w:rPr>
                <w:sz w:val="20"/>
                <w:szCs w:val="20"/>
                <w:color w:val="auto"/>
              </w:rPr>
            </w:pPr>
            <w:r>
              <w:rPr>
                <w:rFonts w:ascii="Arial" w:cs="Arial" w:eastAsia="Arial" w:hAnsi="Arial"/>
                <w:sz w:val="14"/>
                <w:szCs w:val="14"/>
                <w:color w:val="auto"/>
              </w:rPr>
              <w:t>4,559</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jc w:val="right"/>
              <w:ind w:right="29"/>
              <w:spacing w:after="0"/>
              <w:rPr>
                <w:sz w:val="20"/>
                <w:szCs w:val="20"/>
                <w:color w:val="auto"/>
              </w:rPr>
            </w:pPr>
            <w:r>
              <w:rPr>
                <w:rFonts w:ascii="Arial" w:cs="Arial" w:eastAsia="Arial" w:hAnsi="Arial"/>
                <w:sz w:val="14"/>
                <w:szCs w:val="14"/>
                <w:color w:val="auto"/>
              </w:rPr>
              <w:t>4,894</w:t>
            </w:r>
          </w:p>
        </w:tc>
      </w:tr>
      <w:tr>
        <w:trPr>
          <w:trHeight w:val="23"/>
        </w:trPr>
        <w:tc>
          <w:tcPr>
            <w:tcW w:w="516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86"/>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Operating Income (Loss)</w:t>
            </w:r>
          </w:p>
        </w:tc>
        <w:tc>
          <w:tcPr>
            <w:tcW w:w="96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23</w:t>
            </w:r>
          </w:p>
        </w:tc>
        <w:tc>
          <w:tcPr>
            <w:tcW w:w="12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2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277</w:t>
            </w:r>
          </w:p>
        </w:tc>
        <w:tc>
          <w:tcPr>
            <w:tcW w:w="12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146</w:t>
            </w:r>
          </w:p>
        </w:tc>
      </w:tr>
      <w:tr>
        <w:trPr>
          <w:trHeight w:val="193"/>
        </w:trPr>
        <w:tc>
          <w:tcPr>
            <w:tcW w:w="5160" w:type="dxa"/>
            <w:vAlign w:val="bottom"/>
          </w:tcPr>
          <w:p>
            <w:pPr>
              <w:ind w:left="20"/>
              <w:spacing w:after="0"/>
              <w:rPr>
                <w:sz w:val="20"/>
                <w:szCs w:val="20"/>
                <w:color w:val="auto"/>
              </w:rPr>
            </w:pPr>
            <w:r>
              <w:rPr>
                <w:rFonts w:ascii="Arial" w:cs="Arial" w:eastAsia="Arial" w:hAnsi="Arial"/>
                <w:sz w:val="14"/>
                <w:szCs w:val="14"/>
                <w:color w:val="auto"/>
              </w:rPr>
              <w:t>Interest and other finance charges</w:t>
            </w:r>
          </w:p>
        </w:tc>
        <w:tc>
          <w:tcPr>
            <w:tcW w:w="96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(28)</w:t>
            </w: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(30)</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(87)</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(92)</w:t>
            </w:r>
          </w:p>
        </w:tc>
      </w:tr>
      <w:tr>
        <w:trPr>
          <w:trHeight w:val="23"/>
        </w:trPr>
        <w:tc>
          <w:tcPr>
            <w:tcW w:w="5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16"/>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Other expense, net</w:t>
            </w:r>
          </w:p>
        </w:tc>
        <w:tc>
          <w:tcPr>
            <w:tcW w:w="96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2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w:t>
            </w:r>
          </w:p>
        </w:tc>
      </w:tr>
      <w:tr>
        <w:trPr>
          <w:trHeight w:val="184"/>
        </w:trPr>
        <w:tc>
          <w:tcPr>
            <w:tcW w:w="5160" w:type="dxa"/>
            <w:vAlign w:val="bottom"/>
          </w:tcPr>
          <w:p>
            <w:pPr>
              <w:ind w:left="20"/>
              <w:spacing w:after="0"/>
              <w:rPr>
                <w:sz w:val="20"/>
                <w:szCs w:val="20"/>
                <w:color w:val="auto"/>
              </w:rPr>
            </w:pPr>
            <w:r>
              <w:rPr>
                <w:rFonts w:ascii="Arial" w:cs="Arial" w:eastAsia="Arial" w:hAnsi="Arial"/>
                <w:sz w:val="14"/>
                <w:szCs w:val="14"/>
                <w:color w:val="auto"/>
              </w:rPr>
              <w:t>Income (loss) from continuing operations before income taxes</w:t>
            </w:r>
          </w:p>
        </w:tc>
        <w:tc>
          <w:tcPr>
            <w:tcW w:w="96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(37)</w:t>
            </w:r>
          </w:p>
        </w:tc>
        <w:tc>
          <w:tcPr>
            <w:tcW w:w="120" w:type="dxa"/>
            <w:vAlign w:val="bottom"/>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jc w:val="right"/>
              <w:ind w:right="31"/>
              <w:spacing w:after="0"/>
              <w:rPr>
                <w:sz w:val="20"/>
                <w:szCs w:val="20"/>
                <w:color w:val="auto"/>
              </w:rPr>
            </w:pPr>
            <w:r>
              <w:rPr>
                <w:rFonts w:ascii="Arial" w:cs="Arial" w:eastAsia="Arial" w:hAnsi="Arial"/>
                <w:sz w:val="14"/>
                <w:szCs w:val="14"/>
                <w:color w:val="auto"/>
              </w:rPr>
              <w:t>184</w:t>
            </w:r>
          </w:p>
        </w:tc>
        <w:tc>
          <w:tcPr>
            <w:tcW w:w="12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rPr>
              <w:t>49</w:t>
            </w:r>
          </w:p>
        </w:tc>
      </w:tr>
      <w:tr>
        <w:trPr>
          <w:trHeight w:val="23"/>
        </w:trPr>
        <w:tc>
          <w:tcPr>
            <w:tcW w:w="5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16"/>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Income tax expense (benefit)</w:t>
            </w:r>
          </w:p>
        </w:tc>
        <w:tc>
          <w:tcPr>
            <w:tcW w:w="96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2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25</w:t>
            </w: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14</w:t>
            </w:r>
          </w:p>
        </w:tc>
      </w:tr>
      <w:tr>
        <w:trPr>
          <w:trHeight w:val="184"/>
        </w:trPr>
        <w:tc>
          <w:tcPr>
            <w:tcW w:w="5160" w:type="dxa"/>
            <w:vAlign w:val="bottom"/>
          </w:tcPr>
          <w:p>
            <w:pPr>
              <w:ind w:left="20"/>
              <w:spacing w:after="0"/>
              <w:rPr>
                <w:sz w:val="20"/>
                <w:szCs w:val="20"/>
                <w:color w:val="auto"/>
              </w:rPr>
            </w:pPr>
            <w:r>
              <w:rPr>
                <w:rFonts w:ascii="Arial" w:cs="Arial" w:eastAsia="Arial" w:hAnsi="Arial"/>
                <w:sz w:val="14"/>
                <w:szCs w:val="14"/>
                <w:color w:val="auto"/>
              </w:rPr>
              <w:t>Income (loss) from continuing operations</w:t>
            </w:r>
          </w:p>
        </w:tc>
        <w:tc>
          <w:tcPr>
            <w:tcW w:w="96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(35)</w:t>
            </w:r>
          </w:p>
        </w:tc>
        <w:tc>
          <w:tcPr>
            <w:tcW w:w="120" w:type="dxa"/>
            <w:vAlign w:val="bottom"/>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jc w:val="right"/>
              <w:ind w:right="31"/>
              <w:spacing w:after="0"/>
              <w:rPr>
                <w:sz w:val="20"/>
                <w:szCs w:val="20"/>
                <w:color w:val="auto"/>
              </w:rPr>
            </w:pPr>
            <w:r>
              <w:rPr>
                <w:rFonts w:ascii="Arial" w:cs="Arial" w:eastAsia="Arial" w:hAnsi="Arial"/>
                <w:sz w:val="14"/>
                <w:szCs w:val="14"/>
                <w:color w:val="auto"/>
              </w:rPr>
              <w:t>159</w:t>
            </w:r>
          </w:p>
        </w:tc>
        <w:tc>
          <w:tcPr>
            <w:tcW w:w="12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rPr>
              <w:t>35</w:t>
            </w:r>
          </w:p>
        </w:tc>
      </w:tr>
      <w:tr>
        <w:trPr>
          <w:trHeight w:val="23"/>
        </w:trPr>
        <w:tc>
          <w:tcPr>
            <w:tcW w:w="5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16"/>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Income from discontinued operations, net of tax</w:t>
            </w:r>
          </w:p>
        </w:tc>
        <w:tc>
          <w:tcPr>
            <w:tcW w:w="96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44</w:t>
            </w:r>
          </w:p>
        </w:tc>
        <w:tc>
          <w:tcPr>
            <w:tcW w:w="12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140</w:t>
            </w:r>
          </w:p>
        </w:tc>
      </w:tr>
      <w:tr>
        <w:trPr>
          <w:trHeight w:val="200"/>
        </w:trPr>
        <w:tc>
          <w:tcPr>
            <w:tcW w:w="5160" w:type="dxa"/>
            <w:vAlign w:val="bottom"/>
          </w:tcPr>
          <w:p>
            <w:pPr>
              <w:ind w:left="20"/>
              <w:spacing w:after="0"/>
              <w:rPr>
                <w:sz w:val="20"/>
                <w:szCs w:val="20"/>
                <w:color w:val="auto"/>
              </w:rPr>
            </w:pPr>
            <w:r>
              <w:rPr>
                <w:rFonts w:ascii="Arial" w:cs="Arial" w:eastAsia="Arial" w:hAnsi="Arial"/>
                <w:sz w:val="14"/>
                <w:szCs w:val="14"/>
                <w:color w:val="auto"/>
              </w:rPr>
              <w:t>Net Income (Loss)</w:t>
            </w:r>
          </w:p>
        </w:tc>
        <w:tc>
          <w:tcPr>
            <w:tcW w:w="960" w:type="dxa"/>
            <w:vAlign w:val="bottom"/>
            <w:tcBorders>
              <w:top w:val="single" w:sz="8" w:color="auto"/>
              <w:bottom w:val="single" w:sz="8" w:color="auto"/>
            </w:tcBorders>
          </w:tcPr>
          <w:p>
            <w:pPr>
              <w:jc w:val="right"/>
              <w:ind w:right="795"/>
              <w:spacing w:after="0"/>
              <w:rPr>
                <w:sz w:val="20"/>
                <w:szCs w:val="20"/>
                <w:color w:val="auto"/>
              </w:rPr>
            </w:pPr>
            <w:r>
              <w:rPr>
                <w:rFonts w:ascii="Arial" w:cs="Arial" w:eastAsia="Arial" w:hAnsi="Arial"/>
                <w:sz w:val="14"/>
                <w:szCs w:val="14"/>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17"/>
                <w:szCs w:val="17"/>
                <w:color w:val="auto"/>
              </w:rPr>
            </w:pPr>
          </w:p>
        </w:tc>
        <w:tc>
          <w:tcPr>
            <w:tcW w:w="960" w:type="dxa"/>
            <w:vAlign w:val="bottom"/>
            <w:tcBorders>
              <w:top w:val="single" w:sz="8" w:color="auto"/>
              <w:bottom w:val="single" w:sz="8" w:color="auto"/>
            </w:tcBorders>
          </w:tcPr>
          <w:p>
            <w:pPr>
              <w:jc w:val="right"/>
              <w:ind w:right="793"/>
              <w:spacing w:after="0"/>
              <w:rPr>
                <w:sz w:val="20"/>
                <w:szCs w:val="20"/>
                <w:color w:val="auto"/>
              </w:rPr>
            </w:pPr>
            <w:r>
              <w:rPr>
                <w:rFonts w:ascii="Arial" w:cs="Arial" w:eastAsia="Arial" w:hAnsi="Arial"/>
                <w:sz w:val="14"/>
                <w:szCs w:val="14"/>
                <w:color w:val="auto"/>
              </w:rPr>
              <w:t>$</w:t>
            </w:r>
          </w:p>
        </w:tc>
        <w:tc>
          <w:tcPr>
            <w:tcW w:w="54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17"/>
                <w:szCs w:val="17"/>
                <w:color w:val="auto"/>
              </w:rPr>
            </w:pPr>
          </w:p>
        </w:tc>
        <w:tc>
          <w:tcPr>
            <w:tcW w:w="420" w:type="dxa"/>
            <w:vAlign w:val="bottom"/>
            <w:tcBorders>
              <w:top w:val="single" w:sz="8" w:color="auto"/>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4"/>
                <w:szCs w:val="14"/>
                <w:color w:val="auto"/>
              </w:rPr>
              <w:t>159</w:t>
            </w:r>
          </w:p>
        </w:tc>
        <w:tc>
          <w:tcPr>
            <w:tcW w:w="120" w:type="dxa"/>
            <w:vAlign w:val="bottom"/>
          </w:tcPr>
          <w:p>
            <w:pPr>
              <w:spacing w:after="0"/>
              <w:rPr>
                <w:sz w:val="17"/>
                <w:szCs w:val="17"/>
                <w:color w:val="auto"/>
              </w:rPr>
            </w:pPr>
          </w:p>
        </w:tc>
        <w:tc>
          <w:tcPr>
            <w:tcW w:w="360" w:type="dxa"/>
            <w:vAlign w:val="bottom"/>
            <w:tcBorders>
              <w:top w:val="single" w:sz="8" w:color="auto"/>
              <w:bottom w:val="single" w:sz="8" w:color="auto"/>
            </w:tcBorders>
          </w:tcPr>
          <w:p>
            <w:pPr>
              <w:jc w:val="right"/>
              <w:ind w:right="208"/>
              <w:spacing w:after="0"/>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175</w:t>
            </w:r>
          </w:p>
        </w:tc>
      </w:tr>
      <w:tr>
        <w:trPr>
          <w:trHeight w:val="20"/>
        </w:trPr>
        <w:tc>
          <w:tcPr>
            <w:tcW w:w="51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6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Three months ended September 30, 2019 compared to three months ended September 30, 2018</w:t>
      </w:r>
    </w:p>
    <w:p>
      <w:pPr>
        <w:spacing w:after="0" w:line="184" w:lineRule="exact"/>
        <w:rPr>
          <w:sz w:val="20"/>
          <w:szCs w:val="20"/>
          <w:color w:val="auto"/>
        </w:rPr>
      </w:pPr>
    </w:p>
    <w:p>
      <w:pPr>
        <w:ind w:left="260"/>
        <w:spacing w:after="0"/>
        <w:rPr>
          <w:sz w:val="20"/>
          <w:szCs w:val="20"/>
          <w:color w:val="auto"/>
        </w:rPr>
      </w:pPr>
      <w:r>
        <w:rPr>
          <w:rFonts w:ascii="Arial" w:cs="Arial" w:eastAsia="Arial" w:hAnsi="Arial"/>
          <w:sz w:val="14"/>
          <w:szCs w:val="14"/>
          <w:color w:val="auto"/>
        </w:rPr>
        <w:t>CERC reported a net loss of $7 million for the three months ended September 30, 2019 compared to net income of $9 million for the three months ended September 30, 2018.</w:t>
      </w:r>
    </w:p>
    <w:p>
      <w:pPr>
        <w:spacing w:after="0" w:line="184"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decrease of $16 million in net income was primarily due to the following key factors:</w:t>
      </w:r>
    </w:p>
    <w:p>
      <w:pPr>
        <w:spacing w:after="0" w:line="184" w:lineRule="exact"/>
        <w:rPr>
          <w:sz w:val="20"/>
          <w:szCs w:val="20"/>
          <w:color w:val="auto"/>
        </w:rPr>
      </w:pPr>
    </w:p>
    <w:p>
      <w:pPr>
        <w:ind w:left="520" w:hanging="255"/>
        <w:spacing w:after="0"/>
        <w:tabs>
          <w:tab w:leader="none" w:pos="520" w:val="left"/>
        </w:tabs>
        <w:numPr>
          <w:ilvl w:val="0"/>
          <w:numId w:val="64"/>
        </w:numPr>
        <w:rPr>
          <w:rFonts w:ascii="Arial" w:cs="Arial" w:eastAsia="Arial" w:hAnsi="Arial"/>
          <w:sz w:val="14"/>
          <w:szCs w:val="14"/>
          <w:color w:val="auto"/>
        </w:rPr>
      </w:pPr>
      <w:r>
        <w:rPr>
          <w:rFonts w:ascii="Arial" w:cs="Arial" w:eastAsia="Arial" w:hAnsi="Arial"/>
          <w:sz w:val="14"/>
          <w:szCs w:val="14"/>
          <w:color w:val="auto"/>
        </w:rPr>
        <w:t>a $44 million decrease in income from discontinued operations, net of tax, discussed further in Notes 9 and 13 to the Interim Condensed Financial Statements; and</w:t>
      </w:r>
    </w:p>
    <w:p>
      <w:pPr>
        <w:spacing w:after="0" w:line="183" w:lineRule="exact"/>
        <w:rPr>
          <w:rFonts w:ascii="Arial" w:cs="Arial" w:eastAsia="Arial" w:hAnsi="Arial"/>
          <w:sz w:val="14"/>
          <w:szCs w:val="14"/>
          <w:color w:val="auto"/>
        </w:rPr>
      </w:pPr>
    </w:p>
    <w:p>
      <w:pPr>
        <w:ind w:left="520" w:hanging="255"/>
        <w:spacing w:after="0"/>
        <w:tabs>
          <w:tab w:leader="none" w:pos="520" w:val="left"/>
        </w:tabs>
        <w:numPr>
          <w:ilvl w:val="0"/>
          <w:numId w:val="64"/>
        </w:numPr>
        <w:rPr>
          <w:rFonts w:ascii="Arial" w:cs="Arial" w:eastAsia="Arial" w:hAnsi="Arial"/>
          <w:sz w:val="14"/>
          <w:szCs w:val="14"/>
          <w:color w:val="auto"/>
        </w:rPr>
      </w:pPr>
      <w:r>
        <w:rPr>
          <w:rFonts w:ascii="Arial" w:cs="Arial" w:eastAsia="Arial" w:hAnsi="Arial"/>
          <w:sz w:val="14"/>
          <w:szCs w:val="14"/>
          <w:color w:val="auto"/>
        </w:rPr>
        <w:t>a $3 million increase in Other expense, net primarily due to higher pension accruals.</w:t>
      </w:r>
    </w:p>
    <w:p>
      <w:pPr>
        <w:spacing w:after="0" w:line="200" w:lineRule="exact"/>
        <w:rPr>
          <w:sz w:val="20"/>
          <w:szCs w:val="20"/>
          <w:color w:val="auto"/>
        </w:rPr>
      </w:pPr>
    </w:p>
    <w:p>
      <w:pPr>
        <w:spacing w:after="0" w:line="329" w:lineRule="exact"/>
        <w:rPr>
          <w:sz w:val="20"/>
          <w:szCs w:val="20"/>
          <w:color w:val="auto"/>
        </w:rPr>
      </w:pPr>
    </w:p>
    <w:p>
      <w:pPr>
        <w:ind w:left="520" w:hanging="255"/>
        <w:spacing w:after="0"/>
        <w:tabs>
          <w:tab w:leader="none" w:pos="520" w:val="left"/>
        </w:tabs>
        <w:numPr>
          <w:ilvl w:val="0"/>
          <w:numId w:val="65"/>
        </w:numPr>
        <w:rPr>
          <w:rFonts w:ascii="Arial" w:cs="Arial" w:eastAsia="Arial" w:hAnsi="Arial"/>
          <w:sz w:val="14"/>
          <w:szCs w:val="14"/>
          <w:color w:val="auto"/>
        </w:rPr>
      </w:pPr>
      <w:r>
        <w:rPr>
          <w:rFonts w:ascii="Arial" w:cs="Arial" w:eastAsia="Arial" w:hAnsi="Arial"/>
          <w:sz w:val="14"/>
          <w:szCs w:val="14"/>
          <w:color w:val="auto"/>
        </w:rPr>
        <w:t>a $30 million increase in operating income discussed below in Results of Operations by Reportable Segment; and</w:t>
      </w:r>
    </w:p>
    <w:p>
      <w:pPr>
        <w:spacing w:after="0" w:line="183" w:lineRule="exact"/>
        <w:rPr>
          <w:rFonts w:ascii="Arial" w:cs="Arial" w:eastAsia="Arial" w:hAnsi="Arial"/>
          <w:sz w:val="14"/>
          <w:szCs w:val="14"/>
          <w:color w:val="auto"/>
        </w:rPr>
      </w:pPr>
    </w:p>
    <w:p>
      <w:pPr>
        <w:ind w:left="520" w:hanging="255"/>
        <w:spacing w:after="0"/>
        <w:tabs>
          <w:tab w:leader="none" w:pos="520" w:val="left"/>
        </w:tabs>
        <w:numPr>
          <w:ilvl w:val="0"/>
          <w:numId w:val="65"/>
        </w:numPr>
        <w:rPr>
          <w:rFonts w:ascii="Arial" w:cs="Arial" w:eastAsia="Arial" w:hAnsi="Arial"/>
          <w:sz w:val="14"/>
          <w:szCs w:val="14"/>
          <w:color w:val="auto"/>
        </w:rPr>
      </w:pPr>
      <w:r>
        <w:rPr>
          <w:rFonts w:ascii="Arial" w:cs="Arial" w:eastAsia="Arial" w:hAnsi="Arial"/>
          <w:sz w:val="14"/>
          <w:szCs w:val="14"/>
          <w:color w:val="auto"/>
        </w:rPr>
        <w:t>a $2 million decrease in interest and other finance charges.</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Nine months ended September 30, 2019 compared to nine months ended September 30, 2018</w:t>
      </w:r>
    </w:p>
    <w:p>
      <w:pPr>
        <w:spacing w:after="0" w:line="184" w:lineRule="exact"/>
        <w:rPr>
          <w:sz w:val="20"/>
          <w:szCs w:val="20"/>
          <w:color w:val="auto"/>
        </w:rPr>
      </w:pPr>
    </w:p>
    <w:p>
      <w:pPr>
        <w:ind w:left="260"/>
        <w:spacing w:after="0"/>
        <w:rPr>
          <w:sz w:val="20"/>
          <w:szCs w:val="20"/>
          <w:color w:val="auto"/>
        </w:rPr>
      </w:pPr>
      <w:r>
        <w:rPr>
          <w:rFonts w:ascii="Arial" w:cs="Arial" w:eastAsia="Arial" w:hAnsi="Arial"/>
          <w:sz w:val="14"/>
          <w:szCs w:val="14"/>
          <w:color w:val="auto"/>
        </w:rPr>
        <w:t>CERC reported net income of $159 million for the nine months ended September 30, 2019 compared to net income of $175 million for the nine months ended September 30, 2018.</w:t>
      </w:r>
    </w:p>
    <w:p>
      <w:pPr>
        <w:spacing w:after="0" w:line="184"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decrease of $16 million in net income was primarily due to the the following key factors:</w:t>
      </w:r>
    </w:p>
    <w:p>
      <w:pPr>
        <w:spacing w:after="0" w:line="184" w:lineRule="exact"/>
        <w:rPr>
          <w:sz w:val="20"/>
          <w:szCs w:val="20"/>
          <w:color w:val="auto"/>
        </w:rPr>
      </w:pPr>
    </w:p>
    <w:p>
      <w:pPr>
        <w:ind w:left="520" w:hanging="255"/>
        <w:spacing w:after="0"/>
        <w:tabs>
          <w:tab w:leader="none" w:pos="520" w:val="left"/>
        </w:tabs>
        <w:numPr>
          <w:ilvl w:val="0"/>
          <w:numId w:val="66"/>
        </w:numPr>
        <w:rPr>
          <w:rFonts w:ascii="Arial" w:cs="Arial" w:eastAsia="Arial" w:hAnsi="Arial"/>
          <w:sz w:val="14"/>
          <w:szCs w:val="14"/>
          <w:color w:val="auto"/>
        </w:rPr>
      </w:pPr>
      <w:r>
        <w:rPr>
          <w:rFonts w:ascii="Arial" w:cs="Arial" w:eastAsia="Arial" w:hAnsi="Arial"/>
          <w:sz w:val="14"/>
          <w:szCs w:val="14"/>
          <w:color w:val="auto"/>
        </w:rPr>
        <w:t>a $140 million decrease in income from discontinued operations, net of tax, discussed further in Notes 9 and 13 to the Interim Condensed Financial Statements; and</w:t>
      </w:r>
    </w:p>
    <w:p>
      <w:pPr>
        <w:spacing w:after="0" w:line="183" w:lineRule="exact"/>
        <w:rPr>
          <w:rFonts w:ascii="Arial" w:cs="Arial" w:eastAsia="Arial" w:hAnsi="Arial"/>
          <w:sz w:val="14"/>
          <w:szCs w:val="14"/>
          <w:color w:val="auto"/>
        </w:rPr>
      </w:pPr>
    </w:p>
    <w:p>
      <w:pPr>
        <w:ind w:left="520" w:hanging="255"/>
        <w:spacing w:after="0"/>
        <w:tabs>
          <w:tab w:leader="none" w:pos="520" w:val="left"/>
        </w:tabs>
        <w:numPr>
          <w:ilvl w:val="0"/>
          <w:numId w:val="66"/>
        </w:numPr>
        <w:rPr>
          <w:rFonts w:ascii="Arial" w:cs="Arial" w:eastAsia="Arial" w:hAnsi="Arial"/>
          <w:sz w:val="14"/>
          <w:szCs w:val="14"/>
          <w:color w:val="auto"/>
        </w:rPr>
      </w:pPr>
      <w:r>
        <w:rPr>
          <w:rFonts w:ascii="Arial" w:cs="Arial" w:eastAsia="Arial" w:hAnsi="Arial"/>
          <w:sz w:val="14"/>
          <w:szCs w:val="14"/>
          <w:color w:val="auto"/>
        </w:rPr>
        <w:t>an $11 million increase in income tax expense due to higher income from continuing operations, partially offset by the lower effective tax rate as explained below.</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70</w:t>
      </w:r>
    </w:p>
    <w:p>
      <w:pPr>
        <w:sectPr>
          <w:pgSz w:w="11900" w:h="16838" w:orient="portrait"/>
          <w:cols w:equalWidth="0" w:num="1">
            <w:col w:w="11460"/>
          </w:cols>
          <w:pgMar w:left="220" w:top="129" w:right="219" w:bottom="1440" w:gutter="0" w:footer="0" w:header="0"/>
        </w:sectPr>
      </w:pPr>
    </w:p>
    <w:bookmarkStart w:id="80" w:name="page81"/>
    <w:bookmarkEnd w:id="80"/>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205"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These decreases were partially offset by the following:</w:t>
      </w:r>
    </w:p>
    <w:p>
      <w:pPr>
        <w:spacing w:after="0" w:line="184" w:lineRule="exact"/>
        <w:rPr>
          <w:sz w:val="20"/>
          <w:szCs w:val="20"/>
          <w:color w:val="auto"/>
        </w:rPr>
      </w:pPr>
    </w:p>
    <w:p>
      <w:pPr>
        <w:ind w:left="520" w:hanging="255"/>
        <w:spacing w:after="0"/>
        <w:tabs>
          <w:tab w:leader="none" w:pos="520" w:val="left"/>
        </w:tabs>
        <w:numPr>
          <w:ilvl w:val="0"/>
          <w:numId w:val="67"/>
        </w:numPr>
        <w:rPr>
          <w:rFonts w:ascii="Arial" w:cs="Arial" w:eastAsia="Arial" w:hAnsi="Arial"/>
          <w:sz w:val="14"/>
          <w:szCs w:val="14"/>
          <w:color w:val="auto"/>
        </w:rPr>
      </w:pPr>
      <w:r>
        <w:rPr>
          <w:rFonts w:ascii="Arial" w:cs="Arial" w:eastAsia="Arial" w:hAnsi="Arial"/>
          <w:sz w:val="14"/>
          <w:szCs w:val="14"/>
          <w:color w:val="auto"/>
        </w:rPr>
        <w:t>a $131 million increase in operating income discussed below in Results of Operations by Reportable Segment; and</w:t>
      </w:r>
    </w:p>
    <w:p>
      <w:pPr>
        <w:spacing w:after="0" w:line="183" w:lineRule="exact"/>
        <w:rPr>
          <w:rFonts w:ascii="Arial" w:cs="Arial" w:eastAsia="Arial" w:hAnsi="Arial"/>
          <w:sz w:val="14"/>
          <w:szCs w:val="14"/>
          <w:color w:val="auto"/>
        </w:rPr>
      </w:pPr>
    </w:p>
    <w:p>
      <w:pPr>
        <w:ind w:left="520" w:hanging="255"/>
        <w:spacing w:after="0"/>
        <w:tabs>
          <w:tab w:leader="none" w:pos="520" w:val="left"/>
        </w:tabs>
        <w:numPr>
          <w:ilvl w:val="0"/>
          <w:numId w:val="67"/>
        </w:numPr>
        <w:rPr>
          <w:rFonts w:ascii="Arial" w:cs="Arial" w:eastAsia="Arial" w:hAnsi="Arial"/>
          <w:sz w:val="14"/>
          <w:szCs w:val="14"/>
          <w:color w:val="auto"/>
        </w:rPr>
      </w:pPr>
      <w:r>
        <w:rPr>
          <w:rFonts w:ascii="Arial" w:cs="Arial" w:eastAsia="Arial" w:hAnsi="Arial"/>
          <w:sz w:val="14"/>
          <w:szCs w:val="14"/>
          <w:color w:val="auto"/>
        </w:rPr>
        <w:t>a $5 million decrease in interest and other finance charges.</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Income Tax Expense - Continuing Operations</w:t>
      </w:r>
    </w:p>
    <w:p>
      <w:pPr>
        <w:spacing w:after="0" w:line="184" w:lineRule="exact"/>
        <w:rPr>
          <w:sz w:val="20"/>
          <w:szCs w:val="20"/>
          <w:color w:val="auto"/>
        </w:rPr>
      </w:pPr>
    </w:p>
    <w:p>
      <w:pPr>
        <w:jc w:val="both"/>
        <w:ind w:firstLine="259"/>
        <w:spacing w:after="0" w:line="262" w:lineRule="auto"/>
        <w:rPr>
          <w:sz w:val="20"/>
          <w:szCs w:val="20"/>
          <w:color w:val="auto"/>
        </w:rPr>
      </w:pPr>
      <w:r>
        <w:rPr>
          <w:rFonts w:ascii="Arial" w:cs="Arial" w:eastAsia="Arial" w:hAnsi="Arial"/>
          <w:sz w:val="14"/>
          <w:szCs w:val="14"/>
          <w:color w:val="auto"/>
        </w:rPr>
        <w:t>CERC’s effective tax rate on income from continuing operations for the three months ended September 30, 2019 was 13% compared to 5% for the three months ended September 30, 2018. CERC’s effective tax rate on income from continuing operations for the nine months ended September 30, 2019 was 14% compared to 29% for the nine months ended September 30, 2018. CERC’s higher effective tax rate on loss from continuing operations for the three months ended September 30, 2019 compared to the three months ended September 30, 2018 was primarily due to a decrease in the amount of amortization of the net regulatory EDIT liability, which was partially offset by the absence of a change in the valuation allowance on certain state net operating losses in 2019, the effects of which are compounded by the book loss in the three months ended September 30, 2019. CERC’s lower effective tax rate for the nine months ended September 30, 2019 compared to the nine months ended September 30, 2018 was primarily due to an increase in the amount of amortization of the net regulatory EDIT liability, which was partially offset by the impact of changes in valuation allowances on certain state net operating losses in 2019.</w:t>
      </w:r>
    </w:p>
    <w:p>
      <w:pPr>
        <w:spacing w:after="0" w:line="145" w:lineRule="exact"/>
        <w:rPr>
          <w:sz w:val="20"/>
          <w:szCs w:val="20"/>
          <w:color w:val="auto"/>
        </w:rPr>
      </w:pPr>
    </w:p>
    <w:p>
      <w:pPr>
        <w:ind w:left="3800"/>
        <w:spacing w:after="0"/>
        <w:rPr>
          <w:sz w:val="20"/>
          <w:szCs w:val="20"/>
          <w:color w:val="auto"/>
        </w:rPr>
      </w:pPr>
      <w:r>
        <w:rPr>
          <w:rFonts w:ascii="Arial" w:cs="Arial" w:eastAsia="Arial" w:hAnsi="Arial"/>
          <w:sz w:val="14"/>
          <w:szCs w:val="14"/>
          <w:b w:val="1"/>
          <w:bCs w:val="1"/>
          <w:color w:val="auto"/>
        </w:rPr>
        <w:t>RESULTS OF OPERATIONS BY REPORTABLE SEGMENT</w:t>
      </w:r>
    </w:p>
    <w:p>
      <w:pPr>
        <w:spacing w:after="0" w:line="188" w:lineRule="exact"/>
        <w:rPr>
          <w:sz w:val="20"/>
          <w:szCs w:val="20"/>
          <w:color w:val="auto"/>
        </w:rPr>
      </w:pPr>
    </w:p>
    <w:p>
      <w:pPr>
        <w:ind w:left="260"/>
        <w:spacing w:after="0"/>
        <w:rPr>
          <w:sz w:val="20"/>
          <w:szCs w:val="20"/>
          <w:color w:val="auto"/>
        </w:rPr>
      </w:pPr>
      <w:r>
        <w:rPr>
          <w:rFonts w:ascii="Arial" w:cs="Arial" w:eastAsia="Arial" w:hAnsi="Arial"/>
          <w:sz w:val="14"/>
          <w:szCs w:val="14"/>
          <w:color w:val="auto"/>
        </w:rPr>
        <w:t>As of September 30, 2019, reportable segments by Registrant were as follows: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840" w:type="dxa"/>
            <w:vAlign w:val="bottom"/>
            <w:vMerge w:val="restart"/>
          </w:tcPr>
          <w:p>
            <w:pPr>
              <w:ind w:left="640"/>
              <w:spacing w:after="0"/>
              <w:rPr>
                <w:sz w:val="20"/>
                <w:szCs w:val="20"/>
                <w:color w:val="auto"/>
              </w:rPr>
            </w:pPr>
            <w:r>
              <w:rPr>
                <w:rFonts w:ascii="Arial" w:cs="Arial" w:eastAsia="Arial" w:hAnsi="Arial"/>
                <w:sz w:val="11"/>
                <w:szCs w:val="11"/>
                <w:b w:val="1"/>
                <w:bCs w:val="1"/>
                <w:color w:val="auto"/>
              </w:rPr>
              <w:t>Registrants</w:t>
            </w:r>
          </w:p>
        </w:tc>
        <w:tc>
          <w:tcPr>
            <w:tcW w:w="120" w:type="dxa"/>
            <w:vAlign w:val="bottom"/>
            <w:vMerge w:val="restart"/>
          </w:tcPr>
          <w:p>
            <w:pPr>
              <w:spacing w:after="0"/>
              <w:rPr>
                <w:sz w:val="10"/>
                <w:szCs w:val="10"/>
                <w:color w:val="auto"/>
              </w:rPr>
            </w:pPr>
          </w:p>
        </w:tc>
        <w:tc>
          <w:tcPr>
            <w:tcW w:w="126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9"/>
              </w:rPr>
              <w:t>Houston Electric T&amp;D</w:t>
            </w:r>
          </w:p>
        </w:tc>
        <w:tc>
          <w:tcPr>
            <w:tcW w:w="120" w:type="dxa"/>
            <w:vAlign w:val="bottom"/>
            <w:vMerge w:val="restart"/>
          </w:tcPr>
          <w:p>
            <w:pPr>
              <w:spacing w:after="0"/>
              <w:rPr>
                <w:sz w:val="10"/>
                <w:szCs w:val="10"/>
                <w:color w:val="auto"/>
              </w:rPr>
            </w:pPr>
          </w:p>
        </w:tc>
        <w:tc>
          <w:tcPr>
            <w:tcW w:w="138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8"/>
              </w:rPr>
              <w:t>Indiana Electric</w:t>
            </w:r>
          </w:p>
        </w:tc>
        <w:tc>
          <w:tcPr>
            <w:tcW w:w="138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7"/>
              </w:rPr>
              <w:t>Natural Gas</w:t>
            </w:r>
          </w:p>
        </w:tc>
        <w:tc>
          <w:tcPr>
            <w:tcW w:w="138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6"/>
              </w:rPr>
              <w:t>Energy</w:t>
            </w:r>
          </w:p>
        </w:tc>
        <w:tc>
          <w:tcPr>
            <w:tcW w:w="126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5"/>
              </w:rPr>
              <w:t>Infrastructure Services</w:t>
            </w:r>
          </w:p>
        </w:tc>
        <w:tc>
          <w:tcPr>
            <w:tcW w:w="120" w:type="dxa"/>
            <w:vAlign w:val="bottom"/>
            <w:vMerge w:val="restart"/>
          </w:tcPr>
          <w:p>
            <w:pPr>
              <w:spacing w:after="0"/>
              <w:rPr>
                <w:sz w:val="10"/>
                <w:szCs w:val="10"/>
                <w:color w:val="auto"/>
              </w:rPr>
            </w:pPr>
          </w:p>
        </w:tc>
        <w:tc>
          <w:tcPr>
            <w:tcW w:w="124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4"/>
              </w:rPr>
              <w:t>Midstream Investments</w:t>
            </w:r>
          </w:p>
        </w:tc>
        <w:tc>
          <w:tcPr>
            <w:tcW w:w="120" w:type="dxa"/>
            <w:vAlign w:val="bottom"/>
            <w:vMerge w:val="restart"/>
          </w:tcPr>
          <w:p>
            <w:pPr>
              <w:spacing w:after="0"/>
              <w:rPr>
                <w:sz w:val="10"/>
                <w:szCs w:val="10"/>
                <w:color w:val="auto"/>
              </w:rPr>
            </w:pPr>
          </w:p>
        </w:tc>
        <w:tc>
          <w:tcPr>
            <w:tcW w:w="124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6"/>
              </w:rPr>
              <w:t>Corporate and Other</w:t>
            </w:r>
          </w:p>
        </w:tc>
        <w:tc>
          <w:tcPr>
            <w:tcW w:w="0" w:type="dxa"/>
            <w:vAlign w:val="bottom"/>
          </w:tcPr>
          <w:p>
            <w:pPr>
              <w:spacing w:after="0"/>
              <w:rPr>
                <w:sz w:val="1"/>
                <w:szCs w:val="1"/>
                <w:color w:val="auto"/>
              </w:rPr>
            </w:pPr>
          </w:p>
        </w:tc>
      </w:tr>
      <w:tr>
        <w:trPr>
          <w:trHeight w:val="153"/>
        </w:trPr>
        <w:tc>
          <w:tcPr>
            <w:tcW w:w="1840" w:type="dxa"/>
            <w:vAlign w:val="bottom"/>
            <w:tcBorders>
              <w:bottom w:val="single" w:sz="8" w:color="auto"/>
            </w:tcBorders>
            <w:vMerge w:val="continue"/>
          </w:tcPr>
          <w:p>
            <w:pPr>
              <w:spacing w:after="0"/>
              <w:rPr>
                <w:sz w:val="13"/>
                <w:szCs w:val="13"/>
                <w:color w:val="auto"/>
              </w:rPr>
            </w:pPr>
          </w:p>
        </w:tc>
        <w:tc>
          <w:tcPr>
            <w:tcW w:w="120" w:type="dxa"/>
            <w:vAlign w:val="bottom"/>
            <w:tcBorders>
              <w:bottom w:val="single" w:sz="8" w:color="CCEEFF"/>
            </w:tcBorders>
            <w:vMerge w:val="continue"/>
          </w:tcPr>
          <w:p>
            <w:pPr>
              <w:spacing w:after="0"/>
              <w:rPr>
                <w:sz w:val="13"/>
                <w:szCs w:val="13"/>
                <w:color w:val="auto"/>
              </w:rPr>
            </w:pPr>
          </w:p>
        </w:tc>
        <w:tc>
          <w:tcPr>
            <w:tcW w:w="1260" w:type="dxa"/>
            <w:vAlign w:val="bottom"/>
            <w:tcBorders>
              <w:bottom w:val="single" w:sz="8" w:color="auto"/>
            </w:tcBorders>
            <w:vMerge w:val="continue"/>
          </w:tcPr>
          <w:p>
            <w:pPr>
              <w:spacing w:after="0"/>
              <w:rPr>
                <w:sz w:val="13"/>
                <w:szCs w:val="13"/>
                <w:color w:val="auto"/>
              </w:rPr>
            </w:pPr>
          </w:p>
        </w:tc>
        <w:tc>
          <w:tcPr>
            <w:tcW w:w="120" w:type="dxa"/>
            <w:vAlign w:val="bottom"/>
            <w:tcBorders>
              <w:bottom w:val="single" w:sz="8" w:color="CCEEFF"/>
            </w:tcBorders>
            <w:vMerge w:val="continue"/>
          </w:tcPr>
          <w:p>
            <w:pPr>
              <w:spacing w:after="0"/>
              <w:rPr>
                <w:sz w:val="13"/>
                <w:szCs w:val="13"/>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7"/>
              </w:rPr>
              <w:t>Integrated</w:t>
            </w:r>
          </w:p>
        </w:tc>
        <w:tc>
          <w:tcPr>
            <w:tcW w:w="120" w:type="dxa"/>
            <w:vAlign w:val="bottom"/>
            <w:tcBorders>
              <w:bottom w:val="single" w:sz="8" w:color="CCEEFF"/>
            </w:tcBorders>
          </w:tcPr>
          <w:p>
            <w:pPr>
              <w:spacing w:after="0"/>
              <w:rPr>
                <w:sz w:val="13"/>
                <w:szCs w:val="13"/>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7"/>
              </w:rPr>
              <w:t>Distribution</w:t>
            </w:r>
          </w:p>
        </w:tc>
        <w:tc>
          <w:tcPr>
            <w:tcW w:w="120" w:type="dxa"/>
            <w:vAlign w:val="bottom"/>
            <w:tcBorders>
              <w:bottom w:val="single" w:sz="8" w:color="CCEEFF"/>
            </w:tcBorders>
          </w:tcPr>
          <w:p>
            <w:pPr>
              <w:spacing w:after="0"/>
              <w:rPr>
                <w:sz w:val="13"/>
                <w:szCs w:val="13"/>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2"/>
              </w:rPr>
              <w:t>Services</w:t>
            </w:r>
          </w:p>
        </w:tc>
        <w:tc>
          <w:tcPr>
            <w:tcW w:w="120" w:type="dxa"/>
            <w:vAlign w:val="bottom"/>
            <w:tcBorders>
              <w:bottom w:val="single" w:sz="8" w:color="CCEEFF"/>
            </w:tcBorders>
          </w:tcPr>
          <w:p>
            <w:pPr>
              <w:spacing w:after="0"/>
              <w:rPr>
                <w:sz w:val="13"/>
                <w:szCs w:val="13"/>
                <w:color w:val="auto"/>
              </w:rPr>
            </w:pPr>
          </w:p>
        </w:tc>
        <w:tc>
          <w:tcPr>
            <w:tcW w:w="1260" w:type="dxa"/>
            <w:vAlign w:val="bottom"/>
            <w:tcBorders>
              <w:bottom w:val="single" w:sz="8" w:color="auto"/>
            </w:tcBorders>
            <w:vMerge w:val="continue"/>
          </w:tcPr>
          <w:p>
            <w:pPr>
              <w:spacing w:after="0"/>
              <w:rPr>
                <w:sz w:val="13"/>
                <w:szCs w:val="13"/>
                <w:color w:val="auto"/>
              </w:rPr>
            </w:pPr>
          </w:p>
        </w:tc>
        <w:tc>
          <w:tcPr>
            <w:tcW w:w="120" w:type="dxa"/>
            <w:vAlign w:val="bottom"/>
            <w:tcBorders>
              <w:bottom w:val="single" w:sz="8" w:color="CCEEFF"/>
            </w:tcBorders>
            <w:vMerge w:val="continue"/>
          </w:tcPr>
          <w:p>
            <w:pPr>
              <w:spacing w:after="0"/>
              <w:rPr>
                <w:sz w:val="13"/>
                <w:szCs w:val="13"/>
                <w:color w:val="auto"/>
              </w:rPr>
            </w:pPr>
          </w:p>
        </w:tc>
        <w:tc>
          <w:tcPr>
            <w:tcW w:w="1240" w:type="dxa"/>
            <w:vAlign w:val="bottom"/>
            <w:tcBorders>
              <w:bottom w:val="single" w:sz="8" w:color="auto"/>
            </w:tcBorders>
            <w:vMerge w:val="continue"/>
          </w:tcPr>
          <w:p>
            <w:pPr>
              <w:spacing w:after="0"/>
              <w:rPr>
                <w:sz w:val="13"/>
                <w:szCs w:val="13"/>
                <w:color w:val="auto"/>
              </w:rPr>
            </w:pPr>
          </w:p>
        </w:tc>
        <w:tc>
          <w:tcPr>
            <w:tcW w:w="120" w:type="dxa"/>
            <w:vAlign w:val="bottom"/>
            <w:tcBorders>
              <w:bottom w:val="single" w:sz="8" w:color="CCEEFF"/>
            </w:tcBorders>
            <w:vMerge w:val="continue"/>
          </w:tcPr>
          <w:p>
            <w:pPr>
              <w:spacing w:after="0"/>
              <w:rPr>
                <w:sz w:val="13"/>
                <w:szCs w:val="13"/>
                <w:color w:val="auto"/>
              </w:rPr>
            </w:pPr>
          </w:p>
        </w:tc>
        <w:tc>
          <w:tcPr>
            <w:tcW w:w="124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0"/>
        </w:trPr>
        <w:tc>
          <w:tcPr>
            <w:tcW w:w="196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CenterPoint Energy</w:t>
            </w:r>
          </w:p>
        </w:tc>
        <w:tc>
          <w:tcPr>
            <w:tcW w:w="1380" w:type="dxa"/>
            <w:vAlign w:val="bottom"/>
            <w:gridSpan w:val="2"/>
            <w:shd w:val="clear" w:color="auto" w:fill="CCEEFF"/>
          </w:tcPr>
          <w:p>
            <w:pPr>
              <w:jc w:val="center"/>
              <w:ind w:right="100"/>
              <w:spacing w:after="0"/>
              <w:rPr>
                <w:sz w:val="20"/>
                <w:szCs w:val="20"/>
                <w:color w:val="auto"/>
              </w:rPr>
            </w:pPr>
            <w:r>
              <w:rPr>
                <w:rFonts w:ascii="Arial" w:cs="Arial" w:eastAsia="Arial" w:hAnsi="Arial"/>
                <w:sz w:val="11"/>
                <w:szCs w:val="11"/>
                <w:color w:val="auto"/>
              </w:rPr>
              <w:t>X</w:t>
            </w:r>
          </w:p>
        </w:tc>
        <w:tc>
          <w:tcPr>
            <w:tcW w:w="1380" w:type="dxa"/>
            <w:vAlign w:val="bottom"/>
            <w:gridSpan w:val="2"/>
            <w:shd w:val="clear" w:color="auto" w:fill="CCEEFF"/>
          </w:tcPr>
          <w:p>
            <w:pPr>
              <w:jc w:val="center"/>
              <w:ind w:right="100"/>
              <w:spacing w:after="0"/>
              <w:rPr>
                <w:sz w:val="20"/>
                <w:szCs w:val="20"/>
                <w:color w:val="auto"/>
              </w:rPr>
            </w:pPr>
            <w:r>
              <w:rPr>
                <w:rFonts w:ascii="Arial" w:cs="Arial" w:eastAsia="Arial" w:hAnsi="Arial"/>
                <w:sz w:val="11"/>
                <w:szCs w:val="11"/>
                <w:color w:val="auto"/>
              </w:rPr>
              <w:t>X</w:t>
            </w:r>
          </w:p>
        </w:tc>
        <w:tc>
          <w:tcPr>
            <w:tcW w:w="1380" w:type="dxa"/>
            <w:vAlign w:val="bottom"/>
            <w:gridSpan w:val="2"/>
            <w:shd w:val="clear" w:color="auto" w:fill="CCEEFF"/>
          </w:tcPr>
          <w:p>
            <w:pPr>
              <w:jc w:val="center"/>
              <w:ind w:right="100"/>
              <w:spacing w:after="0"/>
              <w:rPr>
                <w:sz w:val="20"/>
                <w:szCs w:val="20"/>
                <w:color w:val="auto"/>
              </w:rPr>
            </w:pPr>
            <w:r>
              <w:rPr>
                <w:rFonts w:ascii="Arial" w:cs="Arial" w:eastAsia="Arial" w:hAnsi="Arial"/>
                <w:sz w:val="11"/>
                <w:szCs w:val="11"/>
                <w:color w:val="auto"/>
              </w:rPr>
              <w:t>X</w:t>
            </w:r>
          </w:p>
        </w:tc>
        <w:tc>
          <w:tcPr>
            <w:tcW w:w="1380" w:type="dxa"/>
            <w:vAlign w:val="bottom"/>
            <w:gridSpan w:val="2"/>
            <w:shd w:val="clear" w:color="auto" w:fill="CCEEFF"/>
          </w:tcPr>
          <w:p>
            <w:pPr>
              <w:jc w:val="center"/>
              <w:ind w:right="100"/>
              <w:spacing w:after="0"/>
              <w:rPr>
                <w:sz w:val="20"/>
                <w:szCs w:val="20"/>
                <w:color w:val="auto"/>
              </w:rPr>
            </w:pPr>
            <w:r>
              <w:rPr>
                <w:rFonts w:ascii="Arial" w:cs="Arial" w:eastAsia="Arial" w:hAnsi="Arial"/>
                <w:sz w:val="11"/>
                <w:szCs w:val="11"/>
                <w:color w:val="auto"/>
              </w:rPr>
              <w:t>X</w:t>
            </w:r>
          </w:p>
        </w:tc>
        <w:tc>
          <w:tcPr>
            <w:tcW w:w="1380" w:type="dxa"/>
            <w:vAlign w:val="bottom"/>
            <w:gridSpan w:val="2"/>
            <w:shd w:val="clear" w:color="auto" w:fill="CCEEFF"/>
          </w:tcPr>
          <w:p>
            <w:pPr>
              <w:jc w:val="center"/>
              <w:ind w:right="100"/>
              <w:spacing w:after="0"/>
              <w:rPr>
                <w:sz w:val="20"/>
                <w:szCs w:val="20"/>
                <w:color w:val="auto"/>
              </w:rPr>
            </w:pPr>
            <w:r>
              <w:rPr>
                <w:rFonts w:ascii="Arial" w:cs="Arial" w:eastAsia="Arial" w:hAnsi="Arial"/>
                <w:sz w:val="11"/>
                <w:szCs w:val="11"/>
                <w:color w:val="auto"/>
              </w:rPr>
              <w:t>X</w:t>
            </w:r>
          </w:p>
        </w:tc>
        <w:tc>
          <w:tcPr>
            <w:tcW w:w="1360" w:type="dxa"/>
            <w:vAlign w:val="bottom"/>
            <w:gridSpan w:val="2"/>
            <w:shd w:val="clear" w:color="auto" w:fill="CCEEFF"/>
          </w:tcPr>
          <w:p>
            <w:pPr>
              <w:jc w:val="center"/>
              <w:ind w:right="120"/>
              <w:spacing w:after="0"/>
              <w:rPr>
                <w:sz w:val="20"/>
                <w:szCs w:val="20"/>
                <w:color w:val="auto"/>
              </w:rPr>
            </w:pPr>
            <w:r>
              <w:rPr>
                <w:rFonts w:ascii="Arial" w:cs="Arial" w:eastAsia="Arial" w:hAnsi="Arial"/>
                <w:sz w:val="11"/>
                <w:szCs w:val="11"/>
                <w:color w:val="auto"/>
              </w:rPr>
              <w:t>X</w:t>
            </w:r>
          </w:p>
        </w:tc>
        <w:tc>
          <w:tcPr>
            <w:tcW w:w="1240" w:type="dxa"/>
            <w:vAlign w:val="bottom"/>
            <w:shd w:val="clear" w:color="auto" w:fill="CCEEFF"/>
          </w:tcPr>
          <w:p>
            <w:pPr>
              <w:jc w:val="center"/>
              <w:spacing w:after="0"/>
              <w:rPr>
                <w:sz w:val="20"/>
                <w:szCs w:val="20"/>
                <w:color w:val="auto"/>
              </w:rPr>
            </w:pPr>
            <w:r>
              <w:rPr>
                <w:rFonts w:ascii="Arial" w:cs="Arial" w:eastAsia="Arial" w:hAnsi="Arial"/>
                <w:sz w:val="11"/>
                <w:szCs w:val="11"/>
                <w:color w:val="auto"/>
              </w:rPr>
              <w:t>X</w:t>
            </w:r>
          </w:p>
        </w:tc>
        <w:tc>
          <w:tcPr>
            <w:tcW w:w="0" w:type="dxa"/>
            <w:vAlign w:val="bottom"/>
          </w:tcPr>
          <w:p>
            <w:pPr>
              <w:spacing w:after="0"/>
              <w:rPr>
                <w:sz w:val="1"/>
                <w:szCs w:val="1"/>
                <w:color w:val="auto"/>
              </w:rPr>
            </w:pPr>
          </w:p>
        </w:tc>
      </w:tr>
      <w:tr>
        <w:trPr>
          <w:trHeight w:val="211"/>
        </w:trPr>
        <w:tc>
          <w:tcPr>
            <w:tcW w:w="1960" w:type="dxa"/>
            <w:vAlign w:val="bottom"/>
            <w:gridSpan w:val="2"/>
          </w:tcPr>
          <w:p>
            <w:pPr>
              <w:ind w:left="20"/>
              <w:spacing w:after="0"/>
              <w:rPr>
                <w:sz w:val="20"/>
                <w:szCs w:val="20"/>
                <w:color w:val="auto"/>
              </w:rPr>
            </w:pPr>
            <w:r>
              <w:rPr>
                <w:rFonts w:ascii="Arial" w:cs="Arial" w:eastAsia="Arial" w:hAnsi="Arial"/>
                <w:sz w:val="11"/>
                <w:szCs w:val="11"/>
                <w:color w:val="auto"/>
              </w:rPr>
              <w:t>Houston Electric</w:t>
            </w:r>
          </w:p>
        </w:tc>
        <w:tc>
          <w:tcPr>
            <w:tcW w:w="1380" w:type="dxa"/>
            <w:vAlign w:val="bottom"/>
            <w:gridSpan w:val="2"/>
          </w:tcPr>
          <w:p>
            <w:pPr>
              <w:jc w:val="center"/>
              <w:ind w:right="100"/>
              <w:spacing w:after="0"/>
              <w:rPr>
                <w:sz w:val="20"/>
                <w:szCs w:val="20"/>
                <w:color w:val="auto"/>
              </w:rPr>
            </w:pPr>
            <w:r>
              <w:rPr>
                <w:rFonts w:ascii="Arial" w:cs="Arial" w:eastAsia="Arial" w:hAnsi="Arial"/>
                <w:sz w:val="11"/>
                <w:szCs w:val="11"/>
                <w:color w:val="auto"/>
              </w:rPr>
              <w:t>X</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96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CERC</w:t>
            </w: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center"/>
              <w:ind w:right="100"/>
              <w:spacing w:after="0"/>
              <w:rPr>
                <w:sz w:val="20"/>
                <w:szCs w:val="20"/>
                <w:color w:val="auto"/>
              </w:rPr>
            </w:pPr>
            <w:r>
              <w:rPr>
                <w:rFonts w:ascii="Arial" w:cs="Arial" w:eastAsia="Arial" w:hAnsi="Arial"/>
                <w:sz w:val="11"/>
                <w:szCs w:val="11"/>
                <w:color w:val="auto"/>
              </w:rPr>
              <w:t>X</w:t>
            </w:r>
          </w:p>
        </w:tc>
        <w:tc>
          <w:tcPr>
            <w:tcW w:w="1380" w:type="dxa"/>
            <w:vAlign w:val="bottom"/>
            <w:gridSpan w:val="2"/>
            <w:shd w:val="clear" w:color="auto" w:fill="CCEEFF"/>
          </w:tcPr>
          <w:p>
            <w:pPr>
              <w:jc w:val="center"/>
              <w:ind w:right="100"/>
              <w:spacing w:after="0"/>
              <w:rPr>
                <w:sz w:val="20"/>
                <w:szCs w:val="20"/>
                <w:color w:val="auto"/>
              </w:rPr>
            </w:pPr>
            <w:r>
              <w:rPr>
                <w:rFonts w:ascii="Arial" w:cs="Arial" w:eastAsia="Arial" w:hAnsi="Arial"/>
                <w:sz w:val="11"/>
                <w:szCs w:val="11"/>
                <w:color w:val="auto"/>
              </w:rPr>
              <w:t>X</w:t>
            </w: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1"/>
                <w:szCs w:val="11"/>
                <w:color w:val="auto"/>
              </w:rPr>
              <w:t>X</w:t>
            </w:r>
          </w:p>
        </w:tc>
        <w:tc>
          <w:tcPr>
            <w:tcW w:w="0" w:type="dxa"/>
            <w:vAlign w:val="bottom"/>
          </w:tcPr>
          <w:p>
            <w:pPr>
              <w:spacing w:after="0"/>
              <w:rPr>
                <w:sz w:val="1"/>
                <w:szCs w:val="1"/>
                <w:color w:val="auto"/>
              </w:rPr>
            </w:pPr>
          </w:p>
        </w:tc>
      </w:tr>
    </w:tbl>
    <w:p>
      <w:pPr>
        <w:spacing w:after="0" w:line="162" w:lineRule="exact"/>
        <w:rPr>
          <w:sz w:val="20"/>
          <w:szCs w:val="20"/>
          <w:color w:val="auto"/>
        </w:rPr>
      </w:pPr>
    </w:p>
    <w:p>
      <w:pPr>
        <w:jc w:val="both"/>
        <w:ind w:firstLine="259"/>
        <w:spacing w:after="0" w:line="272" w:lineRule="auto"/>
        <w:rPr>
          <w:sz w:val="20"/>
          <w:szCs w:val="20"/>
          <w:color w:val="auto"/>
        </w:rPr>
      </w:pPr>
      <w:r>
        <w:rPr>
          <w:rFonts w:ascii="Arial" w:cs="Arial" w:eastAsia="Arial" w:hAnsi="Arial"/>
          <w:sz w:val="14"/>
          <w:szCs w:val="14"/>
          <w:color w:val="auto"/>
        </w:rPr>
        <w:t>The Midstream Investments reportable segment consists of CenterPoint Energy’s equity investment in Enable and is therefore not included in the operating income table below. Included in revenues are intersegment sales, which are accounted for as if the sales were to third parties at current market prices. See Note 16 to the Interim Condensed Financial Statements for details of reportable segments by Registrant.</w:t>
      </w:r>
    </w:p>
    <w:p>
      <w:pPr>
        <w:spacing w:after="0" w:line="142"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following table presents operating income (loss) for each reportable segment:</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70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2280" w:type="dxa"/>
            <w:vAlign w:val="bottom"/>
            <w:gridSpan w:val="4"/>
            <w:vMerge w:val="restart"/>
          </w:tcPr>
          <w:p>
            <w:pPr>
              <w:jc w:val="right"/>
              <w:spacing w:after="0"/>
              <w:rPr>
                <w:sz w:val="20"/>
                <w:szCs w:val="20"/>
                <w:color w:val="auto"/>
              </w:rPr>
            </w:pPr>
            <w:r>
              <w:rPr>
                <w:rFonts w:ascii="Arial" w:cs="Arial" w:eastAsia="Arial" w:hAnsi="Arial"/>
                <w:sz w:val="11"/>
                <w:szCs w:val="11"/>
                <w:b w:val="1"/>
                <w:bCs w:val="1"/>
                <w:color w:val="auto"/>
              </w:rPr>
              <w:t>Three Months Ended September 30,</w:t>
            </w: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80" w:type="dxa"/>
            <w:vAlign w:val="bottom"/>
            <w:gridSpan w:val="3"/>
          </w:tcPr>
          <w:p>
            <w:pPr>
              <w:jc w:val="right"/>
              <w:spacing w:after="0"/>
              <w:rPr>
                <w:sz w:val="20"/>
                <w:szCs w:val="20"/>
                <w:color w:val="auto"/>
              </w:rPr>
            </w:pPr>
            <w:r>
              <w:rPr>
                <w:rFonts w:ascii="Arial" w:cs="Arial" w:eastAsia="Arial" w:hAnsi="Arial"/>
                <w:sz w:val="11"/>
                <w:szCs w:val="11"/>
                <w:b w:val="1"/>
                <w:bCs w:val="1"/>
                <w:color w:val="auto"/>
              </w:rPr>
              <w:t>Nine Months Ended</w:t>
            </w: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47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280" w:type="dxa"/>
            <w:vAlign w:val="bottom"/>
            <w:tcBorders>
              <w:bottom w:val="single" w:sz="8" w:color="auto"/>
            </w:tcBorders>
            <w:gridSpan w:val="4"/>
            <w:vMerge w:val="continue"/>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gridSpan w:val="3"/>
          </w:tcPr>
          <w:p>
            <w:pPr>
              <w:jc w:val="right"/>
              <w:ind w:right="88"/>
              <w:spacing w:after="0"/>
              <w:rPr>
                <w:sz w:val="20"/>
                <w:szCs w:val="20"/>
                <w:color w:val="auto"/>
              </w:rPr>
            </w:pPr>
            <w:r>
              <w:rPr>
                <w:rFonts w:ascii="Arial" w:cs="Arial" w:eastAsia="Arial" w:hAnsi="Arial"/>
                <w:sz w:val="11"/>
                <w:szCs w:val="11"/>
                <w:b w:val="1"/>
                <w:bCs w:val="1"/>
                <w:color w:val="auto"/>
              </w:rPr>
              <w:t>September 30,</w:t>
            </w:r>
          </w:p>
        </w:tc>
        <w:tc>
          <w:tcPr>
            <w:tcW w:w="7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4700" w:type="dxa"/>
            <w:vAlign w:val="bottom"/>
          </w:tcPr>
          <w:p>
            <w:pPr>
              <w:spacing w:after="0"/>
              <w:rPr>
                <w:sz w:val="17"/>
                <w:szCs w:val="17"/>
                <w:color w:val="auto"/>
              </w:rPr>
            </w:pPr>
          </w:p>
        </w:tc>
        <w:tc>
          <w:tcPr>
            <w:tcW w:w="2220" w:type="dxa"/>
            <w:vAlign w:val="bottom"/>
            <w:gridSpan w:val="2"/>
          </w:tcPr>
          <w:p>
            <w:pPr>
              <w:jc w:val="right"/>
              <w:ind w:right="15"/>
              <w:spacing w:after="0"/>
              <w:rPr>
                <w:sz w:val="20"/>
                <w:szCs w:val="20"/>
                <w:color w:val="auto"/>
              </w:rPr>
            </w:pPr>
            <w:r>
              <w:rPr>
                <w:rFonts w:ascii="Arial" w:cs="Arial" w:eastAsia="Arial" w:hAnsi="Arial"/>
                <w:sz w:val="11"/>
                <w:szCs w:val="11"/>
                <w:b w:val="1"/>
                <w:bCs w:val="1"/>
                <w:color w:val="auto"/>
              </w:rPr>
              <w:t>2019</w:t>
            </w: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ind w:right="71"/>
              <w:spacing w:after="0"/>
              <w:rPr>
                <w:sz w:val="20"/>
                <w:szCs w:val="20"/>
                <w:color w:val="auto"/>
              </w:rPr>
            </w:pPr>
            <w:r>
              <w:rPr>
                <w:rFonts w:ascii="Arial" w:cs="Arial" w:eastAsia="Arial" w:hAnsi="Arial"/>
                <w:sz w:val="11"/>
                <w:szCs w:val="11"/>
                <w:b w:val="1"/>
                <w:bCs w:val="1"/>
                <w:color w:val="auto"/>
              </w:rPr>
              <w:t>2018</w:t>
            </w: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jc w:val="right"/>
              <w:ind w:right="451"/>
              <w:spacing w:after="0"/>
              <w:rPr>
                <w:sz w:val="20"/>
                <w:szCs w:val="20"/>
                <w:color w:val="auto"/>
              </w:rPr>
            </w:pPr>
            <w:r>
              <w:rPr>
                <w:rFonts w:ascii="Arial" w:cs="Arial" w:eastAsia="Arial" w:hAnsi="Arial"/>
                <w:sz w:val="11"/>
                <w:szCs w:val="11"/>
                <w:b w:val="1"/>
                <w:bCs w:val="1"/>
                <w:color w:val="auto"/>
              </w:rPr>
              <w:t>2019</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60" w:type="dxa"/>
            <w:vAlign w:val="bottom"/>
          </w:tcPr>
          <w:p>
            <w:pPr>
              <w:jc w:val="right"/>
              <w:ind w:right="429"/>
              <w:spacing w:after="0"/>
              <w:rPr>
                <w:sz w:val="20"/>
                <w:szCs w:val="20"/>
                <w:color w:val="auto"/>
              </w:rPr>
            </w:pPr>
            <w:r>
              <w:rPr>
                <w:rFonts w:ascii="Arial" w:cs="Arial" w:eastAsia="Arial" w:hAnsi="Arial"/>
                <w:sz w:val="11"/>
                <w:szCs w:val="11"/>
                <w:b w:val="1"/>
                <w:bCs w:val="1"/>
                <w:color w:val="auto"/>
                <w:w w:val="97"/>
              </w:rPr>
              <w:t>2018</w:t>
            </w:r>
          </w:p>
        </w:tc>
        <w:tc>
          <w:tcPr>
            <w:tcW w:w="0" w:type="dxa"/>
            <w:vAlign w:val="bottom"/>
          </w:tcPr>
          <w:p>
            <w:pPr>
              <w:spacing w:after="0"/>
              <w:rPr>
                <w:sz w:val="1"/>
                <w:szCs w:val="1"/>
                <w:color w:val="auto"/>
              </w:rPr>
            </w:pPr>
          </w:p>
        </w:tc>
      </w:tr>
      <w:tr>
        <w:trPr>
          <w:trHeight w:val="191"/>
        </w:trPr>
        <w:tc>
          <w:tcPr>
            <w:tcW w:w="47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gridSpan w:val="3"/>
          </w:tcPr>
          <w:p>
            <w:pPr>
              <w:jc w:val="right"/>
              <w:ind w:right="68"/>
              <w:spacing w:after="0"/>
              <w:rPr>
                <w:sz w:val="20"/>
                <w:szCs w:val="20"/>
                <w:color w:val="auto"/>
              </w:rPr>
            </w:pPr>
            <w:r>
              <w:rPr>
                <w:rFonts w:ascii="Arial" w:cs="Arial" w:eastAsia="Arial" w:hAnsi="Arial"/>
                <w:sz w:val="11"/>
                <w:szCs w:val="11"/>
                <w:b w:val="1"/>
                <w:bCs w:val="1"/>
                <w:color w:val="auto"/>
              </w:rPr>
              <w:t>(in millions)</w:t>
            </w:r>
          </w:p>
        </w:tc>
        <w:tc>
          <w:tcPr>
            <w:tcW w:w="9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4700" w:type="dxa"/>
            <w:vAlign w:val="bottom"/>
          </w:tcPr>
          <w:p>
            <w:pPr>
              <w:ind w:left="20"/>
              <w:spacing w:after="0"/>
              <w:rPr>
                <w:sz w:val="20"/>
                <w:szCs w:val="20"/>
                <w:color w:val="auto"/>
              </w:rPr>
            </w:pPr>
            <w:r>
              <w:rPr>
                <w:rFonts w:ascii="Arial" w:cs="Arial" w:eastAsia="Arial" w:hAnsi="Arial"/>
                <w:sz w:val="14"/>
                <w:szCs w:val="14"/>
                <w:b w:val="1"/>
                <w:bCs w:val="1"/>
                <w:color w:val="auto"/>
              </w:rPr>
              <w:t>CenterPoint Energy</w:t>
            </w:r>
          </w:p>
        </w:tc>
        <w:tc>
          <w:tcPr>
            <w:tcW w:w="13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47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Houston Electric T&amp;D</w:t>
            </w:r>
          </w:p>
        </w:tc>
        <w:tc>
          <w:tcPr>
            <w:tcW w:w="2220" w:type="dxa"/>
            <w:vAlign w:val="bottom"/>
            <w:tcBorders>
              <w:bottom w:val="single" w:sz="8" w:color="CCEEFF"/>
            </w:tcBorders>
            <w:gridSpan w:val="2"/>
            <w:shd w:val="clear" w:color="auto" w:fill="CCEEFF"/>
          </w:tcPr>
          <w:p>
            <w:pPr>
              <w:jc w:val="right"/>
              <w:ind w:right="675"/>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269</w:t>
            </w:r>
          </w:p>
        </w:tc>
        <w:tc>
          <w:tcPr>
            <w:tcW w:w="12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ind w:right="731"/>
              <w:spacing w:after="0"/>
              <w:rPr>
                <w:sz w:val="20"/>
                <w:szCs w:val="20"/>
                <w:color w:val="auto"/>
              </w:rPr>
            </w:pPr>
            <w:r>
              <w:rPr>
                <w:rFonts w:ascii="Arial" w:cs="Arial" w:eastAsia="Arial" w:hAnsi="Arial"/>
                <w:sz w:val="14"/>
                <w:szCs w:val="14"/>
                <w:color w:val="auto"/>
                <w:w w:val="76"/>
              </w:rPr>
              <w:t>$</w:t>
            </w:r>
          </w:p>
        </w:tc>
        <w:tc>
          <w:tcPr>
            <w:tcW w:w="38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227</w:t>
            </w:r>
          </w:p>
        </w:tc>
        <w:tc>
          <w:tcPr>
            <w:tcW w:w="1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522</w:t>
            </w:r>
          </w:p>
        </w:tc>
        <w:tc>
          <w:tcPr>
            <w:tcW w:w="10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523</w:t>
            </w:r>
          </w:p>
        </w:tc>
        <w:tc>
          <w:tcPr>
            <w:tcW w:w="0" w:type="dxa"/>
            <w:vAlign w:val="bottom"/>
          </w:tcPr>
          <w:p>
            <w:pPr>
              <w:spacing w:after="0"/>
              <w:rPr>
                <w:sz w:val="1"/>
                <w:szCs w:val="1"/>
                <w:color w:val="auto"/>
              </w:rPr>
            </w:pPr>
          </w:p>
        </w:tc>
      </w:tr>
      <w:tr>
        <w:trPr>
          <w:trHeight w:val="193"/>
        </w:trPr>
        <w:tc>
          <w:tcPr>
            <w:tcW w:w="4700" w:type="dxa"/>
            <w:vAlign w:val="bottom"/>
          </w:tcPr>
          <w:p>
            <w:pPr>
              <w:ind w:left="20"/>
              <w:spacing w:after="0"/>
              <w:rPr>
                <w:sz w:val="20"/>
                <w:szCs w:val="20"/>
                <w:color w:val="auto"/>
              </w:rPr>
            </w:pPr>
            <w:r>
              <w:rPr>
                <w:rFonts w:ascii="Arial" w:cs="Arial" w:eastAsia="Arial" w:hAnsi="Arial"/>
                <w:sz w:val="14"/>
                <w:szCs w:val="14"/>
                <w:color w:val="auto"/>
              </w:rPr>
              <w:t>Indiana Electric Integrated</w:t>
            </w:r>
          </w:p>
        </w:tc>
        <w:tc>
          <w:tcPr>
            <w:tcW w:w="13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40" w:type="dxa"/>
            <w:vAlign w:val="bottom"/>
          </w:tcPr>
          <w:p>
            <w:pPr>
              <w:jc w:val="right"/>
              <w:ind w:right="48"/>
              <w:spacing w:after="0"/>
              <w:rPr>
                <w:sz w:val="20"/>
                <w:szCs w:val="20"/>
                <w:color w:val="auto"/>
              </w:rPr>
            </w:pPr>
            <w:r>
              <w:rPr>
                <w:rFonts w:ascii="Arial" w:cs="Arial" w:eastAsia="Arial" w:hAnsi="Arial"/>
                <w:sz w:val="14"/>
                <w:szCs w:val="14"/>
                <w:color w:val="auto"/>
              </w:rPr>
              <w:t>48</w:t>
            </w: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6"/>
                <w:szCs w:val="16"/>
                <w:color w:val="auto"/>
              </w:rPr>
            </w:pPr>
          </w:p>
        </w:tc>
        <w:tc>
          <w:tcPr>
            <w:tcW w:w="900" w:type="dxa"/>
            <w:vAlign w:val="bottom"/>
          </w:tcPr>
          <w:p>
            <w:pPr>
              <w:jc w:val="right"/>
              <w:ind w:right="51"/>
              <w:spacing w:after="0"/>
              <w:rPr>
                <w:sz w:val="20"/>
                <w:szCs w:val="20"/>
                <w:color w:val="auto"/>
              </w:rPr>
            </w:pPr>
            <w:r>
              <w:rPr>
                <w:rFonts w:ascii="Arial" w:cs="Arial" w:eastAsia="Arial" w:hAnsi="Arial"/>
                <w:sz w:val="14"/>
                <w:szCs w:val="14"/>
                <w:color w:val="auto"/>
              </w:rPr>
              <w:t>64</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
        </w:trPr>
        <w:tc>
          <w:tcPr>
            <w:tcW w:w="47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Natural Gas Distribution</w:t>
            </w:r>
          </w:p>
        </w:tc>
        <w:tc>
          <w:tcPr>
            <w:tcW w:w="138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27</w:t>
            </w:r>
          </w:p>
        </w:tc>
        <w:tc>
          <w:tcPr>
            <w:tcW w:w="12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3</w:t>
            </w:r>
          </w:p>
        </w:tc>
        <w:tc>
          <w:tcPr>
            <w:tcW w:w="1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241</w:t>
            </w:r>
          </w:p>
        </w:tc>
        <w:tc>
          <w:tcPr>
            <w:tcW w:w="10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166</w:t>
            </w:r>
          </w:p>
        </w:tc>
        <w:tc>
          <w:tcPr>
            <w:tcW w:w="0" w:type="dxa"/>
            <w:vAlign w:val="bottom"/>
          </w:tcPr>
          <w:p>
            <w:pPr>
              <w:spacing w:after="0"/>
              <w:rPr>
                <w:sz w:val="1"/>
                <w:szCs w:val="1"/>
                <w:color w:val="auto"/>
              </w:rPr>
            </w:pPr>
          </w:p>
        </w:tc>
      </w:tr>
      <w:tr>
        <w:trPr>
          <w:trHeight w:val="193"/>
        </w:trPr>
        <w:tc>
          <w:tcPr>
            <w:tcW w:w="4700" w:type="dxa"/>
            <w:vAlign w:val="bottom"/>
          </w:tcPr>
          <w:p>
            <w:pPr>
              <w:ind w:left="20"/>
              <w:spacing w:after="0"/>
              <w:rPr>
                <w:sz w:val="20"/>
                <w:szCs w:val="20"/>
                <w:color w:val="auto"/>
              </w:rPr>
            </w:pPr>
            <w:r>
              <w:rPr>
                <w:rFonts w:ascii="Arial" w:cs="Arial" w:eastAsia="Arial" w:hAnsi="Arial"/>
                <w:sz w:val="14"/>
                <w:szCs w:val="14"/>
                <w:color w:val="auto"/>
              </w:rPr>
              <w:t>Energy Services</w:t>
            </w:r>
          </w:p>
        </w:tc>
        <w:tc>
          <w:tcPr>
            <w:tcW w:w="13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40" w:type="dxa"/>
            <w:vAlign w:val="bottom"/>
          </w:tcPr>
          <w:p>
            <w:pPr>
              <w:jc w:val="right"/>
              <w:ind w:right="4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00" w:type="dxa"/>
            <w:vAlign w:val="bottom"/>
          </w:tcPr>
          <w:p>
            <w:pPr>
              <w:jc w:val="right"/>
              <w:ind w:right="51"/>
              <w:spacing w:after="0"/>
              <w:rPr>
                <w:sz w:val="20"/>
                <w:szCs w:val="20"/>
                <w:color w:val="auto"/>
              </w:rPr>
            </w:pPr>
            <w:r>
              <w:rPr>
                <w:rFonts w:ascii="Arial" w:cs="Arial" w:eastAsia="Arial" w:hAnsi="Arial"/>
                <w:sz w:val="14"/>
                <w:szCs w:val="14"/>
                <w:color w:val="auto"/>
              </w:rPr>
              <w:t>64</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23"/>
        </w:trPr>
        <w:tc>
          <w:tcPr>
            <w:tcW w:w="47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Infrastructure Services</w:t>
            </w:r>
          </w:p>
        </w:tc>
        <w:tc>
          <w:tcPr>
            <w:tcW w:w="138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42</w:t>
            </w:r>
          </w:p>
        </w:tc>
        <w:tc>
          <w:tcPr>
            <w:tcW w:w="12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50</w:t>
            </w:r>
          </w:p>
        </w:tc>
        <w:tc>
          <w:tcPr>
            <w:tcW w:w="10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3"/>
        </w:trPr>
        <w:tc>
          <w:tcPr>
            <w:tcW w:w="4700" w:type="dxa"/>
            <w:vAlign w:val="bottom"/>
          </w:tcPr>
          <w:p>
            <w:pPr>
              <w:ind w:left="20"/>
              <w:spacing w:after="0"/>
              <w:rPr>
                <w:sz w:val="20"/>
                <w:szCs w:val="20"/>
                <w:color w:val="auto"/>
              </w:rPr>
            </w:pPr>
            <w:r>
              <w:rPr>
                <w:rFonts w:ascii="Arial" w:cs="Arial" w:eastAsia="Arial" w:hAnsi="Arial"/>
                <w:sz w:val="14"/>
                <w:szCs w:val="14"/>
                <w:color w:val="auto"/>
              </w:rPr>
              <w:t>Corporate and Other</w:t>
            </w:r>
          </w:p>
        </w:tc>
        <w:tc>
          <w:tcPr>
            <w:tcW w:w="13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40" w:type="dxa"/>
            <w:vAlign w:val="bottom"/>
          </w:tcPr>
          <w:p>
            <w:pPr>
              <w:jc w:val="right"/>
              <w:ind w:right="48"/>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80" w:type="dxa"/>
            <w:vAlign w:val="bottom"/>
          </w:tcPr>
          <w:p>
            <w:pPr>
              <w:jc w:val="right"/>
              <w:ind w:right="49"/>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3"/>
        </w:trPr>
        <w:tc>
          <w:tcPr>
            <w:tcW w:w="470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4700" w:type="dxa"/>
            <w:vAlign w:val="bottom"/>
            <w:shd w:val="clear" w:color="auto" w:fill="CCEEFF"/>
          </w:tcPr>
          <w:p>
            <w:pPr>
              <w:ind w:left="400"/>
              <w:spacing w:after="0"/>
              <w:rPr>
                <w:sz w:val="20"/>
                <w:szCs w:val="20"/>
                <w:color w:val="auto"/>
              </w:rPr>
            </w:pPr>
            <w:r>
              <w:rPr>
                <w:rFonts w:ascii="Arial" w:cs="Arial" w:eastAsia="Arial" w:hAnsi="Arial"/>
                <w:sz w:val="14"/>
                <w:szCs w:val="14"/>
                <w:color w:val="auto"/>
              </w:rPr>
              <w:t>Total CenterPoint Energy Consolidated Operating Income</w:t>
            </w:r>
          </w:p>
        </w:tc>
        <w:tc>
          <w:tcPr>
            <w:tcW w:w="2220" w:type="dxa"/>
            <w:vAlign w:val="bottom"/>
            <w:gridSpan w:val="2"/>
            <w:shd w:val="clear" w:color="auto" w:fill="CCEEFF"/>
          </w:tcPr>
          <w:p>
            <w:pPr>
              <w:jc w:val="right"/>
              <w:ind w:right="675"/>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392</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731"/>
              <w:spacing w:after="0"/>
              <w:rPr>
                <w:sz w:val="20"/>
                <w:szCs w:val="20"/>
                <w:color w:val="auto"/>
              </w:rPr>
            </w:pPr>
            <w:r>
              <w:rPr>
                <w:rFonts w:ascii="Arial" w:cs="Arial" w:eastAsia="Arial" w:hAnsi="Arial"/>
                <w:sz w:val="14"/>
                <w:szCs w:val="14"/>
                <w:color w:val="auto"/>
                <w:w w:val="76"/>
              </w:rPr>
              <w:t>$</w:t>
            </w:r>
          </w:p>
        </w:tc>
        <w:tc>
          <w:tcPr>
            <w:tcW w:w="3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226</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924</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664</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b w:val="1"/>
                <w:bCs w:val="1"/>
                <w:color w:val="auto"/>
              </w:rPr>
              <w:t>Houston Electric</w:t>
            </w:r>
          </w:p>
        </w:tc>
        <w:tc>
          <w:tcPr>
            <w:tcW w:w="13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4700" w:type="dxa"/>
            <w:vAlign w:val="bottom"/>
            <w:vMerge w:val="continue"/>
          </w:tcPr>
          <w:p>
            <w:pPr>
              <w:spacing w:after="0"/>
              <w:rPr>
                <w:sz w:val="14"/>
                <w:szCs w:val="14"/>
                <w:color w:val="auto"/>
              </w:rPr>
            </w:pPr>
          </w:p>
        </w:tc>
        <w:tc>
          <w:tcPr>
            <w:tcW w:w="1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47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Houston Electric T&amp;D</w:t>
            </w:r>
          </w:p>
        </w:tc>
        <w:tc>
          <w:tcPr>
            <w:tcW w:w="2220" w:type="dxa"/>
            <w:vAlign w:val="bottom"/>
            <w:gridSpan w:val="2"/>
            <w:shd w:val="clear" w:color="auto" w:fill="CCEEFF"/>
          </w:tcPr>
          <w:p>
            <w:pPr>
              <w:jc w:val="right"/>
              <w:ind w:right="675"/>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269</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731"/>
              <w:spacing w:after="0"/>
              <w:rPr>
                <w:sz w:val="20"/>
                <w:szCs w:val="20"/>
                <w:color w:val="auto"/>
              </w:rPr>
            </w:pPr>
            <w:r>
              <w:rPr>
                <w:rFonts w:ascii="Arial" w:cs="Arial" w:eastAsia="Arial" w:hAnsi="Arial"/>
                <w:sz w:val="14"/>
                <w:szCs w:val="14"/>
                <w:color w:val="auto"/>
                <w:w w:val="76"/>
              </w:rPr>
              <w:t>$</w:t>
            </w:r>
          </w:p>
        </w:tc>
        <w:tc>
          <w:tcPr>
            <w:tcW w:w="3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227</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519</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527</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b w:val="1"/>
                <w:bCs w:val="1"/>
                <w:color w:val="auto"/>
              </w:rPr>
              <w:t>CERC</w:t>
            </w:r>
          </w:p>
        </w:tc>
        <w:tc>
          <w:tcPr>
            <w:tcW w:w="13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4700" w:type="dxa"/>
            <w:vAlign w:val="bottom"/>
            <w:vMerge w:val="continue"/>
          </w:tcPr>
          <w:p>
            <w:pPr>
              <w:spacing w:after="0"/>
              <w:rPr>
                <w:sz w:val="14"/>
                <w:szCs w:val="14"/>
                <w:color w:val="auto"/>
              </w:rPr>
            </w:pPr>
          </w:p>
        </w:tc>
        <w:tc>
          <w:tcPr>
            <w:tcW w:w="1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47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Natural Gas Distribution</w:t>
            </w:r>
          </w:p>
        </w:tc>
        <w:tc>
          <w:tcPr>
            <w:tcW w:w="2220" w:type="dxa"/>
            <w:vAlign w:val="bottom"/>
            <w:tcBorders>
              <w:bottom w:val="single" w:sz="8" w:color="CCEEFF"/>
            </w:tcBorders>
            <w:gridSpan w:val="2"/>
            <w:shd w:val="clear" w:color="auto" w:fill="CCEEFF"/>
          </w:tcPr>
          <w:p>
            <w:pPr>
              <w:jc w:val="right"/>
              <w:ind w:right="675"/>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20</w:t>
            </w:r>
          </w:p>
        </w:tc>
        <w:tc>
          <w:tcPr>
            <w:tcW w:w="12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ind w:right="731"/>
              <w:spacing w:after="0"/>
              <w:rPr>
                <w:sz w:val="20"/>
                <w:szCs w:val="20"/>
                <w:color w:val="auto"/>
              </w:rPr>
            </w:pPr>
            <w:r>
              <w:rPr>
                <w:rFonts w:ascii="Arial" w:cs="Arial" w:eastAsia="Arial" w:hAnsi="Arial"/>
                <w:sz w:val="14"/>
                <w:szCs w:val="14"/>
                <w:color w:val="auto"/>
                <w:w w:val="76"/>
              </w:rPr>
              <w:t>$</w:t>
            </w:r>
          </w:p>
        </w:tc>
        <w:tc>
          <w:tcPr>
            <w:tcW w:w="38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3</w:t>
            </w:r>
          </w:p>
        </w:tc>
        <w:tc>
          <w:tcPr>
            <w:tcW w:w="1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212</w:t>
            </w:r>
          </w:p>
        </w:tc>
        <w:tc>
          <w:tcPr>
            <w:tcW w:w="10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166</w:t>
            </w:r>
          </w:p>
        </w:tc>
        <w:tc>
          <w:tcPr>
            <w:tcW w:w="0" w:type="dxa"/>
            <w:vAlign w:val="bottom"/>
          </w:tcPr>
          <w:p>
            <w:pPr>
              <w:spacing w:after="0"/>
              <w:rPr>
                <w:sz w:val="1"/>
                <w:szCs w:val="1"/>
                <w:color w:val="auto"/>
              </w:rPr>
            </w:pPr>
          </w:p>
        </w:tc>
      </w:tr>
      <w:tr>
        <w:trPr>
          <w:trHeight w:val="193"/>
        </w:trPr>
        <w:tc>
          <w:tcPr>
            <w:tcW w:w="4700" w:type="dxa"/>
            <w:vAlign w:val="bottom"/>
          </w:tcPr>
          <w:p>
            <w:pPr>
              <w:ind w:left="20"/>
              <w:spacing w:after="0"/>
              <w:rPr>
                <w:sz w:val="20"/>
                <w:szCs w:val="20"/>
                <w:color w:val="auto"/>
              </w:rPr>
            </w:pPr>
            <w:r>
              <w:rPr>
                <w:rFonts w:ascii="Arial" w:cs="Arial" w:eastAsia="Arial" w:hAnsi="Arial"/>
                <w:sz w:val="14"/>
                <w:szCs w:val="14"/>
                <w:color w:val="auto"/>
              </w:rPr>
              <w:t>Energy Services</w:t>
            </w:r>
          </w:p>
        </w:tc>
        <w:tc>
          <w:tcPr>
            <w:tcW w:w="13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40" w:type="dxa"/>
            <w:vAlign w:val="bottom"/>
          </w:tcPr>
          <w:p>
            <w:pPr>
              <w:jc w:val="right"/>
              <w:ind w:right="4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00" w:type="dxa"/>
            <w:vAlign w:val="bottom"/>
          </w:tcPr>
          <w:p>
            <w:pPr>
              <w:jc w:val="right"/>
              <w:ind w:right="51"/>
              <w:spacing w:after="0"/>
              <w:rPr>
                <w:sz w:val="20"/>
                <w:szCs w:val="20"/>
                <w:color w:val="auto"/>
              </w:rPr>
            </w:pPr>
            <w:r>
              <w:rPr>
                <w:rFonts w:ascii="Arial" w:cs="Arial" w:eastAsia="Arial" w:hAnsi="Arial"/>
                <w:sz w:val="14"/>
                <w:szCs w:val="14"/>
                <w:color w:val="auto"/>
              </w:rPr>
              <w:t>64</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23"/>
        </w:trPr>
        <w:tc>
          <w:tcPr>
            <w:tcW w:w="47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Other Operations</w:t>
            </w:r>
          </w:p>
        </w:tc>
        <w:tc>
          <w:tcPr>
            <w:tcW w:w="138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7"/>
        </w:trPr>
        <w:tc>
          <w:tcPr>
            <w:tcW w:w="4700" w:type="dxa"/>
            <w:vAlign w:val="bottom"/>
          </w:tcPr>
          <w:p>
            <w:pPr>
              <w:ind w:left="320"/>
              <w:spacing w:after="0"/>
              <w:rPr>
                <w:sz w:val="20"/>
                <w:szCs w:val="20"/>
                <w:color w:val="auto"/>
              </w:rPr>
            </w:pPr>
            <w:r>
              <w:rPr>
                <w:rFonts w:ascii="Arial" w:cs="Arial" w:eastAsia="Arial" w:hAnsi="Arial"/>
                <w:sz w:val="14"/>
                <w:szCs w:val="14"/>
                <w:color w:val="auto"/>
              </w:rPr>
              <w:t>Total CERC Consolidated Operating Income (Loss)</w:t>
            </w:r>
          </w:p>
        </w:tc>
        <w:tc>
          <w:tcPr>
            <w:tcW w:w="1380" w:type="dxa"/>
            <w:vAlign w:val="bottom"/>
          </w:tcPr>
          <w:p>
            <w:pPr>
              <w:spacing w:after="0"/>
              <w:rPr>
                <w:sz w:val="17"/>
                <w:szCs w:val="17"/>
                <w:color w:val="auto"/>
              </w:rPr>
            </w:pPr>
          </w:p>
        </w:tc>
        <w:tc>
          <w:tcPr>
            <w:tcW w:w="840" w:type="dxa"/>
            <w:vAlign w:val="bottom"/>
            <w:tcBorders>
              <w:top w:val="single" w:sz="8" w:color="auto"/>
              <w:bottom w:val="single" w:sz="8" w:color="auto"/>
            </w:tcBorders>
          </w:tcPr>
          <w:p>
            <w:pPr>
              <w:jc w:val="right"/>
              <w:ind w:right="675"/>
              <w:spacing w:after="0"/>
              <w:rPr>
                <w:sz w:val="20"/>
                <w:szCs w:val="20"/>
                <w:color w:val="auto"/>
              </w:rPr>
            </w:pPr>
            <w:r>
              <w:rPr>
                <w:rFonts w:ascii="Arial" w:cs="Arial" w:eastAsia="Arial" w:hAnsi="Arial"/>
                <w:sz w:val="14"/>
                <w:szCs w:val="14"/>
                <w:color w:val="auto"/>
              </w:rPr>
              <w:t>$</w:t>
            </w:r>
          </w:p>
        </w:tc>
        <w:tc>
          <w:tcPr>
            <w:tcW w:w="4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23</w:t>
            </w:r>
          </w:p>
        </w:tc>
        <w:tc>
          <w:tcPr>
            <w:tcW w:w="120" w:type="dxa"/>
            <w:vAlign w:val="bottom"/>
          </w:tcPr>
          <w:p>
            <w:pPr>
              <w:spacing w:after="0"/>
              <w:rPr>
                <w:sz w:val="17"/>
                <w:szCs w:val="17"/>
                <w:color w:val="auto"/>
              </w:rPr>
            </w:pPr>
          </w:p>
        </w:tc>
        <w:tc>
          <w:tcPr>
            <w:tcW w:w="880" w:type="dxa"/>
            <w:vAlign w:val="bottom"/>
            <w:tcBorders>
              <w:top w:val="single" w:sz="8" w:color="auto"/>
              <w:bottom w:val="single" w:sz="8" w:color="auto"/>
            </w:tcBorders>
          </w:tcPr>
          <w:p>
            <w:pPr>
              <w:jc w:val="right"/>
              <w:ind w:right="731"/>
              <w:spacing w:after="0"/>
              <w:rPr>
                <w:sz w:val="20"/>
                <w:szCs w:val="20"/>
                <w:color w:val="auto"/>
              </w:rPr>
            </w:pPr>
            <w:r>
              <w:rPr>
                <w:rFonts w:ascii="Arial" w:cs="Arial" w:eastAsia="Arial" w:hAnsi="Arial"/>
                <w:sz w:val="14"/>
                <w:szCs w:val="14"/>
                <w:color w:val="auto"/>
                <w:w w:val="76"/>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17"/>
                <w:szCs w:val="17"/>
                <w:color w:val="auto"/>
              </w:rPr>
            </w:pPr>
          </w:p>
        </w:tc>
        <w:tc>
          <w:tcPr>
            <w:tcW w:w="360" w:type="dxa"/>
            <w:vAlign w:val="bottom"/>
            <w:tcBorders>
              <w:top w:val="single" w:sz="8" w:color="auto"/>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4"/>
                <w:szCs w:val="14"/>
                <w:color w:val="auto"/>
              </w:rPr>
              <w:t>277</w:t>
            </w:r>
          </w:p>
        </w:tc>
        <w:tc>
          <w:tcPr>
            <w:tcW w:w="100" w:type="dxa"/>
            <w:vAlign w:val="bottom"/>
          </w:tcPr>
          <w:p>
            <w:pPr>
              <w:spacing w:after="0"/>
              <w:rPr>
                <w:sz w:val="17"/>
                <w:szCs w:val="17"/>
                <w:color w:val="auto"/>
              </w:rPr>
            </w:pPr>
          </w:p>
        </w:tc>
        <w:tc>
          <w:tcPr>
            <w:tcW w:w="480" w:type="dxa"/>
            <w:vAlign w:val="bottom"/>
            <w:tcBorders>
              <w:top w:val="single" w:sz="8" w:color="auto"/>
              <w:bottom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146</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380" w:type="dxa"/>
            <w:vAlign w:val="bottom"/>
            <w:vMerge w:val="restart"/>
          </w:tcPr>
          <w:p>
            <w:pPr>
              <w:jc w:val="right"/>
              <w:ind w:right="211"/>
              <w:spacing w:after="0"/>
              <w:rPr>
                <w:sz w:val="20"/>
                <w:szCs w:val="20"/>
                <w:color w:val="auto"/>
              </w:rPr>
            </w:pPr>
            <w:r>
              <w:rPr>
                <w:rFonts w:ascii="Arial" w:cs="Arial" w:eastAsia="Arial" w:hAnsi="Arial"/>
                <w:sz w:val="14"/>
                <w:szCs w:val="14"/>
                <w:color w:val="auto"/>
              </w:rPr>
              <w:t>71</w:t>
            </w:r>
          </w:p>
        </w:tc>
        <w:tc>
          <w:tcPr>
            <w:tcW w:w="8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9"/>
        </w:trPr>
        <w:tc>
          <w:tcPr>
            <w:tcW w:w="4700" w:type="dxa"/>
            <w:vAlign w:val="bottom"/>
          </w:tcPr>
          <w:p>
            <w:pPr>
              <w:spacing w:after="0"/>
              <w:rPr>
                <w:sz w:val="24"/>
                <w:szCs w:val="24"/>
                <w:color w:val="auto"/>
              </w:rPr>
            </w:pPr>
          </w:p>
        </w:tc>
        <w:tc>
          <w:tcPr>
            <w:tcW w:w="1380" w:type="dxa"/>
            <w:vAlign w:val="bottom"/>
            <w:vMerge w:val="continue"/>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20" w:top="129" w:right="219" w:bottom="1440" w:gutter="0" w:footer="0" w:header="0"/>
        </w:sectPr>
      </w:pPr>
    </w:p>
    <w:bookmarkStart w:id="81" w:name="page82"/>
    <w:bookmarkEnd w:id="81"/>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37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Houston Electric T&amp;D (CenterPoint Energy and Houston Electric)</w:t>
      </w:r>
    </w:p>
    <w:p>
      <w:pPr>
        <w:spacing w:after="0" w:line="188" w:lineRule="exact"/>
        <w:rPr>
          <w:sz w:val="20"/>
          <w:szCs w:val="20"/>
          <w:color w:val="auto"/>
        </w:rPr>
      </w:pPr>
    </w:p>
    <w:p>
      <w:pPr>
        <w:jc w:val="both"/>
        <w:ind w:firstLine="259"/>
        <w:spacing w:after="0" w:line="302" w:lineRule="auto"/>
        <w:rPr>
          <w:sz w:val="20"/>
          <w:szCs w:val="20"/>
          <w:color w:val="auto"/>
        </w:rPr>
      </w:pPr>
      <w:r>
        <w:rPr>
          <w:rFonts w:ascii="Arial" w:cs="Arial" w:eastAsia="Arial" w:hAnsi="Arial"/>
          <w:sz w:val="13"/>
          <w:szCs w:val="13"/>
          <w:color w:val="auto"/>
        </w:rPr>
        <w:t>For information regarding factors that may affect the future results of operations of the Houston Electric T&amp;D reportable segment, please read “Risk Factors — Risk Factors Associated with Our Consolidated Financial Condition,” “— Risk Factors Affecting Electric Generation, Transmission and Distribution Businesses” and “— Other Risk Factors Affecting Our Businesses or CenterPoint Energy’s Interests in Enable Midstream Partners, LP” in Item 1A of Part I of the Registrants’ combined 2018 Form 10-K and in Item 1A of Part II of this Form 10-Q.</w:t>
      </w:r>
    </w:p>
    <w:p>
      <w:pPr>
        <w:spacing w:after="0" w:line="125"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following table provides summary data of the Houston Electric T&amp;D reportable segment:</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5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860" w:type="dxa"/>
            <w:vAlign w:val="bottom"/>
            <w:gridSpan w:val="5"/>
          </w:tcPr>
          <w:p>
            <w:pPr>
              <w:ind w:left="300"/>
              <w:spacing w:after="0"/>
              <w:rPr>
                <w:sz w:val="20"/>
                <w:szCs w:val="20"/>
                <w:color w:val="auto"/>
              </w:rPr>
            </w:pPr>
            <w:r>
              <w:rPr>
                <w:rFonts w:ascii="Arial" w:cs="Arial" w:eastAsia="Arial" w:hAnsi="Arial"/>
                <w:sz w:val="11"/>
                <w:szCs w:val="11"/>
                <w:b w:val="1"/>
                <w:bCs w:val="1"/>
                <w:color w:val="auto"/>
              </w:rPr>
              <w:t>Three Months Ended September 30,</w:t>
            </w:r>
          </w:p>
        </w:tc>
        <w:tc>
          <w:tcPr>
            <w:tcW w:w="360" w:type="dxa"/>
            <w:vAlign w:val="bottom"/>
          </w:tcPr>
          <w:p>
            <w:pPr>
              <w:spacing w:after="0"/>
              <w:rPr>
                <w:sz w:val="13"/>
                <w:szCs w:val="13"/>
                <w:color w:val="auto"/>
              </w:rPr>
            </w:pPr>
          </w:p>
        </w:tc>
        <w:tc>
          <w:tcPr>
            <w:tcW w:w="2700" w:type="dxa"/>
            <w:vAlign w:val="bottom"/>
            <w:gridSpan w:val="4"/>
          </w:tcPr>
          <w:p>
            <w:pPr>
              <w:jc w:val="right"/>
              <w:ind w:right="589"/>
              <w:spacing w:after="0"/>
              <w:rPr>
                <w:sz w:val="20"/>
                <w:szCs w:val="20"/>
                <w:color w:val="auto"/>
              </w:rPr>
            </w:pPr>
            <w:r>
              <w:rPr>
                <w:rFonts w:ascii="Arial" w:cs="Arial" w:eastAsia="Arial" w:hAnsi="Arial"/>
                <w:sz w:val="11"/>
                <w:szCs w:val="11"/>
                <w:b w:val="1"/>
                <w:bCs w:val="1"/>
                <w:color w:val="auto"/>
              </w:rPr>
              <w:t>Nine Months Ended September 30,</w:t>
            </w:r>
          </w:p>
        </w:tc>
      </w:tr>
      <w:tr>
        <w:trPr>
          <w:trHeight w:val="206"/>
        </w:trPr>
        <w:tc>
          <w:tcPr>
            <w:tcW w:w="5160" w:type="dxa"/>
            <w:vAlign w:val="bottom"/>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1"/>
                <w:szCs w:val="11"/>
                <w:b w:val="1"/>
                <w:bCs w:val="1"/>
                <w:color w:val="auto"/>
              </w:rPr>
              <w:t>2019</w:t>
            </w:r>
          </w:p>
        </w:tc>
        <w:tc>
          <w:tcPr>
            <w:tcW w:w="120" w:type="dxa"/>
            <w:vAlign w:val="bottom"/>
            <w:tcBorders>
              <w:top w:val="single" w:sz="8" w:color="auto"/>
              <w:bottom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1"/>
                <w:szCs w:val="11"/>
                <w:b w:val="1"/>
                <w:bCs w:val="1"/>
                <w:color w:val="auto"/>
              </w:rPr>
              <w:t>2018</w:t>
            </w:r>
          </w:p>
        </w:tc>
        <w:tc>
          <w:tcPr>
            <w:tcW w:w="120" w:type="dxa"/>
            <w:vAlign w:val="bottom"/>
            <w:tcBorders>
              <w:bottom w:val="single" w:sz="8" w:color="auto"/>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1"/>
                <w:szCs w:val="11"/>
                <w:b w:val="1"/>
                <w:bCs w:val="1"/>
                <w:color w:val="auto"/>
              </w:rPr>
              <w:t>2019</w:t>
            </w:r>
          </w:p>
        </w:tc>
        <w:tc>
          <w:tcPr>
            <w:tcW w:w="120" w:type="dxa"/>
            <w:vAlign w:val="bottom"/>
            <w:tcBorders>
              <w:top w:val="single" w:sz="8" w:color="auto"/>
              <w:bottom w:val="single" w:sz="8" w:color="auto"/>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549"/>
              <w:spacing w:after="0"/>
              <w:rPr>
                <w:sz w:val="20"/>
                <w:szCs w:val="20"/>
                <w:color w:val="auto"/>
              </w:rPr>
            </w:pPr>
            <w:r>
              <w:rPr>
                <w:rFonts w:ascii="Arial" w:cs="Arial" w:eastAsia="Arial" w:hAnsi="Arial"/>
                <w:sz w:val="11"/>
                <w:szCs w:val="11"/>
                <w:b w:val="1"/>
                <w:bCs w:val="1"/>
                <w:color w:val="auto"/>
              </w:rPr>
              <w:t>2018</w:t>
            </w:r>
          </w:p>
        </w:tc>
      </w:tr>
      <w:tr>
        <w:trPr>
          <w:trHeight w:val="191"/>
        </w:trPr>
        <w:tc>
          <w:tcPr>
            <w:tcW w:w="5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20" w:type="dxa"/>
            <w:vAlign w:val="bottom"/>
            <w:gridSpan w:val="5"/>
          </w:tcPr>
          <w:p>
            <w:pPr>
              <w:ind w:left="100"/>
              <w:spacing w:after="0"/>
              <w:rPr>
                <w:sz w:val="20"/>
                <w:szCs w:val="20"/>
                <w:color w:val="auto"/>
              </w:rPr>
            </w:pPr>
            <w:r>
              <w:rPr>
                <w:rFonts w:ascii="Arial" w:cs="Arial" w:eastAsia="Arial" w:hAnsi="Arial"/>
                <w:sz w:val="11"/>
                <w:szCs w:val="11"/>
                <w:b w:val="1"/>
                <w:bCs w:val="1"/>
                <w:color w:val="auto"/>
              </w:rPr>
              <w:t>(in millions, except throughput and customer data)</w:t>
            </w:r>
          </w:p>
        </w:tc>
        <w:tc>
          <w:tcPr>
            <w:tcW w:w="36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02"/>
        </w:trPr>
        <w:tc>
          <w:tcPr>
            <w:tcW w:w="5160" w:type="dxa"/>
            <w:vAlign w:val="bottom"/>
          </w:tcPr>
          <w:p>
            <w:pPr>
              <w:ind w:left="20"/>
              <w:spacing w:after="0"/>
              <w:rPr>
                <w:sz w:val="20"/>
                <w:szCs w:val="20"/>
                <w:color w:val="auto"/>
              </w:rPr>
            </w:pPr>
            <w:r>
              <w:rPr>
                <w:rFonts w:ascii="Arial" w:cs="Arial" w:eastAsia="Arial" w:hAnsi="Arial"/>
                <w:sz w:val="14"/>
                <w:szCs w:val="14"/>
                <w:color w:val="auto"/>
              </w:rPr>
              <w:t>Revenues:</w:t>
            </w:r>
          </w:p>
        </w:tc>
        <w:tc>
          <w:tcPr>
            <w:tcW w:w="3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3"/>
        </w:trPr>
        <w:tc>
          <w:tcPr>
            <w:tcW w:w="5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96"/>
        </w:trPr>
        <w:tc>
          <w:tcPr>
            <w:tcW w:w="51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TDU</w:t>
            </w:r>
          </w:p>
        </w:tc>
        <w:tc>
          <w:tcPr>
            <w:tcW w:w="380" w:type="dxa"/>
            <w:vAlign w:val="bottom"/>
            <w:tcBorders>
              <w:bottom w:val="single" w:sz="8" w:color="CCEEFF"/>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776</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735</w:t>
            </w:r>
          </w:p>
        </w:tc>
        <w:tc>
          <w:tcPr>
            <w:tcW w:w="1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2,043</w:t>
            </w:r>
          </w:p>
        </w:tc>
        <w:tc>
          <w:tcPr>
            <w:tcW w:w="1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jc w:val="right"/>
              <w:ind w:right="208"/>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2,009</w:t>
            </w:r>
          </w:p>
        </w:tc>
      </w:tr>
      <w:tr>
        <w:trPr>
          <w:trHeight w:val="193"/>
        </w:trPr>
        <w:tc>
          <w:tcPr>
            <w:tcW w:w="5160" w:type="dxa"/>
            <w:vAlign w:val="bottom"/>
          </w:tcPr>
          <w:p>
            <w:pPr>
              <w:ind w:left="140"/>
              <w:spacing w:after="0"/>
              <w:rPr>
                <w:sz w:val="20"/>
                <w:szCs w:val="20"/>
                <w:color w:val="auto"/>
              </w:rPr>
            </w:pPr>
            <w:r>
              <w:rPr>
                <w:rFonts w:ascii="Arial" w:cs="Arial" w:eastAsia="Arial" w:hAnsi="Arial"/>
                <w:sz w:val="14"/>
                <w:szCs w:val="14"/>
                <w:color w:val="auto"/>
              </w:rPr>
              <w:t>Bond Companies</w:t>
            </w:r>
          </w:p>
        </w:tc>
        <w:tc>
          <w:tcPr>
            <w:tcW w:w="380" w:type="dxa"/>
            <w:vAlign w:val="bottom"/>
          </w:tcPr>
          <w:p>
            <w:pPr>
              <w:spacing w:after="0"/>
              <w:rPr>
                <w:sz w:val="16"/>
                <w:szCs w:val="16"/>
                <w:color w:val="auto"/>
              </w:rPr>
            </w:pPr>
          </w:p>
        </w:tc>
        <w:tc>
          <w:tcPr>
            <w:tcW w:w="1120" w:type="dxa"/>
            <w:vAlign w:val="bottom"/>
          </w:tcPr>
          <w:p>
            <w:pPr>
              <w:jc w:val="right"/>
              <w:ind w:right="50"/>
              <w:spacing w:after="0"/>
              <w:rPr>
                <w:sz w:val="20"/>
                <w:szCs w:val="20"/>
                <w:color w:val="auto"/>
              </w:rPr>
            </w:pPr>
            <w:r>
              <w:rPr>
                <w:rFonts w:ascii="Arial" w:cs="Arial" w:eastAsia="Arial" w:hAnsi="Arial"/>
                <w:sz w:val="14"/>
                <w:szCs w:val="14"/>
                <w:color w:val="auto"/>
              </w:rPr>
              <w:t>83</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jc w:val="right"/>
              <w:ind w:right="50"/>
              <w:spacing w:after="0"/>
              <w:rPr>
                <w:sz w:val="20"/>
                <w:szCs w:val="20"/>
                <w:color w:val="auto"/>
              </w:rPr>
            </w:pPr>
            <w:r>
              <w:rPr>
                <w:rFonts w:ascii="Arial" w:cs="Arial" w:eastAsia="Arial" w:hAnsi="Arial"/>
                <w:sz w:val="14"/>
                <w:szCs w:val="14"/>
                <w:color w:val="auto"/>
              </w:rPr>
              <w:t>162</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30"/>
              <w:spacing w:after="0"/>
              <w:rPr>
                <w:sz w:val="20"/>
                <w:szCs w:val="20"/>
                <w:color w:val="auto"/>
              </w:rPr>
            </w:pPr>
            <w:r>
              <w:rPr>
                <w:rFonts w:ascii="Arial" w:cs="Arial" w:eastAsia="Arial" w:hAnsi="Arial"/>
                <w:sz w:val="14"/>
                <w:szCs w:val="14"/>
                <w:color w:val="auto"/>
              </w:rPr>
              <w:t>270</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jc w:val="right"/>
              <w:ind w:right="29"/>
              <w:spacing w:after="0"/>
              <w:rPr>
                <w:sz w:val="20"/>
                <w:szCs w:val="20"/>
                <w:color w:val="auto"/>
              </w:rPr>
            </w:pPr>
            <w:r>
              <w:rPr>
                <w:rFonts w:ascii="Arial" w:cs="Arial" w:eastAsia="Arial" w:hAnsi="Arial"/>
                <w:sz w:val="14"/>
                <w:szCs w:val="14"/>
                <w:color w:val="auto"/>
              </w:rPr>
              <w:t>493</w:t>
            </w:r>
          </w:p>
        </w:tc>
      </w:tr>
      <w:tr>
        <w:trPr>
          <w:trHeight w:val="23"/>
        </w:trPr>
        <w:tc>
          <w:tcPr>
            <w:tcW w:w="51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06"/>
        </w:trPr>
        <w:tc>
          <w:tcPr>
            <w:tcW w:w="51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4"/>
                <w:szCs w:val="14"/>
                <w:color w:val="auto"/>
              </w:rPr>
              <w:t>Total revenues</w:t>
            </w:r>
          </w:p>
        </w:tc>
        <w:tc>
          <w:tcPr>
            <w:tcW w:w="38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859</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897</w:t>
            </w:r>
          </w:p>
        </w:tc>
        <w:tc>
          <w:tcPr>
            <w:tcW w:w="1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2,313</w:t>
            </w:r>
          </w:p>
        </w:tc>
        <w:tc>
          <w:tcPr>
            <w:tcW w:w="1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2,502</w:t>
            </w:r>
          </w:p>
        </w:tc>
      </w:tr>
      <w:tr>
        <w:trPr>
          <w:trHeight w:val="184"/>
        </w:trPr>
        <w:tc>
          <w:tcPr>
            <w:tcW w:w="5160" w:type="dxa"/>
            <w:vAlign w:val="bottom"/>
          </w:tcPr>
          <w:p>
            <w:pPr>
              <w:ind w:left="20"/>
              <w:spacing w:after="0"/>
              <w:rPr>
                <w:sz w:val="20"/>
                <w:szCs w:val="20"/>
                <w:color w:val="auto"/>
              </w:rPr>
            </w:pPr>
            <w:r>
              <w:rPr>
                <w:rFonts w:ascii="Arial" w:cs="Arial" w:eastAsia="Arial" w:hAnsi="Arial"/>
                <w:sz w:val="14"/>
                <w:szCs w:val="14"/>
                <w:color w:val="auto"/>
              </w:rPr>
              <w:t>Expenses:</w:t>
            </w:r>
          </w:p>
        </w:tc>
        <w:tc>
          <w:tcPr>
            <w:tcW w:w="38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r>
      <w:tr>
        <w:trPr>
          <w:trHeight w:val="23"/>
        </w:trPr>
        <w:tc>
          <w:tcPr>
            <w:tcW w:w="5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96"/>
        </w:trPr>
        <w:tc>
          <w:tcPr>
            <w:tcW w:w="51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Operation and maintenance, excluding Bond Companies</w:t>
            </w:r>
          </w:p>
        </w:tc>
        <w:tc>
          <w:tcPr>
            <w:tcW w:w="38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357</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367</w:t>
            </w:r>
          </w:p>
        </w:tc>
        <w:tc>
          <w:tcPr>
            <w:tcW w:w="1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1,080</w:t>
            </w:r>
          </w:p>
        </w:tc>
        <w:tc>
          <w:tcPr>
            <w:tcW w:w="1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1,056</w:t>
            </w:r>
          </w:p>
        </w:tc>
      </w:tr>
      <w:tr>
        <w:trPr>
          <w:trHeight w:val="193"/>
        </w:trPr>
        <w:tc>
          <w:tcPr>
            <w:tcW w:w="5160" w:type="dxa"/>
            <w:vAlign w:val="bottom"/>
          </w:tcPr>
          <w:p>
            <w:pPr>
              <w:ind w:left="140"/>
              <w:spacing w:after="0"/>
              <w:rPr>
                <w:sz w:val="20"/>
                <w:szCs w:val="20"/>
                <w:color w:val="auto"/>
              </w:rPr>
            </w:pPr>
            <w:r>
              <w:rPr>
                <w:rFonts w:ascii="Arial" w:cs="Arial" w:eastAsia="Arial" w:hAnsi="Arial"/>
                <w:sz w:val="14"/>
                <w:szCs w:val="14"/>
                <w:color w:val="auto"/>
              </w:rPr>
              <w:t>Depreciation and amortization, excluding Bond Companies</w:t>
            </w:r>
          </w:p>
        </w:tc>
        <w:tc>
          <w:tcPr>
            <w:tcW w:w="380" w:type="dxa"/>
            <w:vAlign w:val="bottom"/>
          </w:tcPr>
          <w:p>
            <w:pPr>
              <w:spacing w:after="0"/>
              <w:rPr>
                <w:sz w:val="16"/>
                <w:szCs w:val="16"/>
                <w:color w:val="auto"/>
              </w:rPr>
            </w:pPr>
          </w:p>
        </w:tc>
        <w:tc>
          <w:tcPr>
            <w:tcW w:w="1120" w:type="dxa"/>
            <w:vAlign w:val="bottom"/>
          </w:tcPr>
          <w:p>
            <w:pPr>
              <w:jc w:val="right"/>
              <w:ind w:right="50"/>
              <w:spacing w:after="0"/>
              <w:rPr>
                <w:sz w:val="20"/>
                <w:szCs w:val="20"/>
                <w:color w:val="auto"/>
              </w:rPr>
            </w:pPr>
            <w:r>
              <w:rPr>
                <w:rFonts w:ascii="Arial" w:cs="Arial" w:eastAsia="Arial" w:hAnsi="Arial"/>
                <w:sz w:val="14"/>
                <w:szCs w:val="14"/>
                <w:color w:val="auto"/>
              </w:rPr>
              <w:t>95</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jc w:val="right"/>
              <w:ind w:right="50"/>
              <w:spacing w:after="0"/>
              <w:rPr>
                <w:sz w:val="20"/>
                <w:szCs w:val="20"/>
                <w:color w:val="auto"/>
              </w:rPr>
            </w:pPr>
            <w:r>
              <w:rPr>
                <w:rFonts w:ascii="Arial" w:cs="Arial" w:eastAsia="Arial" w:hAnsi="Arial"/>
                <w:sz w:val="14"/>
                <w:szCs w:val="14"/>
                <w:color w:val="auto"/>
              </w:rPr>
              <w:t>95</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30"/>
              <w:spacing w:after="0"/>
              <w:rPr>
                <w:sz w:val="20"/>
                <w:szCs w:val="20"/>
                <w:color w:val="auto"/>
              </w:rPr>
            </w:pPr>
            <w:r>
              <w:rPr>
                <w:rFonts w:ascii="Arial" w:cs="Arial" w:eastAsia="Arial" w:hAnsi="Arial"/>
                <w:sz w:val="14"/>
                <w:szCs w:val="14"/>
                <w:color w:val="auto"/>
              </w:rPr>
              <w:t>282</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jc w:val="right"/>
              <w:ind w:right="29"/>
              <w:spacing w:after="0"/>
              <w:rPr>
                <w:sz w:val="20"/>
                <w:szCs w:val="20"/>
                <w:color w:val="auto"/>
              </w:rPr>
            </w:pPr>
            <w:r>
              <w:rPr>
                <w:rFonts w:ascii="Arial" w:cs="Arial" w:eastAsia="Arial" w:hAnsi="Arial"/>
                <w:sz w:val="14"/>
                <w:szCs w:val="14"/>
                <w:color w:val="auto"/>
              </w:rPr>
              <w:t>293</w:t>
            </w:r>
          </w:p>
        </w:tc>
      </w:tr>
      <w:tr>
        <w:trPr>
          <w:trHeight w:val="23"/>
        </w:trPr>
        <w:tc>
          <w:tcPr>
            <w:tcW w:w="5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96"/>
        </w:trPr>
        <w:tc>
          <w:tcPr>
            <w:tcW w:w="51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Taxes other than income taxes</w:t>
            </w:r>
          </w:p>
        </w:tc>
        <w:tc>
          <w:tcPr>
            <w:tcW w:w="38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63</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59</w:t>
            </w:r>
          </w:p>
        </w:tc>
        <w:tc>
          <w:tcPr>
            <w:tcW w:w="1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186</w:t>
            </w:r>
          </w:p>
        </w:tc>
        <w:tc>
          <w:tcPr>
            <w:tcW w:w="1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180</w:t>
            </w:r>
          </w:p>
        </w:tc>
      </w:tr>
      <w:tr>
        <w:trPr>
          <w:trHeight w:val="193"/>
        </w:trPr>
        <w:tc>
          <w:tcPr>
            <w:tcW w:w="5160" w:type="dxa"/>
            <w:vAlign w:val="bottom"/>
          </w:tcPr>
          <w:p>
            <w:pPr>
              <w:ind w:left="140"/>
              <w:spacing w:after="0"/>
              <w:rPr>
                <w:sz w:val="20"/>
                <w:szCs w:val="20"/>
                <w:color w:val="auto"/>
              </w:rPr>
            </w:pPr>
            <w:r>
              <w:rPr>
                <w:rFonts w:ascii="Arial" w:cs="Arial" w:eastAsia="Arial" w:hAnsi="Arial"/>
                <w:sz w:val="14"/>
                <w:szCs w:val="14"/>
                <w:color w:val="auto"/>
              </w:rPr>
              <w:t>Bond Companies</w:t>
            </w:r>
          </w:p>
        </w:tc>
        <w:tc>
          <w:tcPr>
            <w:tcW w:w="380" w:type="dxa"/>
            <w:vAlign w:val="bottom"/>
          </w:tcPr>
          <w:p>
            <w:pPr>
              <w:spacing w:after="0"/>
              <w:rPr>
                <w:sz w:val="16"/>
                <w:szCs w:val="16"/>
                <w:color w:val="auto"/>
              </w:rPr>
            </w:pPr>
          </w:p>
        </w:tc>
        <w:tc>
          <w:tcPr>
            <w:tcW w:w="1120" w:type="dxa"/>
            <w:vAlign w:val="bottom"/>
          </w:tcPr>
          <w:p>
            <w:pPr>
              <w:jc w:val="right"/>
              <w:ind w:right="50"/>
              <w:spacing w:after="0"/>
              <w:rPr>
                <w:sz w:val="20"/>
                <w:szCs w:val="20"/>
                <w:color w:val="auto"/>
              </w:rPr>
            </w:pPr>
            <w:r>
              <w:rPr>
                <w:rFonts w:ascii="Arial" w:cs="Arial" w:eastAsia="Arial" w:hAnsi="Arial"/>
                <w:sz w:val="14"/>
                <w:szCs w:val="14"/>
                <w:color w:val="auto"/>
              </w:rPr>
              <w:t>75</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jc w:val="right"/>
              <w:ind w:right="50"/>
              <w:spacing w:after="0"/>
              <w:rPr>
                <w:sz w:val="20"/>
                <w:szCs w:val="20"/>
                <w:color w:val="auto"/>
              </w:rPr>
            </w:pPr>
            <w:r>
              <w:rPr>
                <w:rFonts w:ascii="Arial" w:cs="Arial" w:eastAsia="Arial" w:hAnsi="Arial"/>
                <w:sz w:val="14"/>
                <w:szCs w:val="14"/>
                <w:color w:val="auto"/>
              </w:rPr>
              <w:t>149</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30"/>
              <w:spacing w:after="0"/>
              <w:rPr>
                <w:sz w:val="20"/>
                <w:szCs w:val="20"/>
                <w:color w:val="auto"/>
              </w:rPr>
            </w:pPr>
            <w:r>
              <w:rPr>
                <w:rFonts w:ascii="Arial" w:cs="Arial" w:eastAsia="Arial" w:hAnsi="Arial"/>
                <w:sz w:val="14"/>
                <w:szCs w:val="14"/>
                <w:color w:val="auto"/>
              </w:rPr>
              <w:t>243</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jc w:val="right"/>
              <w:ind w:right="29"/>
              <w:spacing w:after="0"/>
              <w:rPr>
                <w:sz w:val="20"/>
                <w:szCs w:val="20"/>
                <w:color w:val="auto"/>
              </w:rPr>
            </w:pPr>
            <w:r>
              <w:rPr>
                <w:rFonts w:ascii="Arial" w:cs="Arial" w:eastAsia="Arial" w:hAnsi="Arial"/>
                <w:sz w:val="14"/>
                <w:szCs w:val="14"/>
                <w:color w:val="auto"/>
              </w:rPr>
              <w:t>450</w:t>
            </w:r>
          </w:p>
        </w:tc>
      </w:tr>
      <w:tr>
        <w:trPr>
          <w:trHeight w:val="23"/>
        </w:trPr>
        <w:tc>
          <w:tcPr>
            <w:tcW w:w="51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06"/>
        </w:trPr>
        <w:tc>
          <w:tcPr>
            <w:tcW w:w="51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4"/>
                <w:szCs w:val="14"/>
                <w:color w:val="auto"/>
              </w:rPr>
              <w:t>Total expenses</w:t>
            </w:r>
          </w:p>
        </w:tc>
        <w:tc>
          <w:tcPr>
            <w:tcW w:w="38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590</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670</w:t>
            </w:r>
          </w:p>
        </w:tc>
        <w:tc>
          <w:tcPr>
            <w:tcW w:w="1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1,791</w:t>
            </w:r>
          </w:p>
        </w:tc>
        <w:tc>
          <w:tcPr>
            <w:tcW w:w="1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1,979</w:t>
            </w:r>
          </w:p>
        </w:tc>
      </w:tr>
      <w:tr>
        <w:trPr>
          <w:trHeight w:val="240"/>
        </w:trPr>
        <w:tc>
          <w:tcPr>
            <w:tcW w:w="51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Operating Income</w:t>
            </w:r>
          </w:p>
        </w:tc>
        <w:tc>
          <w:tcPr>
            <w:tcW w:w="380" w:type="dxa"/>
            <w:vAlign w:val="bottom"/>
            <w:tcBorders>
              <w:top w:val="single" w:sz="8" w:color="auto"/>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4"/>
                <w:szCs w:val="14"/>
                <w:color w:val="auto"/>
              </w:rPr>
              <w:t>269</w:t>
            </w:r>
          </w:p>
        </w:tc>
        <w:tc>
          <w:tcPr>
            <w:tcW w:w="120" w:type="dxa"/>
            <w:vAlign w:val="bottom"/>
            <w:tcBorders>
              <w:bottom w:val="single" w:sz="8" w:color="CCEEFF"/>
            </w:tcBorders>
          </w:tcPr>
          <w:p>
            <w:pPr>
              <w:spacing w:after="0"/>
              <w:rPr>
                <w:sz w:val="20"/>
                <w:szCs w:val="20"/>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3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4"/>
                <w:szCs w:val="14"/>
                <w:color w:val="auto"/>
              </w:rPr>
              <w:t>227</w:t>
            </w:r>
          </w:p>
        </w:tc>
        <w:tc>
          <w:tcPr>
            <w:tcW w:w="120" w:type="dxa"/>
            <w:vAlign w:val="bottom"/>
            <w:tcBorders>
              <w:bottom w:val="single" w:sz="8" w:color="CCEEFF"/>
            </w:tcBorders>
          </w:tcPr>
          <w:p>
            <w:pPr>
              <w:spacing w:after="0"/>
              <w:rPr>
                <w:sz w:val="20"/>
                <w:szCs w:val="20"/>
                <w:color w:val="auto"/>
              </w:rPr>
            </w:pPr>
          </w:p>
        </w:tc>
        <w:tc>
          <w:tcPr>
            <w:tcW w:w="360" w:type="dxa"/>
            <w:vAlign w:val="bottom"/>
            <w:tcBorders>
              <w:top w:val="single" w:sz="8" w:color="auto"/>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4"/>
                <w:szCs w:val="14"/>
                <w:color w:val="auto"/>
              </w:rPr>
              <w:t>522</w:t>
            </w:r>
          </w:p>
        </w:tc>
        <w:tc>
          <w:tcPr>
            <w:tcW w:w="120" w:type="dxa"/>
            <w:vAlign w:val="bottom"/>
            <w:tcBorders>
              <w:bottom w:val="single" w:sz="8" w:color="CCEEFF"/>
            </w:tcBorders>
          </w:tcPr>
          <w:p>
            <w:pPr>
              <w:spacing w:after="0"/>
              <w:rPr>
                <w:sz w:val="20"/>
                <w:szCs w:val="20"/>
                <w:color w:val="auto"/>
              </w:rPr>
            </w:pPr>
          </w:p>
        </w:tc>
        <w:tc>
          <w:tcPr>
            <w:tcW w:w="360" w:type="dxa"/>
            <w:vAlign w:val="bottom"/>
            <w:tcBorders>
              <w:top w:val="single" w:sz="8" w:color="auto"/>
              <w:bottom w:val="single" w:sz="8" w:color="auto"/>
            </w:tcBorders>
          </w:tcPr>
          <w:p>
            <w:pPr>
              <w:jc w:val="right"/>
              <w:ind w:right="208"/>
              <w:spacing w:after="0"/>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523</w:t>
            </w:r>
          </w:p>
        </w:tc>
      </w:tr>
      <w:tr>
        <w:trPr>
          <w:trHeight w:val="174"/>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Operating Income:</w:t>
            </w:r>
          </w:p>
        </w:tc>
        <w:tc>
          <w:tcPr>
            <w:tcW w:w="38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spacing w:after="0"/>
              <w:rPr>
                <w:sz w:val="15"/>
                <w:szCs w:val="15"/>
                <w:color w:val="auto"/>
              </w:rPr>
            </w:pPr>
          </w:p>
        </w:tc>
      </w:tr>
      <w:tr>
        <w:trPr>
          <w:trHeight w:val="193"/>
        </w:trPr>
        <w:tc>
          <w:tcPr>
            <w:tcW w:w="5160" w:type="dxa"/>
            <w:vAlign w:val="bottom"/>
          </w:tcPr>
          <w:p>
            <w:pPr>
              <w:ind w:left="20"/>
              <w:spacing w:after="0"/>
              <w:rPr>
                <w:sz w:val="20"/>
                <w:szCs w:val="20"/>
                <w:color w:val="auto"/>
              </w:rPr>
            </w:pPr>
            <w:r>
              <w:rPr>
                <w:rFonts w:ascii="Arial" w:cs="Arial" w:eastAsia="Arial" w:hAnsi="Arial"/>
                <w:sz w:val="14"/>
                <w:szCs w:val="14"/>
                <w:color w:val="auto"/>
              </w:rPr>
              <w:t>TDU</w:t>
            </w: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50"/>
              <w:spacing w:after="0"/>
              <w:rPr>
                <w:sz w:val="20"/>
                <w:szCs w:val="20"/>
                <w:color w:val="auto"/>
              </w:rPr>
            </w:pPr>
            <w:r>
              <w:rPr>
                <w:rFonts w:ascii="Arial" w:cs="Arial" w:eastAsia="Arial" w:hAnsi="Arial"/>
                <w:sz w:val="14"/>
                <w:szCs w:val="14"/>
                <w:color w:val="auto"/>
              </w:rPr>
              <w:t>261</w:t>
            </w:r>
          </w:p>
        </w:tc>
        <w:tc>
          <w:tcPr>
            <w:tcW w:w="120" w:type="dxa"/>
            <w:vAlign w:val="bottom"/>
          </w:tcPr>
          <w:p>
            <w:pPr>
              <w:spacing w:after="0"/>
              <w:rPr>
                <w:sz w:val="16"/>
                <w:szCs w:val="16"/>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50"/>
              <w:spacing w:after="0"/>
              <w:rPr>
                <w:sz w:val="20"/>
                <w:szCs w:val="20"/>
                <w:color w:val="auto"/>
              </w:rPr>
            </w:pPr>
            <w:r>
              <w:rPr>
                <w:rFonts w:ascii="Arial" w:cs="Arial" w:eastAsia="Arial" w:hAnsi="Arial"/>
                <w:sz w:val="14"/>
                <w:szCs w:val="14"/>
                <w:color w:val="auto"/>
              </w:rPr>
              <w:t>214</w:t>
            </w:r>
          </w:p>
        </w:tc>
        <w:tc>
          <w:tcPr>
            <w:tcW w:w="120" w:type="dxa"/>
            <w:vAlign w:val="bottom"/>
          </w:tcPr>
          <w:p>
            <w:pPr>
              <w:spacing w:after="0"/>
              <w:rPr>
                <w:sz w:val="16"/>
                <w:szCs w:val="16"/>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30"/>
              <w:spacing w:after="0"/>
              <w:rPr>
                <w:sz w:val="20"/>
                <w:szCs w:val="20"/>
                <w:color w:val="auto"/>
              </w:rPr>
            </w:pPr>
            <w:r>
              <w:rPr>
                <w:rFonts w:ascii="Arial" w:cs="Arial" w:eastAsia="Arial" w:hAnsi="Arial"/>
                <w:sz w:val="14"/>
                <w:szCs w:val="14"/>
                <w:color w:val="auto"/>
              </w:rPr>
              <w:t>495</w:t>
            </w:r>
          </w:p>
        </w:tc>
        <w:tc>
          <w:tcPr>
            <w:tcW w:w="120" w:type="dxa"/>
            <w:vAlign w:val="bottom"/>
          </w:tcPr>
          <w:p>
            <w:pPr>
              <w:spacing w:after="0"/>
              <w:rPr>
                <w:sz w:val="16"/>
                <w:szCs w:val="16"/>
                <w:color w:val="auto"/>
              </w:rPr>
            </w:pPr>
          </w:p>
        </w:tc>
        <w:tc>
          <w:tcPr>
            <w:tcW w:w="360" w:type="dxa"/>
            <w:vAlign w:val="bottom"/>
          </w:tcPr>
          <w:p>
            <w:pPr>
              <w:jc w:val="right"/>
              <w:ind w:right="208"/>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ind w:right="29"/>
              <w:spacing w:after="0"/>
              <w:rPr>
                <w:sz w:val="20"/>
                <w:szCs w:val="20"/>
                <w:color w:val="auto"/>
              </w:rPr>
            </w:pPr>
            <w:r>
              <w:rPr>
                <w:rFonts w:ascii="Arial" w:cs="Arial" w:eastAsia="Arial" w:hAnsi="Arial"/>
                <w:sz w:val="14"/>
                <w:szCs w:val="14"/>
                <w:color w:val="auto"/>
              </w:rPr>
              <w:t>480</w:t>
            </w:r>
          </w:p>
        </w:tc>
      </w:tr>
      <w:tr>
        <w:trPr>
          <w:trHeight w:val="23"/>
        </w:trPr>
        <w:tc>
          <w:tcPr>
            <w:tcW w:w="5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16"/>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 xml:space="preserve">Bond Companies </w:t>
            </w:r>
            <w:r>
              <w:rPr>
                <w:rFonts w:ascii="Arial" w:cs="Arial" w:eastAsia="Arial" w:hAnsi="Arial"/>
                <w:sz w:val="11"/>
                <w:szCs w:val="11"/>
                <w:color w:val="auto"/>
              </w:rPr>
              <w:t>(1)</w:t>
            </w:r>
          </w:p>
        </w:tc>
        <w:tc>
          <w:tcPr>
            <w:tcW w:w="38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8</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13</w:t>
            </w: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27</w:t>
            </w: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43</w:t>
            </w:r>
          </w:p>
        </w:tc>
      </w:tr>
      <w:tr>
        <w:trPr>
          <w:trHeight w:val="240"/>
        </w:trPr>
        <w:tc>
          <w:tcPr>
            <w:tcW w:w="5160" w:type="dxa"/>
            <w:vAlign w:val="bottom"/>
            <w:tcBorders>
              <w:bottom w:val="single" w:sz="8" w:color="CCEEFF"/>
            </w:tcBorders>
          </w:tcPr>
          <w:p>
            <w:pPr>
              <w:ind w:left="300"/>
              <w:spacing w:after="0"/>
              <w:rPr>
                <w:sz w:val="20"/>
                <w:szCs w:val="20"/>
                <w:color w:val="auto"/>
              </w:rPr>
            </w:pPr>
            <w:r>
              <w:rPr>
                <w:rFonts w:ascii="Arial" w:cs="Arial" w:eastAsia="Arial" w:hAnsi="Arial"/>
                <w:sz w:val="14"/>
                <w:szCs w:val="14"/>
                <w:color w:val="auto"/>
              </w:rPr>
              <w:t>Total segment operating income</w:t>
            </w:r>
          </w:p>
        </w:tc>
        <w:tc>
          <w:tcPr>
            <w:tcW w:w="380" w:type="dxa"/>
            <w:vAlign w:val="bottom"/>
            <w:tcBorders>
              <w:top w:val="single" w:sz="8" w:color="auto"/>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4"/>
                <w:szCs w:val="14"/>
                <w:color w:val="auto"/>
              </w:rPr>
              <w:t>269</w:t>
            </w:r>
          </w:p>
        </w:tc>
        <w:tc>
          <w:tcPr>
            <w:tcW w:w="120" w:type="dxa"/>
            <w:vAlign w:val="bottom"/>
            <w:tcBorders>
              <w:bottom w:val="single" w:sz="8" w:color="CCEEFF"/>
            </w:tcBorders>
          </w:tcPr>
          <w:p>
            <w:pPr>
              <w:spacing w:after="0"/>
              <w:rPr>
                <w:sz w:val="20"/>
                <w:szCs w:val="20"/>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3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4"/>
                <w:szCs w:val="14"/>
                <w:color w:val="auto"/>
              </w:rPr>
              <w:t>227</w:t>
            </w:r>
          </w:p>
        </w:tc>
        <w:tc>
          <w:tcPr>
            <w:tcW w:w="120" w:type="dxa"/>
            <w:vAlign w:val="bottom"/>
            <w:tcBorders>
              <w:bottom w:val="single" w:sz="8" w:color="CCEEFF"/>
            </w:tcBorders>
          </w:tcPr>
          <w:p>
            <w:pPr>
              <w:spacing w:after="0"/>
              <w:rPr>
                <w:sz w:val="20"/>
                <w:szCs w:val="20"/>
                <w:color w:val="auto"/>
              </w:rPr>
            </w:pPr>
          </w:p>
        </w:tc>
        <w:tc>
          <w:tcPr>
            <w:tcW w:w="360" w:type="dxa"/>
            <w:vAlign w:val="bottom"/>
            <w:tcBorders>
              <w:top w:val="single" w:sz="8" w:color="auto"/>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4"/>
                <w:szCs w:val="14"/>
                <w:color w:val="auto"/>
              </w:rPr>
              <w:t>522</w:t>
            </w:r>
          </w:p>
        </w:tc>
        <w:tc>
          <w:tcPr>
            <w:tcW w:w="120" w:type="dxa"/>
            <w:vAlign w:val="bottom"/>
            <w:tcBorders>
              <w:bottom w:val="single" w:sz="8" w:color="CCEEFF"/>
            </w:tcBorders>
          </w:tcPr>
          <w:p>
            <w:pPr>
              <w:spacing w:after="0"/>
              <w:rPr>
                <w:sz w:val="20"/>
                <w:szCs w:val="20"/>
                <w:color w:val="auto"/>
              </w:rPr>
            </w:pPr>
          </w:p>
        </w:tc>
        <w:tc>
          <w:tcPr>
            <w:tcW w:w="360" w:type="dxa"/>
            <w:vAlign w:val="bottom"/>
            <w:tcBorders>
              <w:top w:val="single" w:sz="8" w:color="auto"/>
              <w:bottom w:val="single" w:sz="8" w:color="auto"/>
            </w:tcBorders>
          </w:tcPr>
          <w:p>
            <w:pPr>
              <w:jc w:val="right"/>
              <w:ind w:right="208"/>
              <w:spacing w:after="0"/>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523</w:t>
            </w:r>
          </w:p>
        </w:tc>
      </w:tr>
      <w:tr>
        <w:trPr>
          <w:trHeight w:val="174"/>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Throughput (in GWh):</w:t>
            </w:r>
          </w:p>
        </w:tc>
        <w:tc>
          <w:tcPr>
            <w:tcW w:w="38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spacing w:after="0"/>
              <w:rPr>
                <w:sz w:val="15"/>
                <w:szCs w:val="15"/>
                <w:color w:val="auto"/>
              </w:rPr>
            </w:pPr>
          </w:p>
        </w:tc>
      </w:tr>
      <w:tr>
        <w:trPr>
          <w:trHeight w:val="193"/>
        </w:trPr>
        <w:tc>
          <w:tcPr>
            <w:tcW w:w="5160" w:type="dxa"/>
            <w:vAlign w:val="bottom"/>
          </w:tcPr>
          <w:p>
            <w:pPr>
              <w:ind w:left="300"/>
              <w:spacing w:after="0"/>
              <w:rPr>
                <w:sz w:val="20"/>
                <w:szCs w:val="20"/>
                <w:color w:val="auto"/>
              </w:rPr>
            </w:pPr>
            <w:r>
              <w:rPr>
                <w:rFonts w:ascii="Arial" w:cs="Arial" w:eastAsia="Arial" w:hAnsi="Arial"/>
                <w:sz w:val="14"/>
                <w:szCs w:val="14"/>
                <w:color w:val="auto"/>
              </w:rPr>
              <w:t>Residential</w:t>
            </w:r>
          </w:p>
        </w:tc>
        <w:tc>
          <w:tcPr>
            <w:tcW w:w="380" w:type="dxa"/>
            <w:vAlign w:val="bottom"/>
          </w:tcPr>
          <w:p>
            <w:pPr>
              <w:spacing w:after="0"/>
              <w:rPr>
                <w:sz w:val="16"/>
                <w:szCs w:val="16"/>
                <w:color w:val="auto"/>
              </w:rPr>
            </w:pPr>
          </w:p>
        </w:tc>
        <w:tc>
          <w:tcPr>
            <w:tcW w:w="1120" w:type="dxa"/>
            <w:vAlign w:val="bottom"/>
          </w:tcPr>
          <w:p>
            <w:pPr>
              <w:jc w:val="right"/>
              <w:ind w:right="50"/>
              <w:spacing w:after="0"/>
              <w:rPr>
                <w:sz w:val="20"/>
                <w:szCs w:val="20"/>
                <w:color w:val="auto"/>
              </w:rPr>
            </w:pPr>
            <w:r>
              <w:rPr>
                <w:rFonts w:ascii="Arial" w:cs="Arial" w:eastAsia="Arial" w:hAnsi="Arial"/>
                <w:sz w:val="14"/>
                <w:szCs w:val="14"/>
                <w:color w:val="auto"/>
              </w:rPr>
              <w:t>11,224</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jc w:val="right"/>
              <w:ind w:right="50"/>
              <w:spacing w:after="0"/>
              <w:rPr>
                <w:sz w:val="20"/>
                <w:szCs w:val="20"/>
                <w:color w:val="auto"/>
              </w:rPr>
            </w:pPr>
            <w:r>
              <w:rPr>
                <w:rFonts w:ascii="Arial" w:cs="Arial" w:eastAsia="Arial" w:hAnsi="Arial"/>
                <w:sz w:val="14"/>
                <w:szCs w:val="14"/>
                <w:color w:val="auto"/>
              </w:rPr>
              <w:t>10,555</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30"/>
              <w:spacing w:after="0"/>
              <w:rPr>
                <w:sz w:val="20"/>
                <w:szCs w:val="20"/>
                <w:color w:val="auto"/>
              </w:rPr>
            </w:pPr>
            <w:r>
              <w:rPr>
                <w:rFonts w:ascii="Arial" w:cs="Arial" w:eastAsia="Arial" w:hAnsi="Arial"/>
                <w:sz w:val="14"/>
                <w:szCs w:val="14"/>
                <w:color w:val="auto"/>
              </w:rPr>
              <w:t>24,392</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jc w:val="right"/>
              <w:ind w:right="29"/>
              <w:spacing w:after="0"/>
              <w:rPr>
                <w:sz w:val="20"/>
                <w:szCs w:val="20"/>
                <w:color w:val="auto"/>
              </w:rPr>
            </w:pPr>
            <w:r>
              <w:rPr>
                <w:rFonts w:ascii="Arial" w:cs="Arial" w:eastAsia="Arial" w:hAnsi="Arial"/>
                <w:sz w:val="14"/>
                <w:szCs w:val="14"/>
                <w:color w:val="auto"/>
              </w:rPr>
              <w:t>24,486</w:t>
            </w:r>
          </w:p>
        </w:tc>
      </w:tr>
      <w:tr>
        <w:trPr>
          <w:trHeight w:val="23"/>
        </w:trPr>
        <w:tc>
          <w:tcPr>
            <w:tcW w:w="5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96"/>
        </w:trPr>
        <w:tc>
          <w:tcPr>
            <w:tcW w:w="51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4"/>
                <w:szCs w:val="14"/>
                <w:color w:val="auto"/>
              </w:rPr>
              <w:t>Total</w:t>
            </w:r>
          </w:p>
        </w:tc>
        <w:tc>
          <w:tcPr>
            <w:tcW w:w="38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28,379</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27,015</w:t>
            </w:r>
          </w:p>
        </w:tc>
        <w:tc>
          <w:tcPr>
            <w:tcW w:w="1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71,417</w:t>
            </w:r>
          </w:p>
        </w:tc>
        <w:tc>
          <w:tcPr>
            <w:tcW w:w="1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70,347</w:t>
            </w:r>
          </w:p>
        </w:tc>
      </w:tr>
      <w:tr>
        <w:trPr>
          <w:trHeight w:val="193"/>
        </w:trPr>
        <w:tc>
          <w:tcPr>
            <w:tcW w:w="5160" w:type="dxa"/>
            <w:vAlign w:val="bottom"/>
          </w:tcPr>
          <w:p>
            <w:pPr>
              <w:ind w:left="20"/>
              <w:spacing w:after="0"/>
              <w:rPr>
                <w:sz w:val="20"/>
                <w:szCs w:val="20"/>
                <w:color w:val="auto"/>
              </w:rPr>
            </w:pPr>
            <w:r>
              <w:rPr>
                <w:rFonts w:ascii="Arial" w:cs="Arial" w:eastAsia="Arial" w:hAnsi="Arial"/>
                <w:sz w:val="14"/>
                <w:szCs w:val="14"/>
                <w:color w:val="auto"/>
              </w:rPr>
              <w:t>Number of metered customers at end of period:</w:t>
            </w:r>
          </w:p>
        </w:tc>
        <w:tc>
          <w:tcPr>
            <w:tcW w:w="3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3"/>
        </w:trPr>
        <w:tc>
          <w:tcPr>
            <w:tcW w:w="5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96"/>
        </w:trPr>
        <w:tc>
          <w:tcPr>
            <w:tcW w:w="51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4"/>
                <w:szCs w:val="14"/>
                <w:color w:val="auto"/>
              </w:rPr>
              <w:t>Residential</w:t>
            </w:r>
          </w:p>
        </w:tc>
        <w:tc>
          <w:tcPr>
            <w:tcW w:w="38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2,232,740</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2,188,211</w:t>
            </w:r>
          </w:p>
        </w:tc>
        <w:tc>
          <w:tcPr>
            <w:tcW w:w="1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2,232,740</w:t>
            </w:r>
          </w:p>
        </w:tc>
        <w:tc>
          <w:tcPr>
            <w:tcW w:w="1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2,188,211</w:t>
            </w:r>
          </w:p>
        </w:tc>
      </w:tr>
      <w:tr>
        <w:trPr>
          <w:trHeight w:val="193"/>
        </w:trPr>
        <w:tc>
          <w:tcPr>
            <w:tcW w:w="5160" w:type="dxa"/>
            <w:vAlign w:val="bottom"/>
          </w:tcPr>
          <w:p>
            <w:pPr>
              <w:ind w:left="300"/>
              <w:spacing w:after="0"/>
              <w:rPr>
                <w:sz w:val="20"/>
                <w:szCs w:val="20"/>
                <w:color w:val="auto"/>
              </w:rPr>
            </w:pPr>
            <w:r>
              <w:rPr>
                <w:rFonts w:ascii="Arial" w:cs="Arial" w:eastAsia="Arial" w:hAnsi="Arial"/>
                <w:sz w:val="14"/>
                <w:szCs w:val="14"/>
                <w:color w:val="auto"/>
              </w:rPr>
              <w:t>Total</w:t>
            </w:r>
          </w:p>
        </w:tc>
        <w:tc>
          <w:tcPr>
            <w:tcW w:w="380" w:type="dxa"/>
            <w:vAlign w:val="bottom"/>
          </w:tcPr>
          <w:p>
            <w:pPr>
              <w:spacing w:after="0"/>
              <w:rPr>
                <w:sz w:val="16"/>
                <w:szCs w:val="16"/>
                <w:color w:val="auto"/>
              </w:rPr>
            </w:pPr>
          </w:p>
        </w:tc>
        <w:tc>
          <w:tcPr>
            <w:tcW w:w="1120" w:type="dxa"/>
            <w:vAlign w:val="bottom"/>
          </w:tcPr>
          <w:p>
            <w:pPr>
              <w:jc w:val="right"/>
              <w:ind w:right="50"/>
              <w:spacing w:after="0"/>
              <w:rPr>
                <w:sz w:val="20"/>
                <w:szCs w:val="20"/>
                <w:color w:val="auto"/>
              </w:rPr>
            </w:pPr>
            <w:r>
              <w:rPr>
                <w:rFonts w:ascii="Arial" w:cs="Arial" w:eastAsia="Arial" w:hAnsi="Arial"/>
                <w:sz w:val="14"/>
                <w:szCs w:val="14"/>
                <w:color w:val="auto"/>
              </w:rPr>
              <w:t>2,523,450</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jc w:val="right"/>
              <w:ind w:right="50"/>
              <w:spacing w:after="0"/>
              <w:rPr>
                <w:sz w:val="20"/>
                <w:szCs w:val="20"/>
                <w:color w:val="auto"/>
              </w:rPr>
            </w:pPr>
            <w:r>
              <w:rPr>
                <w:rFonts w:ascii="Arial" w:cs="Arial" w:eastAsia="Arial" w:hAnsi="Arial"/>
                <w:sz w:val="14"/>
                <w:szCs w:val="14"/>
                <w:color w:val="auto"/>
              </w:rPr>
              <w:t>2,475,018</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30"/>
              <w:spacing w:after="0"/>
              <w:rPr>
                <w:sz w:val="20"/>
                <w:szCs w:val="20"/>
                <w:color w:val="auto"/>
              </w:rPr>
            </w:pPr>
            <w:r>
              <w:rPr>
                <w:rFonts w:ascii="Arial" w:cs="Arial" w:eastAsia="Arial" w:hAnsi="Arial"/>
                <w:sz w:val="14"/>
                <w:szCs w:val="14"/>
                <w:color w:val="auto"/>
              </w:rPr>
              <w:t>2,523,450</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jc w:val="right"/>
              <w:ind w:right="29"/>
              <w:spacing w:after="0"/>
              <w:rPr>
                <w:sz w:val="20"/>
                <w:szCs w:val="20"/>
                <w:color w:val="auto"/>
              </w:rPr>
            </w:pPr>
            <w:r>
              <w:rPr>
                <w:rFonts w:ascii="Arial" w:cs="Arial" w:eastAsia="Arial" w:hAnsi="Arial"/>
                <w:sz w:val="14"/>
                <w:szCs w:val="14"/>
                <w:color w:val="auto"/>
              </w:rPr>
              <w:t>2,475,018</w:t>
            </w:r>
          </w:p>
        </w:tc>
      </w:tr>
    </w:tbl>
    <w:p>
      <w:pPr>
        <w:spacing w:after="0" w:line="184" w:lineRule="exact"/>
        <w:rPr>
          <w:sz w:val="20"/>
          <w:szCs w:val="20"/>
          <w:color w:val="auto"/>
        </w:rPr>
      </w:pPr>
    </w:p>
    <w:p>
      <w:pPr>
        <w:ind w:left="520" w:hanging="255"/>
        <w:spacing w:after="0" w:line="288" w:lineRule="auto"/>
        <w:tabs>
          <w:tab w:leader="none" w:pos="520" w:val="left"/>
        </w:tabs>
        <w:numPr>
          <w:ilvl w:val="0"/>
          <w:numId w:val="68"/>
        </w:numPr>
        <w:rPr>
          <w:rFonts w:ascii="Arial" w:cs="Arial" w:eastAsia="Arial" w:hAnsi="Arial"/>
          <w:sz w:val="14"/>
          <w:szCs w:val="14"/>
          <w:color w:val="auto"/>
        </w:rPr>
      </w:pPr>
      <w:r>
        <w:rPr>
          <w:rFonts w:ascii="Arial" w:cs="Arial" w:eastAsia="Arial" w:hAnsi="Arial"/>
          <w:sz w:val="14"/>
          <w:szCs w:val="14"/>
          <w:color w:val="auto"/>
        </w:rPr>
        <w:t>Operating income from the Bond Companies, together with $1 million and $4 million of interest income for the three and nine months ended September 30, 2019, respectively, and $3 million of interest income for both the three and nine months ended September 30, 2018, are necessary to pay interest on the Securitization Bonds.</w:t>
      </w:r>
    </w:p>
    <w:p>
      <w:pPr>
        <w:spacing w:after="0" w:line="131" w:lineRule="exact"/>
        <w:rPr>
          <w:sz w:val="20"/>
          <w:szCs w:val="20"/>
          <w:color w:val="auto"/>
        </w:rPr>
      </w:pPr>
    </w:p>
    <w:p>
      <w:pPr>
        <w:ind w:left="40"/>
        <w:spacing w:after="0"/>
        <w:rPr>
          <w:sz w:val="20"/>
          <w:szCs w:val="20"/>
          <w:color w:val="auto"/>
        </w:rPr>
      </w:pPr>
      <w:r>
        <w:rPr>
          <w:rFonts w:ascii="Arial" w:cs="Arial" w:eastAsia="Arial" w:hAnsi="Arial"/>
          <w:sz w:val="14"/>
          <w:szCs w:val="14"/>
          <w:b w:val="1"/>
          <w:bCs w:val="1"/>
          <w:i w:val="1"/>
          <w:iCs w:val="1"/>
          <w:color w:val="auto"/>
        </w:rPr>
        <w:t>Three months ended September 30, 2019 compared to three months ended September 30, 2018</w:t>
      </w:r>
    </w:p>
    <w:p>
      <w:pPr>
        <w:spacing w:after="0" w:line="184" w:lineRule="exact"/>
        <w:rPr>
          <w:sz w:val="20"/>
          <w:szCs w:val="20"/>
          <w:color w:val="auto"/>
        </w:rPr>
      </w:pPr>
    </w:p>
    <w:p>
      <w:pPr>
        <w:jc w:val="both"/>
        <w:ind w:left="40" w:firstLine="259"/>
        <w:spacing w:after="0" w:line="272" w:lineRule="auto"/>
        <w:rPr>
          <w:sz w:val="20"/>
          <w:szCs w:val="20"/>
          <w:color w:val="auto"/>
        </w:rPr>
      </w:pPr>
      <w:r>
        <w:rPr>
          <w:rFonts w:ascii="Arial" w:cs="Arial" w:eastAsia="Arial" w:hAnsi="Arial"/>
          <w:sz w:val="14"/>
          <w:szCs w:val="14"/>
          <w:color w:val="auto"/>
        </w:rPr>
        <w:t>The Houston Electric T&amp;D reportable segment reported operating income of $269 million for the three months ended September 30, 2019, consisting of $261 million from the TDU and $8 million related to the Bond Companies. For the three months ended September 30, 2018, operating income totaled $227 million, consisting of $214 million from the TDU and $13 million related to the Bond Companies.</w:t>
      </w:r>
    </w:p>
    <w:p>
      <w:pPr>
        <w:spacing w:after="0" w:line="142"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TDU operating income increased $47 million, primarily due to the following key factors:</w:t>
      </w:r>
    </w:p>
    <w:p>
      <w:pPr>
        <w:spacing w:after="0" w:line="184" w:lineRule="exact"/>
        <w:rPr>
          <w:sz w:val="20"/>
          <w:szCs w:val="20"/>
          <w:color w:val="auto"/>
        </w:rPr>
      </w:pPr>
    </w:p>
    <w:p>
      <w:pPr>
        <w:ind w:left="520" w:right="5560" w:hanging="255"/>
        <w:spacing w:after="0" w:line="506" w:lineRule="auto"/>
        <w:tabs>
          <w:tab w:leader="none" w:pos="520" w:val="left"/>
        </w:tabs>
        <w:numPr>
          <w:ilvl w:val="0"/>
          <w:numId w:val="69"/>
        </w:numPr>
        <w:rPr>
          <w:rFonts w:ascii="Arial" w:cs="Arial" w:eastAsia="Arial" w:hAnsi="Arial"/>
          <w:sz w:val="14"/>
          <w:szCs w:val="14"/>
          <w:color w:val="auto"/>
        </w:rPr>
      </w:pPr>
      <w:r>
        <w:rPr>
          <w:rFonts w:ascii="Arial" w:cs="Arial" w:eastAsia="Arial" w:hAnsi="Arial"/>
          <w:sz w:val="14"/>
          <w:szCs w:val="14"/>
          <w:color w:val="auto"/>
        </w:rPr>
        <w:t>decreased operation and maintenance expenses of $29 million primarily due to the following: ◦ decreased support services costs of $12 million;</w:t>
      </w:r>
    </w:p>
    <w:p>
      <w:pPr>
        <w:jc w:val="center"/>
        <w:spacing w:after="0"/>
        <w:rPr>
          <w:sz w:val="20"/>
          <w:szCs w:val="20"/>
          <w:color w:val="auto"/>
        </w:rPr>
      </w:pPr>
      <w:r>
        <w:rPr>
          <w:rFonts w:ascii="Arial" w:cs="Arial" w:eastAsia="Arial" w:hAnsi="Arial"/>
          <w:sz w:val="14"/>
          <w:szCs w:val="14"/>
          <w:color w:val="auto"/>
        </w:rPr>
        <w:t>72</w:t>
      </w:r>
    </w:p>
    <w:p>
      <w:pPr>
        <w:sectPr>
          <w:pgSz w:w="11900" w:h="16838" w:orient="portrait"/>
          <w:cols w:equalWidth="0" w:num="1">
            <w:col w:w="11460"/>
          </w:cols>
          <w:pgMar w:left="220" w:top="129" w:right="219" w:bottom="1440" w:gutter="0" w:footer="0" w:header="0"/>
        </w:sectPr>
      </w:pPr>
    </w:p>
    <w:bookmarkStart w:id="82" w:name="page83"/>
    <w:bookmarkEnd w:id="82"/>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335" w:lineRule="exact"/>
        <w:rPr>
          <w:sz w:val="20"/>
          <w:szCs w:val="20"/>
          <w:color w:val="auto"/>
        </w:rPr>
      </w:pPr>
    </w:p>
    <w:p>
      <w:pPr>
        <w:ind w:left="780" w:hanging="257"/>
        <w:spacing w:after="0"/>
        <w:tabs>
          <w:tab w:leader="none" w:pos="780" w:val="left"/>
        </w:tabs>
        <w:numPr>
          <w:ilvl w:val="1"/>
          <w:numId w:val="70"/>
        </w:numPr>
        <w:rPr>
          <w:rFonts w:ascii="Arial" w:cs="Arial" w:eastAsia="Arial" w:hAnsi="Arial"/>
          <w:sz w:val="14"/>
          <w:szCs w:val="14"/>
          <w:color w:val="auto"/>
        </w:rPr>
      </w:pPr>
      <w:r>
        <w:rPr>
          <w:rFonts w:ascii="Arial" w:cs="Arial" w:eastAsia="Arial" w:hAnsi="Arial"/>
          <w:sz w:val="14"/>
          <w:szCs w:val="14"/>
          <w:color w:val="auto"/>
        </w:rPr>
        <w:t>other miscellaneous operation and maintenance expense decreases of $9 million; and</w:t>
      </w:r>
    </w:p>
    <w:p>
      <w:pPr>
        <w:spacing w:after="0" w:line="119" w:lineRule="exact"/>
        <w:rPr>
          <w:rFonts w:ascii="Arial" w:cs="Arial" w:eastAsia="Arial" w:hAnsi="Arial"/>
          <w:sz w:val="14"/>
          <w:szCs w:val="14"/>
          <w:color w:val="auto"/>
        </w:rPr>
      </w:pPr>
    </w:p>
    <w:p>
      <w:pPr>
        <w:ind w:left="780" w:hanging="257"/>
        <w:spacing w:after="0"/>
        <w:tabs>
          <w:tab w:leader="none" w:pos="780" w:val="left"/>
        </w:tabs>
        <w:numPr>
          <w:ilvl w:val="1"/>
          <w:numId w:val="70"/>
        </w:numPr>
        <w:rPr>
          <w:rFonts w:ascii="Arial" w:cs="Arial" w:eastAsia="Arial" w:hAnsi="Arial"/>
          <w:sz w:val="14"/>
          <w:szCs w:val="14"/>
          <w:color w:val="auto"/>
        </w:rPr>
      </w:pPr>
      <w:r>
        <w:rPr>
          <w:rFonts w:ascii="Arial" w:cs="Arial" w:eastAsia="Arial" w:hAnsi="Arial"/>
          <w:sz w:val="14"/>
          <w:szCs w:val="14"/>
          <w:color w:val="auto"/>
        </w:rPr>
        <w:t>decreased labor and benefits costs of $6 million.</w:t>
      </w:r>
    </w:p>
    <w:p>
      <w:pPr>
        <w:spacing w:after="0" w:line="162" w:lineRule="exact"/>
        <w:rPr>
          <w:rFonts w:ascii="Arial" w:cs="Arial" w:eastAsia="Arial" w:hAnsi="Arial"/>
          <w:sz w:val="14"/>
          <w:szCs w:val="14"/>
          <w:color w:val="auto"/>
        </w:rPr>
      </w:pPr>
    </w:p>
    <w:p>
      <w:pPr>
        <w:ind w:left="520" w:hanging="255"/>
        <w:spacing w:after="0"/>
        <w:tabs>
          <w:tab w:leader="none" w:pos="520" w:val="left"/>
        </w:tabs>
        <w:numPr>
          <w:ilvl w:val="0"/>
          <w:numId w:val="70"/>
        </w:numPr>
        <w:rPr>
          <w:rFonts w:ascii="Arial" w:cs="Arial" w:eastAsia="Arial" w:hAnsi="Arial"/>
          <w:sz w:val="14"/>
          <w:szCs w:val="14"/>
          <w:color w:val="auto"/>
        </w:rPr>
      </w:pPr>
      <w:r>
        <w:rPr>
          <w:rFonts w:ascii="Arial" w:cs="Arial" w:eastAsia="Arial" w:hAnsi="Arial"/>
          <w:sz w:val="14"/>
          <w:szCs w:val="14"/>
          <w:color w:val="auto"/>
        </w:rPr>
        <w:t>higher usage of $12 million primarily due to warmer than normal weather;</w:t>
      </w:r>
    </w:p>
    <w:p>
      <w:pPr>
        <w:spacing w:after="0" w:line="183" w:lineRule="exact"/>
        <w:rPr>
          <w:rFonts w:ascii="Arial" w:cs="Arial" w:eastAsia="Arial" w:hAnsi="Arial"/>
          <w:sz w:val="14"/>
          <w:szCs w:val="14"/>
          <w:color w:val="auto"/>
        </w:rPr>
      </w:pPr>
    </w:p>
    <w:p>
      <w:pPr>
        <w:ind w:left="520" w:hanging="255"/>
        <w:spacing w:after="0"/>
        <w:tabs>
          <w:tab w:leader="none" w:pos="520" w:val="left"/>
        </w:tabs>
        <w:numPr>
          <w:ilvl w:val="0"/>
          <w:numId w:val="70"/>
        </w:numPr>
        <w:rPr>
          <w:rFonts w:ascii="Arial" w:cs="Arial" w:eastAsia="Arial" w:hAnsi="Arial"/>
          <w:sz w:val="14"/>
          <w:szCs w:val="14"/>
          <w:color w:val="auto"/>
        </w:rPr>
      </w:pPr>
      <w:r>
        <w:rPr>
          <w:rFonts w:ascii="Arial" w:cs="Arial" w:eastAsia="Arial" w:hAnsi="Arial"/>
          <w:sz w:val="14"/>
          <w:szCs w:val="14"/>
          <w:color w:val="auto"/>
        </w:rPr>
        <w:t>customer growth of $9 million from the addition of over 48,000 customers;</w:t>
      </w:r>
    </w:p>
    <w:p>
      <w:pPr>
        <w:spacing w:after="0" w:line="183" w:lineRule="exact"/>
        <w:rPr>
          <w:rFonts w:ascii="Arial" w:cs="Arial" w:eastAsia="Arial" w:hAnsi="Arial"/>
          <w:sz w:val="14"/>
          <w:szCs w:val="14"/>
          <w:color w:val="auto"/>
        </w:rPr>
      </w:pPr>
    </w:p>
    <w:p>
      <w:pPr>
        <w:ind w:left="520" w:hanging="255"/>
        <w:spacing w:after="0"/>
        <w:tabs>
          <w:tab w:leader="none" w:pos="520" w:val="left"/>
        </w:tabs>
        <w:numPr>
          <w:ilvl w:val="0"/>
          <w:numId w:val="70"/>
        </w:numPr>
        <w:rPr>
          <w:rFonts w:ascii="Arial" w:cs="Arial" w:eastAsia="Arial" w:hAnsi="Arial"/>
          <w:sz w:val="14"/>
          <w:szCs w:val="14"/>
          <w:color w:val="auto"/>
        </w:rPr>
      </w:pPr>
      <w:r>
        <w:rPr>
          <w:rFonts w:ascii="Arial" w:cs="Arial" w:eastAsia="Arial" w:hAnsi="Arial"/>
          <w:sz w:val="14"/>
          <w:szCs w:val="14"/>
          <w:color w:val="auto"/>
        </w:rPr>
        <w:t>rate increases of $7 million related to distribution capital investments, exclusive of the TCJA mentioned below; and</w:t>
      </w:r>
    </w:p>
    <w:p>
      <w:pPr>
        <w:spacing w:after="0" w:line="183" w:lineRule="exact"/>
        <w:rPr>
          <w:rFonts w:ascii="Arial" w:cs="Arial" w:eastAsia="Arial" w:hAnsi="Arial"/>
          <w:sz w:val="14"/>
          <w:szCs w:val="14"/>
          <w:color w:val="auto"/>
        </w:rPr>
      </w:pPr>
    </w:p>
    <w:p>
      <w:pPr>
        <w:ind w:left="260" w:right="220" w:firstLine="5"/>
        <w:spacing w:after="0" w:line="514" w:lineRule="auto"/>
        <w:tabs>
          <w:tab w:leader="none" w:pos="519" w:val="left"/>
        </w:tabs>
        <w:numPr>
          <w:ilvl w:val="0"/>
          <w:numId w:val="70"/>
        </w:numPr>
        <w:rPr>
          <w:rFonts w:ascii="Arial" w:cs="Arial" w:eastAsia="Arial" w:hAnsi="Arial"/>
          <w:sz w:val="14"/>
          <w:szCs w:val="14"/>
          <w:color w:val="auto"/>
        </w:rPr>
      </w:pPr>
      <w:r>
        <w:rPr>
          <w:rFonts w:ascii="Arial" w:cs="Arial" w:eastAsia="Arial" w:hAnsi="Arial"/>
          <w:sz w:val="14"/>
          <w:szCs w:val="14"/>
          <w:color w:val="auto"/>
        </w:rPr>
        <w:t>higher transmission-related revenues of $18 million, exclusive of the TCJA mentioned below, partially offset by higher transmission costs billed by transmission providers of $16 million. These increases to operating income were partially offset by the following:</w:t>
      </w:r>
    </w:p>
    <w:p>
      <w:pPr>
        <w:ind w:left="520" w:hanging="255"/>
        <w:spacing w:after="0"/>
        <w:tabs>
          <w:tab w:leader="none" w:pos="520" w:val="left"/>
        </w:tabs>
        <w:numPr>
          <w:ilvl w:val="0"/>
          <w:numId w:val="70"/>
        </w:numPr>
        <w:rPr>
          <w:rFonts w:ascii="Arial" w:cs="Arial" w:eastAsia="Arial" w:hAnsi="Arial"/>
          <w:sz w:val="14"/>
          <w:szCs w:val="14"/>
          <w:color w:val="auto"/>
        </w:rPr>
      </w:pPr>
      <w:r>
        <w:rPr>
          <w:rFonts w:ascii="Arial" w:cs="Arial" w:eastAsia="Arial" w:hAnsi="Arial"/>
          <w:sz w:val="14"/>
          <w:szCs w:val="14"/>
          <w:color w:val="auto"/>
        </w:rPr>
        <w:t>higher depreciation and amortization expense, primarily because of ongoing additions to plant in service, and other taxes of $9 million;</w:t>
      </w:r>
    </w:p>
    <w:p>
      <w:pPr>
        <w:spacing w:after="0" w:line="183" w:lineRule="exact"/>
        <w:rPr>
          <w:rFonts w:ascii="Arial" w:cs="Arial" w:eastAsia="Arial" w:hAnsi="Arial"/>
          <w:sz w:val="14"/>
          <w:szCs w:val="14"/>
          <w:color w:val="auto"/>
        </w:rPr>
      </w:pPr>
    </w:p>
    <w:p>
      <w:pPr>
        <w:ind w:left="520" w:hanging="255"/>
        <w:spacing w:after="0"/>
        <w:tabs>
          <w:tab w:leader="none" w:pos="520" w:val="left"/>
        </w:tabs>
        <w:numPr>
          <w:ilvl w:val="0"/>
          <w:numId w:val="70"/>
        </w:numPr>
        <w:rPr>
          <w:rFonts w:ascii="Arial" w:cs="Arial" w:eastAsia="Arial" w:hAnsi="Arial"/>
          <w:sz w:val="14"/>
          <w:szCs w:val="14"/>
          <w:color w:val="auto"/>
        </w:rPr>
      </w:pPr>
      <w:r>
        <w:rPr>
          <w:rFonts w:ascii="Arial" w:cs="Arial" w:eastAsia="Arial" w:hAnsi="Arial"/>
          <w:sz w:val="14"/>
          <w:szCs w:val="14"/>
          <w:color w:val="auto"/>
        </w:rPr>
        <w:t>lower equity return of $3 million, primarily related to the annual true-up of transition charges correcting for over-collections that occurred during the preceding 12 months; and</w:t>
      </w:r>
    </w:p>
    <w:p>
      <w:pPr>
        <w:spacing w:after="0" w:line="183" w:lineRule="exact"/>
        <w:rPr>
          <w:rFonts w:ascii="Arial" w:cs="Arial" w:eastAsia="Arial" w:hAnsi="Arial"/>
          <w:sz w:val="14"/>
          <w:szCs w:val="14"/>
          <w:color w:val="auto"/>
        </w:rPr>
      </w:pPr>
    </w:p>
    <w:p>
      <w:pPr>
        <w:ind w:left="520" w:hanging="255"/>
        <w:spacing w:after="0"/>
        <w:tabs>
          <w:tab w:leader="none" w:pos="520" w:val="left"/>
        </w:tabs>
        <w:numPr>
          <w:ilvl w:val="0"/>
          <w:numId w:val="70"/>
        </w:numPr>
        <w:rPr>
          <w:rFonts w:ascii="Arial" w:cs="Arial" w:eastAsia="Arial" w:hAnsi="Arial"/>
          <w:sz w:val="14"/>
          <w:szCs w:val="14"/>
          <w:color w:val="auto"/>
        </w:rPr>
      </w:pPr>
      <w:r>
        <w:rPr>
          <w:rFonts w:ascii="Arial" w:cs="Arial" w:eastAsia="Arial" w:hAnsi="Arial"/>
          <w:sz w:val="14"/>
          <w:szCs w:val="14"/>
          <w:color w:val="auto"/>
        </w:rPr>
        <w:t>lower revenue of $3 million related to the impact of the TCJA.</w:t>
      </w:r>
    </w:p>
    <w:p>
      <w:pPr>
        <w:spacing w:after="0" w:line="184" w:lineRule="exact"/>
        <w:rPr>
          <w:sz w:val="20"/>
          <w:szCs w:val="20"/>
          <w:color w:val="auto"/>
        </w:rPr>
      </w:pPr>
    </w:p>
    <w:p>
      <w:pPr>
        <w:ind w:left="260"/>
        <w:spacing w:after="0"/>
        <w:rPr>
          <w:sz w:val="20"/>
          <w:szCs w:val="20"/>
          <w:color w:val="auto"/>
        </w:rPr>
      </w:pPr>
      <w:r>
        <w:rPr>
          <w:rFonts w:ascii="Arial" w:cs="Arial" w:eastAsia="Arial" w:hAnsi="Arial"/>
          <w:sz w:val="14"/>
          <w:szCs w:val="14"/>
          <w:color w:val="auto"/>
        </w:rPr>
        <w:t>Lower depreciation and amortization expenses related to AMS of $5 million were offset by a corresponding decrease in related revenues.</w:t>
      </w:r>
    </w:p>
    <w:p>
      <w:pPr>
        <w:spacing w:after="0" w:line="184" w:lineRule="exact"/>
        <w:rPr>
          <w:sz w:val="20"/>
          <w:szCs w:val="20"/>
          <w:color w:val="auto"/>
        </w:rPr>
      </w:pPr>
    </w:p>
    <w:p>
      <w:pPr>
        <w:ind w:left="40"/>
        <w:spacing w:after="0"/>
        <w:rPr>
          <w:sz w:val="20"/>
          <w:szCs w:val="20"/>
          <w:color w:val="auto"/>
        </w:rPr>
      </w:pPr>
      <w:r>
        <w:rPr>
          <w:rFonts w:ascii="Arial" w:cs="Arial" w:eastAsia="Arial" w:hAnsi="Arial"/>
          <w:sz w:val="14"/>
          <w:szCs w:val="14"/>
          <w:b w:val="1"/>
          <w:bCs w:val="1"/>
          <w:i w:val="1"/>
          <w:iCs w:val="1"/>
          <w:color w:val="auto"/>
        </w:rPr>
        <w:t>Nine months ended September 30, 2019 compared to nine months ended September 30, 2018</w:t>
      </w:r>
    </w:p>
    <w:p>
      <w:pPr>
        <w:spacing w:after="0" w:line="184" w:lineRule="exact"/>
        <w:rPr>
          <w:sz w:val="20"/>
          <w:szCs w:val="20"/>
          <w:color w:val="auto"/>
        </w:rPr>
      </w:pPr>
    </w:p>
    <w:p>
      <w:pPr>
        <w:jc w:val="both"/>
        <w:ind w:left="40" w:firstLine="259"/>
        <w:spacing w:after="0" w:line="272" w:lineRule="auto"/>
        <w:rPr>
          <w:sz w:val="20"/>
          <w:szCs w:val="20"/>
          <w:color w:val="auto"/>
        </w:rPr>
      </w:pPr>
      <w:r>
        <w:rPr>
          <w:rFonts w:ascii="Arial" w:cs="Arial" w:eastAsia="Arial" w:hAnsi="Arial"/>
          <w:sz w:val="14"/>
          <w:szCs w:val="14"/>
          <w:color w:val="auto"/>
        </w:rPr>
        <w:t>The Houston Electric T&amp;D reportable segment reported operating income of $522 million for the nine months ended September 30, 2019, consisting of $495 million from the TDU and $27 million related to the Bond Companies. For the nine months ended September 30, 2018, operating income totaled $523 million, consisting of $480 million from the TDU and $43 million related to the Bond Companies.</w:t>
      </w:r>
    </w:p>
    <w:p>
      <w:pPr>
        <w:spacing w:after="0" w:line="142" w:lineRule="exact"/>
        <w:rPr>
          <w:sz w:val="20"/>
          <w:szCs w:val="20"/>
          <w:color w:val="auto"/>
        </w:rPr>
      </w:pPr>
    </w:p>
    <w:p>
      <w:pPr>
        <w:ind w:left="300"/>
        <w:spacing w:after="0"/>
        <w:rPr>
          <w:sz w:val="20"/>
          <w:szCs w:val="20"/>
          <w:color w:val="auto"/>
        </w:rPr>
      </w:pPr>
      <w:r>
        <w:rPr>
          <w:rFonts w:ascii="Arial" w:cs="Arial" w:eastAsia="Arial" w:hAnsi="Arial"/>
          <w:sz w:val="14"/>
          <w:szCs w:val="14"/>
          <w:color w:val="auto"/>
        </w:rPr>
        <w:t>TDU operating income increased $15 million, primarily due to the following key factors:</w:t>
      </w:r>
    </w:p>
    <w:p>
      <w:pPr>
        <w:spacing w:after="0" w:line="184" w:lineRule="exact"/>
        <w:rPr>
          <w:sz w:val="20"/>
          <w:szCs w:val="20"/>
          <w:color w:val="auto"/>
        </w:rPr>
      </w:pPr>
    </w:p>
    <w:p>
      <w:pPr>
        <w:ind w:left="520" w:hanging="255"/>
        <w:spacing w:after="0"/>
        <w:tabs>
          <w:tab w:leader="none" w:pos="520" w:val="left"/>
        </w:tabs>
        <w:numPr>
          <w:ilvl w:val="0"/>
          <w:numId w:val="71"/>
        </w:numPr>
        <w:rPr>
          <w:rFonts w:ascii="Arial" w:cs="Arial" w:eastAsia="Arial" w:hAnsi="Arial"/>
          <w:sz w:val="14"/>
          <w:szCs w:val="14"/>
          <w:color w:val="auto"/>
        </w:rPr>
      </w:pPr>
      <w:r>
        <w:rPr>
          <w:rFonts w:ascii="Arial" w:cs="Arial" w:eastAsia="Arial" w:hAnsi="Arial"/>
          <w:sz w:val="14"/>
          <w:szCs w:val="14"/>
          <w:color w:val="auto"/>
        </w:rPr>
        <w:t>customer growth of $22 million from the addition of over 48,000 customers;</w:t>
      </w:r>
    </w:p>
    <w:p>
      <w:pPr>
        <w:spacing w:after="0" w:line="183" w:lineRule="exact"/>
        <w:rPr>
          <w:rFonts w:ascii="Arial" w:cs="Arial" w:eastAsia="Arial" w:hAnsi="Arial"/>
          <w:sz w:val="14"/>
          <w:szCs w:val="14"/>
          <w:color w:val="auto"/>
        </w:rPr>
      </w:pPr>
    </w:p>
    <w:p>
      <w:pPr>
        <w:ind w:left="520" w:hanging="255"/>
        <w:spacing w:after="0"/>
        <w:tabs>
          <w:tab w:leader="none" w:pos="520" w:val="left"/>
        </w:tabs>
        <w:numPr>
          <w:ilvl w:val="0"/>
          <w:numId w:val="71"/>
        </w:numPr>
        <w:rPr>
          <w:rFonts w:ascii="Arial" w:cs="Arial" w:eastAsia="Arial" w:hAnsi="Arial"/>
          <w:sz w:val="14"/>
          <w:szCs w:val="14"/>
          <w:color w:val="auto"/>
        </w:rPr>
      </w:pPr>
      <w:r>
        <w:rPr>
          <w:rFonts w:ascii="Arial" w:cs="Arial" w:eastAsia="Arial" w:hAnsi="Arial"/>
          <w:sz w:val="14"/>
          <w:szCs w:val="14"/>
          <w:color w:val="auto"/>
        </w:rPr>
        <w:t>rate increases of $20 million related to distribution capital investments, exclusive of the TCJA mentioned above;</w:t>
      </w:r>
    </w:p>
    <w:p>
      <w:pPr>
        <w:spacing w:after="0" w:line="183" w:lineRule="exact"/>
        <w:rPr>
          <w:rFonts w:ascii="Arial" w:cs="Arial" w:eastAsia="Arial" w:hAnsi="Arial"/>
          <w:sz w:val="14"/>
          <w:szCs w:val="14"/>
          <w:color w:val="auto"/>
        </w:rPr>
      </w:pPr>
    </w:p>
    <w:p>
      <w:pPr>
        <w:ind w:left="520" w:hanging="255"/>
        <w:spacing w:after="0"/>
        <w:tabs>
          <w:tab w:leader="none" w:pos="520" w:val="left"/>
        </w:tabs>
        <w:numPr>
          <w:ilvl w:val="0"/>
          <w:numId w:val="71"/>
        </w:numPr>
        <w:rPr>
          <w:rFonts w:ascii="Arial" w:cs="Arial" w:eastAsia="Arial" w:hAnsi="Arial"/>
          <w:sz w:val="13"/>
          <w:szCs w:val="13"/>
          <w:color w:val="auto"/>
        </w:rPr>
      </w:pPr>
      <w:r>
        <w:rPr>
          <w:rFonts w:ascii="Arial" w:cs="Arial" w:eastAsia="Arial" w:hAnsi="Arial"/>
          <w:sz w:val="13"/>
          <w:szCs w:val="13"/>
          <w:color w:val="auto"/>
        </w:rPr>
        <w:t>higher transmission-related revenues of $56 million, exclusive of the TCJA mentioned above, partially offset by higher transmission costs billed by transmission providers of $38 million;</w:t>
      </w:r>
    </w:p>
    <w:p>
      <w:pPr>
        <w:spacing w:after="0" w:line="195" w:lineRule="exact"/>
        <w:rPr>
          <w:rFonts w:ascii="Arial" w:cs="Arial" w:eastAsia="Arial" w:hAnsi="Arial"/>
          <w:sz w:val="13"/>
          <w:szCs w:val="13"/>
          <w:color w:val="auto"/>
        </w:rPr>
      </w:pPr>
    </w:p>
    <w:p>
      <w:pPr>
        <w:ind w:left="520" w:hanging="255"/>
        <w:spacing w:after="0" w:line="288" w:lineRule="auto"/>
        <w:tabs>
          <w:tab w:leader="none" w:pos="520" w:val="left"/>
        </w:tabs>
        <w:numPr>
          <w:ilvl w:val="0"/>
          <w:numId w:val="71"/>
        </w:numPr>
        <w:rPr>
          <w:rFonts w:ascii="Arial" w:cs="Arial" w:eastAsia="Arial" w:hAnsi="Arial"/>
          <w:sz w:val="14"/>
          <w:szCs w:val="14"/>
          <w:color w:val="auto"/>
        </w:rPr>
      </w:pPr>
      <w:r>
        <w:rPr>
          <w:rFonts w:ascii="Arial" w:cs="Arial" w:eastAsia="Arial" w:hAnsi="Arial"/>
          <w:sz w:val="14"/>
          <w:szCs w:val="14"/>
          <w:color w:val="auto"/>
        </w:rPr>
        <w:t>decreased operation and maintenance expenses of $17 million, net of $10 million of Merger-related severance costs, primarily due to lower labor and benefits costs and lower support services costs; and</w:t>
      </w:r>
    </w:p>
    <w:p>
      <w:pPr>
        <w:spacing w:after="0" w:line="130" w:lineRule="exact"/>
        <w:rPr>
          <w:rFonts w:ascii="Arial" w:cs="Arial" w:eastAsia="Arial" w:hAnsi="Arial"/>
          <w:sz w:val="14"/>
          <w:szCs w:val="14"/>
          <w:color w:val="auto"/>
        </w:rPr>
      </w:pPr>
    </w:p>
    <w:p>
      <w:pPr>
        <w:ind w:left="520" w:hanging="255"/>
        <w:spacing w:after="0"/>
        <w:tabs>
          <w:tab w:leader="none" w:pos="520" w:val="left"/>
        </w:tabs>
        <w:numPr>
          <w:ilvl w:val="0"/>
          <w:numId w:val="71"/>
        </w:numPr>
        <w:rPr>
          <w:rFonts w:ascii="Arial" w:cs="Arial" w:eastAsia="Arial" w:hAnsi="Arial"/>
          <w:sz w:val="14"/>
          <w:szCs w:val="14"/>
          <w:color w:val="auto"/>
        </w:rPr>
      </w:pPr>
      <w:r>
        <w:rPr>
          <w:rFonts w:ascii="Arial" w:cs="Arial" w:eastAsia="Arial" w:hAnsi="Arial"/>
          <w:sz w:val="14"/>
          <w:szCs w:val="14"/>
          <w:color w:val="auto"/>
        </w:rPr>
        <w:t>higher miscellaneous revenues of $13 million primarily related to right-of-way revenues.</w:t>
      </w:r>
    </w:p>
    <w:p>
      <w:pPr>
        <w:spacing w:after="0" w:line="200" w:lineRule="exact"/>
        <w:rPr>
          <w:sz w:val="20"/>
          <w:szCs w:val="20"/>
          <w:color w:val="auto"/>
        </w:rPr>
      </w:pPr>
    </w:p>
    <w:p>
      <w:pPr>
        <w:spacing w:after="0" w:line="329" w:lineRule="exact"/>
        <w:rPr>
          <w:sz w:val="20"/>
          <w:szCs w:val="20"/>
          <w:color w:val="auto"/>
        </w:rPr>
      </w:pPr>
    </w:p>
    <w:p>
      <w:pPr>
        <w:ind w:left="520" w:hanging="255"/>
        <w:spacing w:after="0"/>
        <w:tabs>
          <w:tab w:leader="none" w:pos="520" w:val="left"/>
        </w:tabs>
        <w:numPr>
          <w:ilvl w:val="0"/>
          <w:numId w:val="72"/>
        </w:numPr>
        <w:rPr>
          <w:rFonts w:ascii="Arial" w:cs="Arial" w:eastAsia="Arial" w:hAnsi="Arial"/>
          <w:sz w:val="14"/>
          <w:szCs w:val="14"/>
          <w:color w:val="auto"/>
        </w:rPr>
      </w:pPr>
      <w:r>
        <w:rPr>
          <w:rFonts w:ascii="Arial" w:cs="Arial" w:eastAsia="Arial" w:hAnsi="Arial"/>
          <w:sz w:val="14"/>
          <w:szCs w:val="14"/>
          <w:color w:val="auto"/>
        </w:rPr>
        <w:t>lower equity return of $24 million, primarily related to the annual true-up of transition charges to correct over-collections that occurred during the preceding 12 months;</w:t>
      </w:r>
    </w:p>
    <w:p>
      <w:pPr>
        <w:spacing w:after="0" w:line="183" w:lineRule="exact"/>
        <w:rPr>
          <w:rFonts w:ascii="Arial" w:cs="Arial" w:eastAsia="Arial" w:hAnsi="Arial"/>
          <w:sz w:val="14"/>
          <w:szCs w:val="14"/>
          <w:color w:val="auto"/>
        </w:rPr>
      </w:pPr>
    </w:p>
    <w:p>
      <w:pPr>
        <w:ind w:left="520" w:hanging="255"/>
        <w:spacing w:after="0"/>
        <w:tabs>
          <w:tab w:leader="none" w:pos="520" w:val="left"/>
        </w:tabs>
        <w:numPr>
          <w:ilvl w:val="0"/>
          <w:numId w:val="72"/>
        </w:numPr>
        <w:rPr>
          <w:rFonts w:ascii="Arial" w:cs="Arial" w:eastAsia="Arial" w:hAnsi="Arial"/>
          <w:sz w:val="14"/>
          <w:szCs w:val="14"/>
          <w:color w:val="auto"/>
        </w:rPr>
      </w:pPr>
      <w:r>
        <w:rPr>
          <w:rFonts w:ascii="Arial" w:cs="Arial" w:eastAsia="Arial" w:hAnsi="Arial"/>
          <w:sz w:val="14"/>
          <w:szCs w:val="14"/>
          <w:color w:val="auto"/>
        </w:rPr>
        <w:t>higher depreciation and amortization expense, primarily because of ongoing additions to plant in service, and other taxes of $22 million;</w:t>
      </w:r>
    </w:p>
    <w:p>
      <w:pPr>
        <w:spacing w:after="0" w:line="183" w:lineRule="exact"/>
        <w:rPr>
          <w:rFonts w:ascii="Arial" w:cs="Arial" w:eastAsia="Arial" w:hAnsi="Arial"/>
          <w:sz w:val="14"/>
          <w:szCs w:val="14"/>
          <w:color w:val="auto"/>
        </w:rPr>
      </w:pPr>
    </w:p>
    <w:p>
      <w:pPr>
        <w:ind w:left="520" w:hanging="255"/>
        <w:spacing w:after="0"/>
        <w:tabs>
          <w:tab w:leader="none" w:pos="520" w:val="left"/>
        </w:tabs>
        <w:numPr>
          <w:ilvl w:val="0"/>
          <w:numId w:val="72"/>
        </w:numPr>
        <w:rPr>
          <w:rFonts w:ascii="Arial" w:cs="Arial" w:eastAsia="Arial" w:hAnsi="Arial"/>
          <w:sz w:val="14"/>
          <w:szCs w:val="14"/>
          <w:color w:val="auto"/>
        </w:rPr>
      </w:pPr>
      <w:r>
        <w:rPr>
          <w:rFonts w:ascii="Arial" w:cs="Arial" w:eastAsia="Arial" w:hAnsi="Arial"/>
          <w:sz w:val="14"/>
          <w:szCs w:val="14"/>
          <w:color w:val="auto"/>
        </w:rPr>
        <w:t>lower usage of $16 million; and</w:t>
      </w:r>
    </w:p>
    <w:p>
      <w:pPr>
        <w:spacing w:after="0" w:line="183" w:lineRule="exact"/>
        <w:rPr>
          <w:rFonts w:ascii="Arial" w:cs="Arial" w:eastAsia="Arial" w:hAnsi="Arial"/>
          <w:sz w:val="14"/>
          <w:szCs w:val="14"/>
          <w:color w:val="auto"/>
        </w:rPr>
      </w:pPr>
    </w:p>
    <w:p>
      <w:pPr>
        <w:ind w:left="520" w:hanging="255"/>
        <w:spacing w:after="0"/>
        <w:tabs>
          <w:tab w:leader="none" w:pos="520" w:val="left"/>
        </w:tabs>
        <w:numPr>
          <w:ilvl w:val="0"/>
          <w:numId w:val="72"/>
        </w:numPr>
        <w:rPr>
          <w:rFonts w:ascii="Arial" w:cs="Arial" w:eastAsia="Arial" w:hAnsi="Arial"/>
          <w:sz w:val="14"/>
          <w:szCs w:val="14"/>
          <w:color w:val="auto"/>
        </w:rPr>
      </w:pPr>
      <w:r>
        <w:rPr>
          <w:rFonts w:ascii="Arial" w:cs="Arial" w:eastAsia="Arial" w:hAnsi="Arial"/>
          <w:sz w:val="14"/>
          <w:szCs w:val="14"/>
          <w:color w:val="auto"/>
        </w:rPr>
        <w:t>lower revenue of $15 million related to the impact of the TCJA.</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73</w:t>
      </w:r>
    </w:p>
    <w:p>
      <w:pPr>
        <w:sectPr>
          <w:pgSz w:w="11900" w:h="16838" w:orient="portrait"/>
          <w:cols w:equalWidth="0" w:num="1">
            <w:col w:w="11460"/>
          </w:cols>
          <w:pgMar w:left="220" w:top="129" w:right="219" w:bottom="1440" w:gutter="0" w:footer="0" w:header="0"/>
        </w:sectPr>
      </w:pPr>
    </w:p>
    <w:bookmarkStart w:id="83" w:name="page84"/>
    <w:bookmarkEnd w:id="83"/>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249" w:lineRule="exact"/>
        <w:rPr>
          <w:sz w:val="20"/>
          <w:szCs w:val="20"/>
          <w:color w:val="auto"/>
        </w:rPr>
      </w:pPr>
    </w:p>
    <w:p>
      <w:pPr>
        <w:ind w:left="260"/>
        <w:spacing w:after="0"/>
        <w:rPr>
          <w:sz w:val="20"/>
          <w:szCs w:val="20"/>
          <w:color w:val="auto"/>
        </w:rPr>
      </w:pPr>
      <w:r>
        <w:rPr>
          <w:rFonts w:ascii="Arial" w:cs="Arial" w:eastAsia="Arial" w:hAnsi="Arial"/>
          <w:sz w:val="14"/>
          <w:szCs w:val="14"/>
          <w:color w:val="auto"/>
        </w:rPr>
        <w:t>Lower depreciation and amortization expenses related to AMS of $27 million were offset by a corresponding decrease in related revenues.</w:t>
      </w:r>
    </w:p>
    <w:p>
      <w:pPr>
        <w:spacing w:after="0" w:line="21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Indiana Electric Integrated (CenterPoint Energy)</w:t>
      </w:r>
    </w:p>
    <w:p>
      <w:pPr>
        <w:spacing w:after="0" w:line="188" w:lineRule="exact"/>
        <w:rPr>
          <w:sz w:val="20"/>
          <w:szCs w:val="20"/>
          <w:color w:val="auto"/>
        </w:rPr>
      </w:pPr>
    </w:p>
    <w:p>
      <w:pPr>
        <w:jc w:val="both"/>
        <w:ind w:firstLine="259"/>
        <w:spacing w:after="0" w:line="302" w:lineRule="auto"/>
        <w:rPr>
          <w:sz w:val="20"/>
          <w:szCs w:val="20"/>
          <w:color w:val="auto"/>
        </w:rPr>
      </w:pPr>
      <w:r>
        <w:rPr>
          <w:rFonts w:ascii="Arial" w:cs="Arial" w:eastAsia="Arial" w:hAnsi="Arial"/>
          <w:sz w:val="13"/>
          <w:szCs w:val="13"/>
          <w:color w:val="auto"/>
        </w:rPr>
        <w:t>For information regarding factors that may affect the future results of operations of the Indiana Electric Integrated reportable segment, please read “Risk Factors — Risk Factors Associated with Our Consolidated Financial Condition,” “— Risk Factors Affecting Electric Generation, Transmission and Distribution Businesses” and “— Other Risk Factors Affecting Our Businesses or CenterPoint Energy’s Interests in Enable Midstream Partners, LP” in Item 1A of Part I of the Registrants’ combined 2018 Form 10-K and in Item 1A of Part II of this Form 10-Q.</w:t>
      </w:r>
    </w:p>
    <w:p>
      <w:pPr>
        <w:spacing w:after="0" w:line="125"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following table provides summary data of CenterPoint Energy’s Indiana Electric Integrated reportable segment:</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7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0" w:type="dxa"/>
            <w:vAlign w:val="bottom"/>
            <w:gridSpan w:val="2"/>
          </w:tcPr>
          <w:p>
            <w:pPr>
              <w:spacing w:after="0"/>
              <w:rPr>
                <w:sz w:val="20"/>
                <w:szCs w:val="20"/>
                <w:color w:val="auto"/>
              </w:rPr>
            </w:pPr>
            <w:r>
              <w:rPr>
                <w:rFonts w:ascii="Arial" w:cs="Arial" w:eastAsia="Arial" w:hAnsi="Arial"/>
                <w:sz w:val="11"/>
                <w:szCs w:val="11"/>
                <w:b w:val="1"/>
                <w:bCs w:val="1"/>
                <w:color w:val="auto"/>
              </w:rPr>
              <w:t>Three Months Ended September 30,</w:t>
            </w:r>
          </w:p>
        </w:tc>
        <w:tc>
          <w:tcPr>
            <w:tcW w:w="100" w:type="dxa"/>
            <w:vAlign w:val="bottom"/>
          </w:tcPr>
          <w:p>
            <w:pPr>
              <w:spacing w:after="0"/>
              <w:rPr>
                <w:sz w:val="10"/>
                <w:szCs w:val="10"/>
                <w:color w:val="auto"/>
              </w:rPr>
            </w:pPr>
          </w:p>
        </w:tc>
        <w:tc>
          <w:tcPr>
            <w:tcW w:w="1820" w:type="dxa"/>
            <w:vAlign w:val="bottom"/>
          </w:tcPr>
          <w:p>
            <w:pPr>
              <w:jc w:val="right"/>
              <w:ind w:right="30"/>
              <w:spacing w:after="0"/>
              <w:rPr>
                <w:sz w:val="20"/>
                <w:szCs w:val="20"/>
                <w:color w:val="auto"/>
              </w:rPr>
            </w:pPr>
            <w:r>
              <w:rPr>
                <w:rFonts w:ascii="Arial" w:cs="Arial" w:eastAsia="Arial" w:hAnsi="Arial"/>
                <w:sz w:val="11"/>
                <w:szCs w:val="11"/>
                <w:b w:val="1"/>
                <w:bCs w:val="1"/>
                <w:color w:val="auto"/>
                <w:w w:val="93"/>
              </w:rPr>
              <w:t>Nine Months Ended September 30,</w:t>
            </w:r>
          </w:p>
        </w:tc>
      </w:tr>
      <w:tr>
        <w:trPr>
          <w:trHeight w:val="153"/>
        </w:trPr>
        <w:tc>
          <w:tcPr>
            <w:tcW w:w="74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80" w:type="dxa"/>
            <w:vAlign w:val="bottom"/>
            <w:tcBorders>
              <w:bottom w:val="single" w:sz="8" w:color="auto"/>
            </w:tcBorders>
          </w:tcPr>
          <w:p>
            <w:pPr>
              <w:jc w:val="right"/>
              <w:ind w:right="811"/>
              <w:spacing w:after="0"/>
              <w:rPr>
                <w:sz w:val="20"/>
                <w:szCs w:val="20"/>
                <w:color w:val="auto"/>
              </w:rPr>
            </w:pPr>
            <w:r>
              <w:rPr>
                <w:rFonts w:ascii="Arial" w:cs="Arial" w:eastAsia="Arial" w:hAnsi="Arial"/>
                <w:sz w:val="11"/>
                <w:szCs w:val="11"/>
                <w:b w:val="1"/>
                <w:bCs w:val="1"/>
                <w:color w:val="auto"/>
              </w:rPr>
              <w:t>2019</w:t>
            </w:r>
          </w:p>
        </w:tc>
        <w:tc>
          <w:tcPr>
            <w:tcW w:w="1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820" w:type="dxa"/>
            <w:vAlign w:val="bottom"/>
            <w:tcBorders>
              <w:bottom w:val="single" w:sz="8" w:color="auto"/>
            </w:tcBorders>
          </w:tcPr>
          <w:p>
            <w:pPr>
              <w:jc w:val="right"/>
              <w:ind w:right="710"/>
              <w:spacing w:after="0"/>
              <w:rPr>
                <w:sz w:val="20"/>
                <w:szCs w:val="20"/>
                <w:color w:val="auto"/>
              </w:rPr>
            </w:pPr>
            <w:r>
              <w:rPr>
                <w:rFonts w:ascii="Arial" w:cs="Arial" w:eastAsia="Arial" w:hAnsi="Arial"/>
                <w:sz w:val="11"/>
                <w:szCs w:val="11"/>
                <w:b w:val="1"/>
                <w:bCs w:val="1"/>
                <w:color w:val="auto"/>
              </w:rPr>
              <w:t xml:space="preserve">2019 </w:t>
            </w:r>
            <w:r>
              <w:rPr>
                <w:rFonts w:ascii="Arial" w:cs="Arial" w:eastAsia="Arial" w:hAnsi="Arial"/>
                <w:sz w:val="8"/>
                <w:szCs w:val="8"/>
                <w:b w:val="1"/>
                <w:bCs w:val="1"/>
                <w:color w:val="auto"/>
              </w:rPr>
              <w:t>(1)</w:t>
            </w:r>
          </w:p>
        </w:tc>
      </w:tr>
      <w:tr>
        <w:trPr>
          <w:trHeight w:val="196"/>
        </w:trPr>
        <w:tc>
          <w:tcPr>
            <w:tcW w:w="7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920" w:type="dxa"/>
            <w:vAlign w:val="bottom"/>
            <w:gridSpan w:val="4"/>
          </w:tcPr>
          <w:p>
            <w:pPr>
              <w:jc w:val="right"/>
              <w:ind w:right="670"/>
              <w:spacing w:after="0"/>
              <w:rPr>
                <w:sz w:val="20"/>
                <w:szCs w:val="20"/>
                <w:color w:val="auto"/>
              </w:rPr>
            </w:pPr>
            <w:r>
              <w:rPr>
                <w:rFonts w:ascii="Arial" w:cs="Arial" w:eastAsia="Arial" w:hAnsi="Arial"/>
                <w:sz w:val="11"/>
                <w:szCs w:val="11"/>
                <w:b w:val="1"/>
                <w:bCs w:val="1"/>
                <w:color w:val="auto"/>
              </w:rPr>
              <w:t>(in millions, except throughput and customer data)</w:t>
            </w:r>
          </w:p>
        </w:tc>
      </w:tr>
      <w:tr>
        <w:trPr>
          <w:trHeight w:val="220"/>
        </w:trPr>
        <w:tc>
          <w:tcPr>
            <w:tcW w:w="746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4"/>
                <w:szCs w:val="14"/>
                <w:color w:val="auto"/>
              </w:rPr>
              <w:t>Revenues</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8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165</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388</w:t>
            </w:r>
          </w:p>
        </w:tc>
      </w:tr>
      <w:tr>
        <w:trPr>
          <w:trHeight w:val="184"/>
        </w:trPr>
        <w:tc>
          <w:tcPr>
            <w:tcW w:w="7460" w:type="dxa"/>
            <w:vAlign w:val="bottom"/>
          </w:tcPr>
          <w:p>
            <w:pPr>
              <w:ind w:left="20"/>
              <w:spacing w:after="0"/>
              <w:rPr>
                <w:sz w:val="20"/>
                <w:szCs w:val="20"/>
                <w:color w:val="auto"/>
              </w:rPr>
            </w:pPr>
            <w:r>
              <w:rPr>
                <w:rFonts w:ascii="Arial" w:cs="Arial" w:eastAsia="Arial" w:hAnsi="Arial"/>
                <w:sz w:val="14"/>
                <w:szCs w:val="14"/>
                <w:color w:val="auto"/>
              </w:rPr>
              <w:t>Expenses:</w:t>
            </w:r>
          </w:p>
        </w:tc>
        <w:tc>
          <w:tcPr>
            <w:tcW w:w="80" w:type="dxa"/>
            <w:vAlign w:val="bottom"/>
            <w:tcBorders>
              <w:top w:val="single" w:sz="8" w:color="auto"/>
            </w:tcBorders>
          </w:tcPr>
          <w:p>
            <w:pPr>
              <w:spacing w:after="0"/>
              <w:rPr>
                <w:sz w:val="15"/>
                <w:szCs w:val="15"/>
                <w:color w:val="auto"/>
              </w:rPr>
            </w:pPr>
          </w:p>
        </w:tc>
        <w:tc>
          <w:tcPr>
            <w:tcW w:w="18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820" w:type="dxa"/>
            <w:vAlign w:val="bottom"/>
            <w:tcBorders>
              <w:top w:val="single" w:sz="8" w:color="auto"/>
            </w:tcBorders>
          </w:tcPr>
          <w:p>
            <w:pPr>
              <w:spacing w:after="0"/>
              <w:rPr>
                <w:sz w:val="15"/>
                <w:szCs w:val="15"/>
                <w:color w:val="auto"/>
              </w:rPr>
            </w:pPr>
          </w:p>
        </w:tc>
      </w:tr>
      <w:tr>
        <w:trPr>
          <w:trHeight w:val="23"/>
        </w:trPr>
        <w:tc>
          <w:tcPr>
            <w:tcW w:w="7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196"/>
        </w:trPr>
        <w:tc>
          <w:tcPr>
            <w:tcW w:w="74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Utility natural gas, fuel and purchased power</w:t>
            </w:r>
          </w:p>
        </w:tc>
        <w:tc>
          <w:tcPr>
            <w:tcW w:w="80" w:type="dxa"/>
            <w:vAlign w:val="bottom"/>
            <w:tcBorders>
              <w:bottom w:val="single" w:sz="8" w:color="CCEEFF"/>
            </w:tcBorders>
            <w:shd w:val="clear" w:color="auto" w:fill="CCEEFF"/>
          </w:tcPr>
          <w:p>
            <w:pPr>
              <w:spacing w:after="0"/>
              <w:rPr>
                <w:sz w:val="17"/>
                <w:szCs w:val="17"/>
                <w:color w:val="auto"/>
              </w:rPr>
            </w:pPr>
          </w:p>
        </w:tc>
        <w:tc>
          <w:tcPr>
            <w:tcW w:w="18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46</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112</w:t>
            </w:r>
          </w:p>
        </w:tc>
      </w:tr>
      <w:tr>
        <w:trPr>
          <w:trHeight w:val="193"/>
        </w:trPr>
        <w:tc>
          <w:tcPr>
            <w:tcW w:w="7460" w:type="dxa"/>
            <w:vAlign w:val="bottom"/>
          </w:tcPr>
          <w:p>
            <w:pPr>
              <w:ind w:left="140"/>
              <w:spacing w:after="0"/>
              <w:rPr>
                <w:sz w:val="20"/>
                <w:szCs w:val="20"/>
                <w:color w:val="auto"/>
              </w:rPr>
            </w:pPr>
            <w:r>
              <w:rPr>
                <w:rFonts w:ascii="Arial" w:cs="Arial" w:eastAsia="Arial" w:hAnsi="Arial"/>
                <w:sz w:val="14"/>
                <w:szCs w:val="14"/>
                <w:color w:val="auto"/>
              </w:rPr>
              <w:t>Operation and maintenance</w:t>
            </w:r>
          </w:p>
        </w:tc>
        <w:tc>
          <w:tcPr>
            <w:tcW w:w="80" w:type="dxa"/>
            <w:vAlign w:val="bottom"/>
          </w:tcPr>
          <w:p>
            <w:pPr>
              <w:spacing w:after="0"/>
              <w:rPr>
                <w:sz w:val="16"/>
                <w:szCs w:val="16"/>
                <w:color w:val="auto"/>
              </w:rPr>
            </w:pPr>
          </w:p>
        </w:tc>
        <w:tc>
          <w:tcPr>
            <w:tcW w:w="1880" w:type="dxa"/>
            <w:vAlign w:val="bottom"/>
          </w:tcPr>
          <w:p>
            <w:pPr>
              <w:jc w:val="right"/>
              <w:ind w:right="51"/>
              <w:spacing w:after="0"/>
              <w:rPr>
                <w:sz w:val="20"/>
                <w:szCs w:val="20"/>
                <w:color w:val="auto"/>
              </w:rPr>
            </w:pPr>
            <w:r>
              <w:rPr>
                <w:rFonts w:ascii="Arial" w:cs="Arial" w:eastAsia="Arial" w:hAnsi="Arial"/>
                <w:sz w:val="14"/>
                <w:szCs w:val="14"/>
                <w:color w:val="auto"/>
              </w:rPr>
              <w:t>42</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20" w:type="dxa"/>
            <w:vAlign w:val="bottom"/>
          </w:tcPr>
          <w:p>
            <w:pPr>
              <w:jc w:val="right"/>
              <w:ind w:right="30"/>
              <w:spacing w:after="0"/>
              <w:rPr>
                <w:sz w:val="20"/>
                <w:szCs w:val="20"/>
                <w:color w:val="auto"/>
              </w:rPr>
            </w:pPr>
            <w:r>
              <w:rPr>
                <w:rFonts w:ascii="Arial" w:cs="Arial" w:eastAsia="Arial" w:hAnsi="Arial"/>
                <w:sz w:val="14"/>
                <w:szCs w:val="14"/>
                <w:color w:val="auto"/>
              </w:rPr>
              <w:t>136</w:t>
            </w:r>
          </w:p>
        </w:tc>
      </w:tr>
      <w:tr>
        <w:trPr>
          <w:trHeight w:val="23"/>
        </w:trPr>
        <w:tc>
          <w:tcPr>
            <w:tcW w:w="7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196"/>
        </w:trPr>
        <w:tc>
          <w:tcPr>
            <w:tcW w:w="74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Depreciation and amortization</w:t>
            </w:r>
          </w:p>
        </w:tc>
        <w:tc>
          <w:tcPr>
            <w:tcW w:w="80" w:type="dxa"/>
            <w:vAlign w:val="bottom"/>
            <w:tcBorders>
              <w:bottom w:val="single" w:sz="8" w:color="CCEEFF"/>
            </w:tcBorders>
            <w:shd w:val="clear" w:color="auto" w:fill="CCEEFF"/>
          </w:tcPr>
          <w:p>
            <w:pPr>
              <w:spacing w:after="0"/>
              <w:rPr>
                <w:sz w:val="17"/>
                <w:szCs w:val="17"/>
                <w:color w:val="auto"/>
              </w:rPr>
            </w:pPr>
          </w:p>
        </w:tc>
        <w:tc>
          <w:tcPr>
            <w:tcW w:w="18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25</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66</w:t>
            </w:r>
          </w:p>
        </w:tc>
      </w:tr>
      <w:tr>
        <w:trPr>
          <w:trHeight w:val="193"/>
        </w:trPr>
        <w:tc>
          <w:tcPr>
            <w:tcW w:w="7460" w:type="dxa"/>
            <w:vAlign w:val="bottom"/>
          </w:tcPr>
          <w:p>
            <w:pPr>
              <w:ind w:left="140"/>
              <w:spacing w:after="0"/>
              <w:rPr>
                <w:sz w:val="20"/>
                <w:szCs w:val="20"/>
                <w:color w:val="auto"/>
              </w:rPr>
            </w:pPr>
            <w:r>
              <w:rPr>
                <w:rFonts w:ascii="Arial" w:cs="Arial" w:eastAsia="Arial" w:hAnsi="Arial"/>
                <w:sz w:val="14"/>
                <w:szCs w:val="14"/>
                <w:color w:val="auto"/>
              </w:rPr>
              <w:t>Taxes other than income taxes</w:t>
            </w:r>
          </w:p>
        </w:tc>
        <w:tc>
          <w:tcPr>
            <w:tcW w:w="80" w:type="dxa"/>
            <w:vAlign w:val="bottom"/>
          </w:tcPr>
          <w:p>
            <w:pPr>
              <w:spacing w:after="0"/>
              <w:rPr>
                <w:sz w:val="16"/>
                <w:szCs w:val="16"/>
                <w:color w:val="auto"/>
              </w:rPr>
            </w:pPr>
          </w:p>
        </w:tc>
        <w:tc>
          <w:tcPr>
            <w:tcW w:w="1880" w:type="dxa"/>
            <w:vAlign w:val="bottom"/>
          </w:tcPr>
          <w:p>
            <w:pPr>
              <w:jc w:val="right"/>
              <w:ind w:right="51"/>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20" w:type="dxa"/>
            <w:vAlign w:val="bottom"/>
          </w:tcPr>
          <w:p>
            <w:pPr>
              <w:jc w:val="right"/>
              <w:ind w:right="30"/>
              <w:spacing w:after="0"/>
              <w:rPr>
                <w:sz w:val="20"/>
                <w:szCs w:val="20"/>
                <w:color w:val="auto"/>
              </w:rPr>
            </w:pPr>
            <w:r>
              <w:rPr>
                <w:rFonts w:ascii="Arial" w:cs="Arial" w:eastAsia="Arial" w:hAnsi="Arial"/>
                <w:sz w:val="14"/>
                <w:szCs w:val="14"/>
                <w:color w:val="auto"/>
              </w:rPr>
              <w:t>10</w:t>
            </w:r>
          </w:p>
        </w:tc>
      </w:tr>
      <w:tr>
        <w:trPr>
          <w:trHeight w:val="23"/>
        </w:trPr>
        <w:tc>
          <w:tcPr>
            <w:tcW w:w="74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r>
        <w:trPr>
          <w:trHeight w:val="206"/>
        </w:trPr>
        <w:tc>
          <w:tcPr>
            <w:tcW w:w="74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4"/>
                <w:szCs w:val="14"/>
                <w:color w:val="auto"/>
              </w:rPr>
              <w:t>Total expenses</w:t>
            </w:r>
          </w:p>
        </w:tc>
        <w:tc>
          <w:tcPr>
            <w:tcW w:w="80" w:type="dxa"/>
            <w:vAlign w:val="bottom"/>
            <w:tcBorders>
              <w:bottom w:val="single" w:sz="8" w:color="CCEEFF"/>
            </w:tcBorders>
            <w:shd w:val="clear" w:color="auto" w:fill="CCEEFF"/>
          </w:tcPr>
          <w:p>
            <w:pPr>
              <w:spacing w:after="0"/>
              <w:rPr>
                <w:sz w:val="17"/>
                <w:szCs w:val="17"/>
                <w:color w:val="auto"/>
              </w:rPr>
            </w:pPr>
          </w:p>
        </w:tc>
        <w:tc>
          <w:tcPr>
            <w:tcW w:w="18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117</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324</w:t>
            </w:r>
          </w:p>
        </w:tc>
      </w:tr>
      <w:tr>
        <w:trPr>
          <w:trHeight w:val="240"/>
        </w:trPr>
        <w:tc>
          <w:tcPr>
            <w:tcW w:w="74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Operating Income</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88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4"/>
                <w:szCs w:val="14"/>
                <w:color w:val="auto"/>
              </w:rPr>
              <w:t>48</w:t>
            </w:r>
          </w:p>
        </w:tc>
        <w:tc>
          <w:tcPr>
            <w:tcW w:w="120" w:type="dxa"/>
            <w:vAlign w:val="bottom"/>
            <w:tcBorders>
              <w:bottom w:val="single" w:sz="8" w:color="CCEEFF"/>
            </w:tcBorders>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8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4"/>
                <w:szCs w:val="14"/>
                <w:color w:val="auto"/>
              </w:rPr>
              <w:t>64</w:t>
            </w:r>
          </w:p>
        </w:tc>
      </w:tr>
      <w:tr>
        <w:trPr>
          <w:trHeight w:val="174"/>
        </w:trPr>
        <w:tc>
          <w:tcPr>
            <w:tcW w:w="7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Throughput (in GWh):</w:t>
            </w:r>
          </w:p>
        </w:tc>
        <w:tc>
          <w:tcPr>
            <w:tcW w:w="80" w:type="dxa"/>
            <w:vAlign w:val="bottom"/>
            <w:tcBorders>
              <w:bottom w:val="single" w:sz="8" w:color="CCEEFF"/>
            </w:tcBorders>
            <w:shd w:val="clear" w:color="auto" w:fill="CCEEFF"/>
          </w:tcPr>
          <w:p>
            <w:pPr>
              <w:spacing w:after="0"/>
              <w:rPr>
                <w:sz w:val="15"/>
                <w:szCs w:val="15"/>
                <w:color w:val="auto"/>
              </w:rPr>
            </w:pPr>
          </w:p>
        </w:tc>
        <w:tc>
          <w:tcPr>
            <w:tcW w:w="18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820" w:type="dxa"/>
            <w:vAlign w:val="bottom"/>
            <w:tcBorders>
              <w:bottom w:val="single" w:sz="8" w:color="CCEEFF"/>
            </w:tcBorders>
            <w:shd w:val="clear" w:color="auto" w:fill="CCEEFF"/>
          </w:tcPr>
          <w:p>
            <w:pPr>
              <w:spacing w:after="0"/>
              <w:rPr>
                <w:sz w:val="15"/>
                <w:szCs w:val="15"/>
                <w:color w:val="auto"/>
              </w:rPr>
            </w:pPr>
          </w:p>
        </w:tc>
      </w:tr>
      <w:tr>
        <w:trPr>
          <w:trHeight w:val="193"/>
        </w:trPr>
        <w:tc>
          <w:tcPr>
            <w:tcW w:w="7460" w:type="dxa"/>
            <w:vAlign w:val="bottom"/>
          </w:tcPr>
          <w:p>
            <w:pPr>
              <w:ind w:left="300"/>
              <w:spacing w:after="0"/>
              <w:rPr>
                <w:sz w:val="20"/>
                <w:szCs w:val="20"/>
                <w:color w:val="auto"/>
              </w:rPr>
            </w:pPr>
            <w:r>
              <w:rPr>
                <w:rFonts w:ascii="Arial" w:cs="Arial" w:eastAsia="Arial" w:hAnsi="Arial"/>
                <w:sz w:val="14"/>
                <w:szCs w:val="14"/>
                <w:color w:val="auto"/>
              </w:rPr>
              <w:t>Retail</w:t>
            </w:r>
          </w:p>
        </w:tc>
        <w:tc>
          <w:tcPr>
            <w:tcW w:w="80" w:type="dxa"/>
            <w:vAlign w:val="bottom"/>
          </w:tcPr>
          <w:p>
            <w:pPr>
              <w:spacing w:after="0"/>
              <w:rPr>
                <w:sz w:val="16"/>
                <w:szCs w:val="16"/>
                <w:color w:val="auto"/>
              </w:rPr>
            </w:pPr>
          </w:p>
        </w:tc>
        <w:tc>
          <w:tcPr>
            <w:tcW w:w="1880" w:type="dxa"/>
            <w:vAlign w:val="bottom"/>
          </w:tcPr>
          <w:p>
            <w:pPr>
              <w:jc w:val="right"/>
              <w:ind w:right="51"/>
              <w:spacing w:after="0"/>
              <w:rPr>
                <w:sz w:val="20"/>
                <w:szCs w:val="20"/>
                <w:color w:val="auto"/>
              </w:rPr>
            </w:pPr>
            <w:r>
              <w:rPr>
                <w:rFonts w:ascii="Arial" w:cs="Arial" w:eastAsia="Arial" w:hAnsi="Arial"/>
                <w:sz w:val="14"/>
                <w:szCs w:val="14"/>
                <w:color w:val="auto"/>
              </w:rPr>
              <w:t>1,416</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20" w:type="dxa"/>
            <w:vAlign w:val="bottom"/>
          </w:tcPr>
          <w:p>
            <w:pPr>
              <w:jc w:val="right"/>
              <w:ind w:right="30"/>
              <w:spacing w:after="0"/>
              <w:rPr>
                <w:sz w:val="20"/>
                <w:szCs w:val="20"/>
                <w:color w:val="auto"/>
              </w:rPr>
            </w:pPr>
            <w:r>
              <w:rPr>
                <w:rFonts w:ascii="Arial" w:cs="Arial" w:eastAsia="Arial" w:hAnsi="Arial"/>
                <w:sz w:val="14"/>
                <w:szCs w:val="14"/>
                <w:color w:val="auto"/>
              </w:rPr>
              <w:t>3,277</w:t>
            </w:r>
          </w:p>
        </w:tc>
      </w:tr>
      <w:tr>
        <w:trPr>
          <w:trHeight w:val="23"/>
        </w:trPr>
        <w:tc>
          <w:tcPr>
            <w:tcW w:w="7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216"/>
        </w:trPr>
        <w:tc>
          <w:tcPr>
            <w:tcW w:w="74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4"/>
                <w:szCs w:val="14"/>
                <w:color w:val="auto"/>
              </w:rPr>
              <w:t>Wholesale</w:t>
            </w:r>
          </w:p>
        </w:tc>
        <w:tc>
          <w:tcPr>
            <w:tcW w:w="80" w:type="dxa"/>
            <w:vAlign w:val="bottom"/>
            <w:tcBorders>
              <w:bottom w:val="single" w:sz="8" w:color="CCEEFF"/>
            </w:tcBorders>
            <w:shd w:val="clear" w:color="auto" w:fill="CCEEFF"/>
          </w:tcPr>
          <w:p>
            <w:pPr>
              <w:spacing w:after="0"/>
              <w:rPr>
                <w:sz w:val="18"/>
                <w:szCs w:val="18"/>
                <w:color w:val="auto"/>
              </w:rPr>
            </w:pPr>
          </w:p>
        </w:tc>
        <w:tc>
          <w:tcPr>
            <w:tcW w:w="18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139</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291</w:t>
            </w:r>
          </w:p>
        </w:tc>
      </w:tr>
      <w:tr>
        <w:trPr>
          <w:trHeight w:val="240"/>
        </w:trPr>
        <w:tc>
          <w:tcPr>
            <w:tcW w:w="7460" w:type="dxa"/>
            <w:vAlign w:val="bottom"/>
            <w:tcBorders>
              <w:bottom w:val="single" w:sz="8" w:color="CCEEFF"/>
            </w:tcBorders>
          </w:tcPr>
          <w:p>
            <w:pPr>
              <w:ind w:left="300"/>
              <w:spacing w:after="0"/>
              <w:rPr>
                <w:sz w:val="20"/>
                <w:szCs w:val="20"/>
                <w:color w:val="auto"/>
              </w:rPr>
            </w:pPr>
            <w:r>
              <w:rPr>
                <w:rFonts w:ascii="Arial" w:cs="Arial" w:eastAsia="Arial" w:hAnsi="Arial"/>
                <w:sz w:val="14"/>
                <w:szCs w:val="14"/>
                <w:color w:val="auto"/>
              </w:rPr>
              <w:t>Total</w:t>
            </w:r>
          </w:p>
        </w:tc>
        <w:tc>
          <w:tcPr>
            <w:tcW w:w="80" w:type="dxa"/>
            <w:vAlign w:val="bottom"/>
            <w:tcBorders>
              <w:top w:val="single" w:sz="8" w:color="auto"/>
              <w:bottom w:val="single" w:sz="8" w:color="auto"/>
            </w:tcBorders>
          </w:tcPr>
          <w:p>
            <w:pPr>
              <w:spacing w:after="0"/>
              <w:rPr>
                <w:sz w:val="20"/>
                <w:szCs w:val="20"/>
                <w:color w:val="auto"/>
              </w:rPr>
            </w:pPr>
          </w:p>
        </w:tc>
        <w:tc>
          <w:tcPr>
            <w:tcW w:w="188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4"/>
                <w:szCs w:val="14"/>
                <w:color w:val="auto"/>
              </w:rPr>
              <w:t>1,555</w:t>
            </w:r>
          </w:p>
        </w:tc>
        <w:tc>
          <w:tcPr>
            <w:tcW w:w="120" w:type="dxa"/>
            <w:vAlign w:val="bottom"/>
            <w:tcBorders>
              <w:bottom w:val="single" w:sz="8" w:color="CCEEFF"/>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8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4"/>
                <w:szCs w:val="14"/>
                <w:color w:val="auto"/>
              </w:rPr>
              <w:t>3,568</w:t>
            </w:r>
          </w:p>
        </w:tc>
      </w:tr>
      <w:tr>
        <w:trPr>
          <w:trHeight w:val="174"/>
        </w:trPr>
        <w:tc>
          <w:tcPr>
            <w:tcW w:w="7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Number of metered customers at end of period:</w:t>
            </w:r>
          </w:p>
        </w:tc>
        <w:tc>
          <w:tcPr>
            <w:tcW w:w="80" w:type="dxa"/>
            <w:vAlign w:val="bottom"/>
            <w:tcBorders>
              <w:bottom w:val="single" w:sz="8" w:color="CCEEFF"/>
            </w:tcBorders>
            <w:shd w:val="clear" w:color="auto" w:fill="CCEEFF"/>
          </w:tcPr>
          <w:p>
            <w:pPr>
              <w:spacing w:after="0"/>
              <w:rPr>
                <w:sz w:val="15"/>
                <w:szCs w:val="15"/>
                <w:color w:val="auto"/>
              </w:rPr>
            </w:pPr>
          </w:p>
        </w:tc>
        <w:tc>
          <w:tcPr>
            <w:tcW w:w="18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820" w:type="dxa"/>
            <w:vAlign w:val="bottom"/>
            <w:tcBorders>
              <w:bottom w:val="single" w:sz="8" w:color="CCEEFF"/>
            </w:tcBorders>
            <w:shd w:val="clear" w:color="auto" w:fill="CCEEFF"/>
          </w:tcPr>
          <w:p>
            <w:pPr>
              <w:spacing w:after="0"/>
              <w:rPr>
                <w:sz w:val="15"/>
                <w:szCs w:val="15"/>
                <w:color w:val="auto"/>
              </w:rPr>
            </w:pPr>
          </w:p>
        </w:tc>
      </w:tr>
      <w:tr>
        <w:trPr>
          <w:trHeight w:val="193"/>
        </w:trPr>
        <w:tc>
          <w:tcPr>
            <w:tcW w:w="7460" w:type="dxa"/>
            <w:vAlign w:val="bottom"/>
          </w:tcPr>
          <w:p>
            <w:pPr>
              <w:ind w:left="300"/>
              <w:spacing w:after="0"/>
              <w:rPr>
                <w:sz w:val="20"/>
                <w:szCs w:val="20"/>
                <w:color w:val="auto"/>
              </w:rPr>
            </w:pPr>
            <w:r>
              <w:rPr>
                <w:rFonts w:ascii="Arial" w:cs="Arial" w:eastAsia="Arial" w:hAnsi="Arial"/>
                <w:sz w:val="14"/>
                <w:szCs w:val="14"/>
                <w:color w:val="auto"/>
              </w:rPr>
              <w:t>Residential</w:t>
            </w:r>
          </w:p>
        </w:tc>
        <w:tc>
          <w:tcPr>
            <w:tcW w:w="80" w:type="dxa"/>
            <w:vAlign w:val="bottom"/>
          </w:tcPr>
          <w:p>
            <w:pPr>
              <w:spacing w:after="0"/>
              <w:rPr>
                <w:sz w:val="16"/>
                <w:szCs w:val="16"/>
                <w:color w:val="auto"/>
              </w:rPr>
            </w:pPr>
          </w:p>
        </w:tc>
        <w:tc>
          <w:tcPr>
            <w:tcW w:w="1880" w:type="dxa"/>
            <w:vAlign w:val="bottom"/>
          </w:tcPr>
          <w:p>
            <w:pPr>
              <w:jc w:val="right"/>
              <w:ind w:right="51"/>
              <w:spacing w:after="0"/>
              <w:rPr>
                <w:sz w:val="20"/>
                <w:szCs w:val="20"/>
                <w:color w:val="auto"/>
              </w:rPr>
            </w:pPr>
            <w:r>
              <w:rPr>
                <w:rFonts w:ascii="Arial" w:cs="Arial" w:eastAsia="Arial" w:hAnsi="Arial"/>
                <w:sz w:val="14"/>
                <w:szCs w:val="14"/>
                <w:color w:val="auto"/>
              </w:rPr>
              <w:t>128,381</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20" w:type="dxa"/>
            <w:vAlign w:val="bottom"/>
          </w:tcPr>
          <w:p>
            <w:pPr>
              <w:jc w:val="right"/>
              <w:ind w:right="30"/>
              <w:spacing w:after="0"/>
              <w:rPr>
                <w:sz w:val="20"/>
                <w:szCs w:val="20"/>
                <w:color w:val="auto"/>
              </w:rPr>
            </w:pPr>
            <w:r>
              <w:rPr>
                <w:rFonts w:ascii="Arial" w:cs="Arial" w:eastAsia="Arial" w:hAnsi="Arial"/>
                <w:sz w:val="14"/>
                <w:szCs w:val="14"/>
                <w:color w:val="auto"/>
              </w:rPr>
              <w:t>128,381</w:t>
            </w:r>
          </w:p>
        </w:tc>
      </w:tr>
      <w:tr>
        <w:trPr>
          <w:trHeight w:val="23"/>
        </w:trPr>
        <w:tc>
          <w:tcPr>
            <w:tcW w:w="7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193"/>
        </w:trPr>
        <w:tc>
          <w:tcPr>
            <w:tcW w:w="7460" w:type="dxa"/>
            <w:vAlign w:val="bottom"/>
            <w:shd w:val="clear" w:color="auto" w:fill="CCEEFF"/>
          </w:tcPr>
          <w:p>
            <w:pPr>
              <w:ind w:left="300"/>
              <w:spacing w:after="0"/>
              <w:rPr>
                <w:sz w:val="20"/>
                <w:szCs w:val="20"/>
                <w:color w:val="auto"/>
              </w:rPr>
            </w:pPr>
            <w:r>
              <w:rPr>
                <w:rFonts w:ascii="Arial" w:cs="Arial" w:eastAsia="Arial" w:hAnsi="Arial"/>
                <w:sz w:val="14"/>
                <w:szCs w:val="14"/>
                <w:color w:val="auto"/>
              </w:rPr>
              <w:t>Total</w:t>
            </w:r>
          </w:p>
        </w:tc>
        <w:tc>
          <w:tcPr>
            <w:tcW w:w="80" w:type="dxa"/>
            <w:vAlign w:val="bottom"/>
            <w:shd w:val="clear" w:color="auto" w:fill="CCEEFF"/>
          </w:tcPr>
          <w:p>
            <w:pPr>
              <w:spacing w:after="0"/>
              <w:rPr>
                <w:sz w:val="16"/>
                <w:szCs w:val="16"/>
                <w:color w:val="auto"/>
              </w:rPr>
            </w:pPr>
          </w:p>
        </w:tc>
        <w:tc>
          <w:tcPr>
            <w:tcW w:w="188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147,337</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147,337</w:t>
            </w:r>
          </w:p>
        </w:tc>
      </w:tr>
      <w:tr>
        <w:trPr>
          <w:trHeight w:val="23"/>
        </w:trPr>
        <w:tc>
          <w:tcPr>
            <w:tcW w:w="74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20" w:type="dxa"/>
            <w:vAlign w:val="bottom"/>
            <w:shd w:val="clear" w:color="auto" w:fill="CCEEFF"/>
          </w:tcPr>
          <w:p>
            <w:pPr>
              <w:spacing w:after="0" w:line="20" w:lineRule="exact"/>
              <w:rPr>
                <w:sz w:val="1"/>
                <w:szCs w:val="1"/>
                <w:color w:val="auto"/>
              </w:rPr>
            </w:pPr>
          </w:p>
        </w:tc>
      </w:tr>
    </w:tbl>
    <w:p>
      <w:pPr>
        <w:spacing w:after="0" w:line="162" w:lineRule="exact"/>
        <w:rPr>
          <w:sz w:val="20"/>
          <w:szCs w:val="20"/>
          <w:color w:val="auto"/>
        </w:rPr>
      </w:pPr>
    </w:p>
    <w:p>
      <w:pPr>
        <w:ind w:left="260"/>
        <w:spacing w:after="0"/>
        <w:rPr>
          <w:sz w:val="20"/>
          <w:szCs w:val="20"/>
          <w:color w:val="auto"/>
        </w:rPr>
      </w:pPr>
      <w:r>
        <w:rPr>
          <w:rFonts w:ascii="Arial" w:cs="Arial" w:eastAsia="Arial" w:hAnsi="Arial"/>
          <w:sz w:val="14"/>
          <w:szCs w:val="14"/>
          <w:color w:val="auto"/>
        </w:rPr>
        <w:t>(1)  Represents February 1, 2019 through September 30, 2019 results only due to the Merger.</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Three months ended September 30, 2019</w:t>
      </w:r>
    </w:p>
    <w:p>
      <w:pPr>
        <w:spacing w:after="0" w:line="184" w:lineRule="exact"/>
        <w:rPr>
          <w:sz w:val="20"/>
          <w:szCs w:val="20"/>
          <w:color w:val="auto"/>
        </w:rPr>
      </w:pPr>
    </w:p>
    <w:p>
      <w:pPr>
        <w:jc w:val="both"/>
        <w:ind w:firstLine="259"/>
        <w:spacing w:after="0" w:line="288" w:lineRule="auto"/>
        <w:rPr>
          <w:sz w:val="20"/>
          <w:szCs w:val="20"/>
          <w:color w:val="auto"/>
        </w:rPr>
      </w:pPr>
      <w:r>
        <w:rPr>
          <w:rFonts w:ascii="Arial" w:cs="Arial" w:eastAsia="Arial" w:hAnsi="Arial"/>
          <w:sz w:val="14"/>
          <w:szCs w:val="14"/>
          <w:color w:val="auto"/>
        </w:rPr>
        <w:t>The Indiana Electric Integrated reportable segment reported operating income of $48 million for the three months ended September 30, 2019. These results are not comparable to the prior year as this reportable segment was acquired in the Merger as discussed in Note 3 to the Interim Condensed Financial Statements.</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Nine months ended September 30, 2019</w:t>
      </w:r>
    </w:p>
    <w:p>
      <w:pPr>
        <w:spacing w:after="0" w:line="184" w:lineRule="exact"/>
        <w:rPr>
          <w:sz w:val="20"/>
          <w:szCs w:val="20"/>
          <w:color w:val="auto"/>
        </w:rPr>
      </w:pPr>
    </w:p>
    <w:p>
      <w:pPr>
        <w:jc w:val="both"/>
        <w:ind w:firstLine="259"/>
        <w:spacing w:after="0" w:line="272" w:lineRule="auto"/>
        <w:rPr>
          <w:sz w:val="20"/>
          <w:szCs w:val="20"/>
          <w:color w:val="auto"/>
        </w:rPr>
      </w:pPr>
      <w:r>
        <w:rPr>
          <w:rFonts w:ascii="Arial" w:cs="Arial" w:eastAsia="Arial" w:hAnsi="Arial"/>
          <w:sz w:val="14"/>
          <w:szCs w:val="14"/>
          <w:color w:val="auto"/>
        </w:rPr>
        <w:t>The Indiana Electric Integrated reportable segment reported operating income of $64 million for the period ended September 30, 2019, which includes operation and maintenance expenses of $20 million for Merger-related severance and incentive compensation costs. These results are not comparable to the prior year as this reportable segment was acquired in the Merger as discussed in Note 3 to the Interim Condensed Financial Statements.</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74</w:t>
      </w:r>
    </w:p>
    <w:p>
      <w:pPr>
        <w:sectPr>
          <w:pgSz w:w="11900" w:h="16838" w:orient="portrait"/>
          <w:cols w:equalWidth="0" w:num="1">
            <w:col w:w="11460"/>
          </w:cols>
          <w:pgMar w:left="220" w:top="129" w:right="219" w:bottom="1440" w:gutter="0" w:footer="0" w:header="0"/>
        </w:sectPr>
      </w:pPr>
    </w:p>
    <w:bookmarkStart w:id="84" w:name="page85"/>
    <w:bookmarkEnd w:id="84"/>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Natural Gas Distribution (CenterPoint Energy)</w:t>
      </w:r>
    </w:p>
    <w:p>
      <w:pPr>
        <w:spacing w:after="0" w:line="188" w:lineRule="exact"/>
        <w:rPr>
          <w:sz w:val="20"/>
          <w:szCs w:val="20"/>
          <w:color w:val="auto"/>
        </w:rPr>
      </w:pPr>
    </w:p>
    <w:p>
      <w:pPr>
        <w:jc w:val="both"/>
        <w:ind w:firstLine="259"/>
        <w:spacing w:after="0" w:line="302" w:lineRule="auto"/>
        <w:rPr>
          <w:sz w:val="20"/>
          <w:szCs w:val="20"/>
          <w:color w:val="auto"/>
        </w:rPr>
      </w:pPr>
      <w:r>
        <w:rPr>
          <w:rFonts w:ascii="Arial" w:cs="Arial" w:eastAsia="Arial" w:hAnsi="Arial"/>
          <w:sz w:val="13"/>
          <w:szCs w:val="13"/>
          <w:color w:val="auto"/>
        </w:rPr>
        <w:t>For information regarding factors that may affect the future results of operations of CenterPoint Energy’s Natural Gas Distribution reportable segment, please read “Risk Factors — Risk Factors Associated with Our Consolidated Financial Condition,” “— Risk Factors Affecting Natural Gas Distribution and Competitive Energy Services Businesses” and “— Other Risk Factors Affecting Our Businesses or CenterPoint Energy’s Interests in Enable Midstream Partners, LP” in Item 1A of Part I of the Registrants’ combined 2018 Form 10-K and in Item 1A of Part II of this Form 10-Q.</w:t>
      </w:r>
    </w:p>
    <w:p>
      <w:pPr>
        <w:spacing w:after="0" w:line="125"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following table provides summary data of CenterPoint Energy’s Natural Gas Distribution reportable segment:</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5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860" w:type="dxa"/>
            <w:vAlign w:val="bottom"/>
            <w:gridSpan w:val="5"/>
          </w:tcPr>
          <w:p>
            <w:pPr>
              <w:ind w:left="300"/>
              <w:spacing w:after="0"/>
              <w:rPr>
                <w:sz w:val="20"/>
                <w:szCs w:val="20"/>
                <w:color w:val="auto"/>
              </w:rPr>
            </w:pPr>
            <w:r>
              <w:rPr>
                <w:rFonts w:ascii="Arial" w:cs="Arial" w:eastAsia="Arial" w:hAnsi="Arial"/>
                <w:sz w:val="11"/>
                <w:szCs w:val="11"/>
                <w:b w:val="1"/>
                <w:bCs w:val="1"/>
                <w:color w:val="auto"/>
              </w:rPr>
              <w:t>Three Months Ended September 30,</w:t>
            </w:r>
          </w:p>
        </w:tc>
        <w:tc>
          <w:tcPr>
            <w:tcW w:w="360" w:type="dxa"/>
            <w:vAlign w:val="bottom"/>
          </w:tcPr>
          <w:p>
            <w:pPr>
              <w:spacing w:after="0"/>
              <w:rPr>
                <w:sz w:val="13"/>
                <w:szCs w:val="13"/>
                <w:color w:val="auto"/>
              </w:rPr>
            </w:pPr>
          </w:p>
        </w:tc>
        <w:tc>
          <w:tcPr>
            <w:tcW w:w="2700" w:type="dxa"/>
            <w:vAlign w:val="bottom"/>
            <w:gridSpan w:val="4"/>
          </w:tcPr>
          <w:p>
            <w:pPr>
              <w:jc w:val="right"/>
              <w:ind w:right="589"/>
              <w:spacing w:after="0"/>
              <w:rPr>
                <w:sz w:val="20"/>
                <w:szCs w:val="20"/>
                <w:color w:val="auto"/>
              </w:rPr>
            </w:pPr>
            <w:r>
              <w:rPr>
                <w:rFonts w:ascii="Arial" w:cs="Arial" w:eastAsia="Arial" w:hAnsi="Arial"/>
                <w:sz w:val="11"/>
                <w:szCs w:val="11"/>
                <w:b w:val="1"/>
                <w:bCs w:val="1"/>
                <w:color w:val="auto"/>
              </w:rPr>
              <w:t>Nine Months Ended September 30,</w:t>
            </w:r>
          </w:p>
        </w:tc>
      </w:tr>
      <w:tr>
        <w:trPr>
          <w:trHeight w:val="206"/>
        </w:trPr>
        <w:tc>
          <w:tcPr>
            <w:tcW w:w="5160" w:type="dxa"/>
            <w:vAlign w:val="bottom"/>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1"/>
                <w:szCs w:val="11"/>
                <w:b w:val="1"/>
                <w:bCs w:val="1"/>
                <w:color w:val="auto"/>
              </w:rPr>
              <w:t>2019</w:t>
            </w:r>
          </w:p>
        </w:tc>
        <w:tc>
          <w:tcPr>
            <w:tcW w:w="120" w:type="dxa"/>
            <w:vAlign w:val="bottom"/>
            <w:tcBorders>
              <w:top w:val="single" w:sz="8" w:color="auto"/>
              <w:bottom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1"/>
                <w:szCs w:val="11"/>
                <w:b w:val="1"/>
                <w:bCs w:val="1"/>
                <w:color w:val="auto"/>
              </w:rPr>
              <w:t>2018</w:t>
            </w:r>
          </w:p>
        </w:tc>
        <w:tc>
          <w:tcPr>
            <w:tcW w:w="120" w:type="dxa"/>
            <w:vAlign w:val="bottom"/>
            <w:tcBorders>
              <w:bottom w:val="single" w:sz="8" w:color="auto"/>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1"/>
                <w:szCs w:val="11"/>
                <w:b w:val="1"/>
                <w:bCs w:val="1"/>
                <w:color w:val="auto"/>
              </w:rPr>
              <w:t>2019</w:t>
            </w:r>
          </w:p>
        </w:tc>
        <w:tc>
          <w:tcPr>
            <w:tcW w:w="120" w:type="dxa"/>
            <w:vAlign w:val="bottom"/>
            <w:tcBorders>
              <w:top w:val="single" w:sz="8" w:color="auto"/>
              <w:bottom w:val="single" w:sz="8" w:color="auto"/>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549"/>
              <w:spacing w:after="0"/>
              <w:rPr>
                <w:sz w:val="20"/>
                <w:szCs w:val="20"/>
                <w:color w:val="auto"/>
              </w:rPr>
            </w:pPr>
            <w:r>
              <w:rPr>
                <w:rFonts w:ascii="Arial" w:cs="Arial" w:eastAsia="Arial" w:hAnsi="Arial"/>
                <w:sz w:val="11"/>
                <w:szCs w:val="11"/>
                <w:b w:val="1"/>
                <w:bCs w:val="1"/>
                <w:color w:val="auto"/>
              </w:rPr>
              <w:t>2018</w:t>
            </w:r>
          </w:p>
        </w:tc>
      </w:tr>
      <w:tr>
        <w:trPr>
          <w:trHeight w:val="196"/>
        </w:trPr>
        <w:tc>
          <w:tcPr>
            <w:tcW w:w="5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20" w:type="dxa"/>
            <w:vAlign w:val="bottom"/>
            <w:gridSpan w:val="5"/>
          </w:tcPr>
          <w:p>
            <w:pPr>
              <w:ind w:left="100"/>
              <w:spacing w:after="0"/>
              <w:rPr>
                <w:sz w:val="20"/>
                <w:szCs w:val="20"/>
                <w:color w:val="auto"/>
              </w:rPr>
            </w:pPr>
            <w:r>
              <w:rPr>
                <w:rFonts w:ascii="Arial" w:cs="Arial" w:eastAsia="Arial" w:hAnsi="Arial"/>
                <w:sz w:val="11"/>
                <w:szCs w:val="11"/>
                <w:b w:val="1"/>
                <w:bCs w:val="1"/>
                <w:color w:val="auto"/>
              </w:rPr>
              <w:t>(in millions, except throughput and customer data)</w:t>
            </w: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20"/>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Revenues</w:t>
            </w:r>
          </w:p>
        </w:tc>
        <w:tc>
          <w:tcPr>
            <w:tcW w:w="380" w:type="dxa"/>
            <w:vAlign w:val="bottom"/>
            <w:tcBorders>
              <w:bottom w:val="single" w:sz="8" w:color="CCEEFF"/>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524</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410</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2,583</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jc w:val="right"/>
              <w:ind w:right="208"/>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2,058</w:t>
            </w:r>
          </w:p>
        </w:tc>
      </w:tr>
      <w:tr>
        <w:trPr>
          <w:trHeight w:val="184"/>
        </w:trPr>
        <w:tc>
          <w:tcPr>
            <w:tcW w:w="5160" w:type="dxa"/>
            <w:vAlign w:val="bottom"/>
          </w:tcPr>
          <w:p>
            <w:pPr>
              <w:ind w:left="20"/>
              <w:spacing w:after="0"/>
              <w:rPr>
                <w:sz w:val="20"/>
                <w:szCs w:val="20"/>
                <w:color w:val="auto"/>
              </w:rPr>
            </w:pPr>
            <w:r>
              <w:rPr>
                <w:rFonts w:ascii="Arial" w:cs="Arial" w:eastAsia="Arial" w:hAnsi="Arial"/>
                <w:sz w:val="14"/>
                <w:szCs w:val="14"/>
                <w:color w:val="auto"/>
              </w:rPr>
              <w:t>Expenses:</w:t>
            </w:r>
          </w:p>
        </w:tc>
        <w:tc>
          <w:tcPr>
            <w:tcW w:w="38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r>
      <w:tr>
        <w:trPr>
          <w:trHeight w:val="23"/>
        </w:trPr>
        <w:tc>
          <w:tcPr>
            <w:tcW w:w="5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96"/>
        </w:trPr>
        <w:tc>
          <w:tcPr>
            <w:tcW w:w="51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Utility natural gas, fuel and purchased power</w:t>
            </w:r>
          </w:p>
        </w:tc>
        <w:tc>
          <w:tcPr>
            <w:tcW w:w="38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125</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120</w:t>
            </w:r>
          </w:p>
        </w:tc>
        <w:tc>
          <w:tcPr>
            <w:tcW w:w="1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1,118</w:t>
            </w:r>
          </w:p>
        </w:tc>
        <w:tc>
          <w:tcPr>
            <w:tcW w:w="1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972</w:t>
            </w:r>
          </w:p>
        </w:tc>
      </w:tr>
      <w:tr>
        <w:trPr>
          <w:trHeight w:val="193"/>
        </w:trPr>
        <w:tc>
          <w:tcPr>
            <w:tcW w:w="5160" w:type="dxa"/>
            <w:vAlign w:val="bottom"/>
          </w:tcPr>
          <w:p>
            <w:pPr>
              <w:ind w:left="140"/>
              <w:spacing w:after="0"/>
              <w:rPr>
                <w:sz w:val="20"/>
                <w:szCs w:val="20"/>
                <w:color w:val="auto"/>
              </w:rPr>
            </w:pPr>
            <w:r>
              <w:rPr>
                <w:rFonts w:ascii="Arial" w:cs="Arial" w:eastAsia="Arial" w:hAnsi="Arial"/>
                <w:sz w:val="14"/>
                <w:szCs w:val="14"/>
                <w:color w:val="auto"/>
              </w:rPr>
              <w:t>Operation and maintenance</w:t>
            </w:r>
          </w:p>
        </w:tc>
        <w:tc>
          <w:tcPr>
            <w:tcW w:w="380" w:type="dxa"/>
            <w:vAlign w:val="bottom"/>
          </w:tcPr>
          <w:p>
            <w:pPr>
              <w:spacing w:after="0"/>
              <w:rPr>
                <w:sz w:val="16"/>
                <w:szCs w:val="16"/>
                <w:color w:val="auto"/>
              </w:rPr>
            </w:pPr>
          </w:p>
        </w:tc>
        <w:tc>
          <w:tcPr>
            <w:tcW w:w="1120" w:type="dxa"/>
            <w:vAlign w:val="bottom"/>
          </w:tcPr>
          <w:p>
            <w:pPr>
              <w:jc w:val="right"/>
              <w:ind w:right="50"/>
              <w:spacing w:after="0"/>
              <w:rPr>
                <w:sz w:val="20"/>
                <w:szCs w:val="20"/>
                <w:color w:val="auto"/>
              </w:rPr>
            </w:pPr>
            <w:r>
              <w:rPr>
                <w:rFonts w:ascii="Arial" w:cs="Arial" w:eastAsia="Arial" w:hAnsi="Arial"/>
                <w:sz w:val="14"/>
                <w:szCs w:val="14"/>
                <w:color w:val="auto"/>
              </w:rPr>
              <w:t>221</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jc w:val="right"/>
              <w:ind w:right="50"/>
              <w:spacing w:after="0"/>
              <w:rPr>
                <w:sz w:val="20"/>
                <w:szCs w:val="20"/>
                <w:color w:val="auto"/>
              </w:rPr>
            </w:pPr>
            <w:r>
              <w:rPr>
                <w:rFonts w:ascii="Arial" w:cs="Arial" w:eastAsia="Arial" w:hAnsi="Arial"/>
                <w:sz w:val="14"/>
                <w:szCs w:val="14"/>
                <w:color w:val="auto"/>
              </w:rPr>
              <w:t>183</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30"/>
              <w:spacing w:after="0"/>
              <w:rPr>
                <w:sz w:val="20"/>
                <w:szCs w:val="20"/>
                <w:color w:val="auto"/>
              </w:rPr>
            </w:pPr>
            <w:r>
              <w:rPr>
                <w:rFonts w:ascii="Arial" w:cs="Arial" w:eastAsia="Arial" w:hAnsi="Arial"/>
                <w:sz w:val="14"/>
                <w:szCs w:val="14"/>
                <w:color w:val="auto"/>
              </w:rPr>
              <w:t>767</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jc w:val="right"/>
              <w:ind w:right="29"/>
              <w:spacing w:after="0"/>
              <w:rPr>
                <w:sz w:val="20"/>
                <w:szCs w:val="20"/>
                <w:color w:val="auto"/>
              </w:rPr>
            </w:pPr>
            <w:r>
              <w:rPr>
                <w:rFonts w:ascii="Arial" w:cs="Arial" w:eastAsia="Arial" w:hAnsi="Arial"/>
                <w:sz w:val="14"/>
                <w:szCs w:val="14"/>
                <w:color w:val="auto"/>
              </w:rPr>
              <w:t>592</w:t>
            </w:r>
          </w:p>
        </w:tc>
      </w:tr>
      <w:tr>
        <w:trPr>
          <w:trHeight w:val="23"/>
        </w:trPr>
        <w:tc>
          <w:tcPr>
            <w:tcW w:w="5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96"/>
        </w:trPr>
        <w:tc>
          <w:tcPr>
            <w:tcW w:w="51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Depreciation and amortization</w:t>
            </w:r>
          </w:p>
        </w:tc>
        <w:tc>
          <w:tcPr>
            <w:tcW w:w="38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108</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73</w:t>
            </w:r>
          </w:p>
        </w:tc>
        <w:tc>
          <w:tcPr>
            <w:tcW w:w="1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308</w:t>
            </w:r>
          </w:p>
        </w:tc>
        <w:tc>
          <w:tcPr>
            <w:tcW w:w="1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210</w:t>
            </w:r>
          </w:p>
        </w:tc>
      </w:tr>
      <w:tr>
        <w:trPr>
          <w:trHeight w:val="193"/>
        </w:trPr>
        <w:tc>
          <w:tcPr>
            <w:tcW w:w="5160" w:type="dxa"/>
            <w:vAlign w:val="bottom"/>
          </w:tcPr>
          <w:p>
            <w:pPr>
              <w:ind w:left="140"/>
              <w:spacing w:after="0"/>
              <w:rPr>
                <w:sz w:val="20"/>
                <w:szCs w:val="20"/>
                <w:color w:val="auto"/>
              </w:rPr>
            </w:pPr>
            <w:r>
              <w:rPr>
                <w:rFonts w:ascii="Arial" w:cs="Arial" w:eastAsia="Arial" w:hAnsi="Arial"/>
                <w:sz w:val="14"/>
                <w:szCs w:val="14"/>
                <w:color w:val="auto"/>
              </w:rPr>
              <w:t>Taxes other than income taxes</w:t>
            </w:r>
          </w:p>
        </w:tc>
        <w:tc>
          <w:tcPr>
            <w:tcW w:w="380" w:type="dxa"/>
            <w:vAlign w:val="bottom"/>
          </w:tcPr>
          <w:p>
            <w:pPr>
              <w:spacing w:after="0"/>
              <w:rPr>
                <w:sz w:val="16"/>
                <w:szCs w:val="16"/>
                <w:color w:val="auto"/>
              </w:rPr>
            </w:pPr>
          </w:p>
        </w:tc>
        <w:tc>
          <w:tcPr>
            <w:tcW w:w="1120" w:type="dxa"/>
            <w:vAlign w:val="bottom"/>
          </w:tcPr>
          <w:p>
            <w:pPr>
              <w:jc w:val="right"/>
              <w:ind w:right="50"/>
              <w:spacing w:after="0"/>
              <w:rPr>
                <w:sz w:val="20"/>
                <w:szCs w:val="20"/>
                <w:color w:val="auto"/>
              </w:rPr>
            </w:pPr>
            <w:r>
              <w:rPr>
                <w:rFonts w:ascii="Arial" w:cs="Arial" w:eastAsia="Arial" w:hAnsi="Arial"/>
                <w:sz w:val="14"/>
                <w:szCs w:val="14"/>
                <w:color w:val="auto"/>
              </w:rPr>
              <w:t>43</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jc w:val="right"/>
              <w:ind w:right="50"/>
              <w:spacing w:after="0"/>
              <w:rPr>
                <w:sz w:val="20"/>
                <w:szCs w:val="20"/>
                <w:color w:val="auto"/>
              </w:rPr>
            </w:pPr>
            <w:r>
              <w:rPr>
                <w:rFonts w:ascii="Arial" w:cs="Arial" w:eastAsia="Arial" w:hAnsi="Arial"/>
                <w:sz w:val="14"/>
                <w:szCs w:val="14"/>
                <w:color w:val="auto"/>
              </w:rPr>
              <w:t>31</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30"/>
              <w:spacing w:after="0"/>
              <w:rPr>
                <w:sz w:val="20"/>
                <w:szCs w:val="20"/>
                <w:color w:val="auto"/>
              </w:rPr>
            </w:pPr>
            <w:r>
              <w:rPr>
                <w:rFonts w:ascii="Arial" w:cs="Arial" w:eastAsia="Arial" w:hAnsi="Arial"/>
                <w:sz w:val="14"/>
                <w:szCs w:val="14"/>
                <w:color w:val="auto"/>
              </w:rPr>
              <w:t>149</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jc w:val="right"/>
              <w:ind w:right="29"/>
              <w:spacing w:after="0"/>
              <w:rPr>
                <w:sz w:val="20"/>
                <w:szCs w:val="20"/>
                <w:color w:val="auto"/>
              </w:rPr>
            </w:pPr>
            <w:r>
              <w:rPr>
                <w:rFonts w:ascii="Arial" w:cs="Arial" w:eastAsia="Arial" w:hAnsi="Arial"/>
                <w:sz w:val="14"/>
                <w:szCs w:val="14"/>
                <w:color w:val="auto"/>
              </w:rPr>
              <w:t>118</w:t>
            </w:r>
          </w:p>
        </w:tc>
      </w:tr>
      <w:tr>
        <w:trPr>
          <w:trHeight w:val="23"/>
        </w:trPr>
        <w:tc>
          <w:tcPr>
            <w:tcW w:w="51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06"/>
        </w:trPr>
        <w:tc>
          <w:tcPr>
            <w:tcW w:w="51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4"/>
                <w:szCs w:val="14"/>
                <w:color w:val="auto"/>
              </w:rPr>
              <w:t>Total expenses</w:t>
            </w:r>
          </w:p>
        </w:tc>
        <w:tc>
          <w:tcPr>
            <w:tcW w:w="38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497</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407</w:t>
            </w:r>
          </w:p>
        </w:tc>
        <w:tc>
          <w:tcPr>
            <w:tcW w:w="1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2,342</w:t>
            </w:r>
          </w:p>
        </w:tc>
        <w:tc>
          <w:tcPr>
            <w:tcW w:w="1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1,892</w:t>
            </w:r>
          </w:p>
        </w:tc>
      </w:tr>
      <w:tr>
        <w:trPr>
          <w:trHeight w:val="240"/>
        </w:trPr>
        <w:tc>
          <w:tcPr>
            <w:tcW w:w="51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Operating Income</w:t>
            </w:r>
          </w:p>
        </w:tc>
        <w:tc>
          <w:tcPr>
            <w:tcW w:w="380" w:type="dxa"/>
            <w:vAlign w:val="bottom"/>
            <w:tcBorders>
              <w:top w:val="single" w:sz="8" w:color="auto"/>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4"/>
                <w:szCs w:val="14"/>
                <w:color w:val="auto"/>
              </w:rPr>
              <w:t>27</w:t>
            </w:r>
          </w:p>
        </w:tc>
        <w:tc>
          <w:tcPr>
            <w:tcW w:w="120" w:type="dxa"/>
            <w:vAlign w:val="bottom"/>
            <w:tcBorders>
              <w:bottom w:val="single" w:sz="8" w:color="CCEEFF"/>
            </w:tcBorders>
          </w:tcPr>
          <w:p>
            <w:pPr>
              <w:spacing w:after="0"/>
              <w:rPr>
                <w:sz w:val="20"/>
                <w:szCs w:val="20"/>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3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4"/>
                <w:szCs w:val="14"/>
                <w:color w:val="auto"/>
              </w:rPr>
              <w:t>3</w:t>
            </w:r>
          </w:p>
        </w:tc>
        <w:tc>
          <w:tcPr>
            <w:tcW w:w="120" w:type="dxa"/>
            <w:vAlign w:val="bottom"/>
            <w:tcBorders>
              <w:bottom w:val="single" w:sz="8" w:color="CCEEFF"/>
            </w:tcBorders>
          </w:tcPr>
          <w:p>
            <w:pPr>
              <w:spacing w:after="0"/>
              <w:rPr>
                <w:sz w:val="20"/>
                <w:szCs w:val="20"/>
                <w:color w:val="auto"/>
              </w:rPr>
            </w:pPr>
          </w:p>
        </w:tc>
        <w:tc>
          <w:tcPr>
            <w:tcW w:w="360" w:type="dxa"/>
            <w:vAlign w:val="bottom"/>
            <w:tcBorders>
              <w:top w:val="single" w:sz="8" w:color="auto"/>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4"/>
                <w:szCs w:val="14"/>
                <w:color w:val="auto"/>
              </w:rPr>
              <w:t>241</w:t>
            </w:r>
          </w:p>
        </w:tc>
        <w:tc>
          <w:tcPr>
            <w:tcW w:w="120" w:type="dxa"/>
            <w:vAlign w:val="bottom"/>
            <w:tcBorders>
              <w:bottom w:val="single" w:sz="8" w:color="CCEEFF"/>
            </w:tcBorders>
          </w:tcPr>
          <w:p>
            <w:pPr>
              <w:spacing w:after="0"/>
              <w:rPr>
                <w:sz w:val="20"/>
                <w:szCs w:val="20"/>
                <w:color w:val="auto"/>
              </w:rPr>
            </w:pPr>
          </w:p>
        </w:tc>
        <w:tc>
          <w:tcPr>
            <w:tcW w:w="360" w:type="dxa"/>
            <w:vAlign w:val="bottom"/>
            <w:tcBorders>
              <w:top w:val="single" w:sz="8" w:color="auto"/>
              <w:bottom w:val="single" w:sz="8" w:color="auto"/>
            </w:tcBorders>
          </w:tcPr>
          <w:p>
            <w:pPr>
              <w:jc w:val="right"/>
              <w:ind w:right="208"/>
              <w:spacing w:after="0"/>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166</w:t>
            </w:r>
          </w:p>
        </w:tc>
      </w:tr>
      <w:tr>
        <w:trPr>
          <w:trHeight w:val="174"/>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Throughput (in Bcf):</w:t>
            </w:r>
          </w:p>
        </w:tc>
        <w:tc>
          <w:tcPr>
            <w:tcW w:w="38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spacing w:after="0"/>
              <w:rPr>
                <w:sz w:val="15"/>
                <w:szCs w:val="15"/>
                <w:color w:val="auto"/>
              </w:rPr>
            </w:pPr>
          </w:p>
        </w:tc>
      </w:tr>
      <w:tr>
        <w:trPr>
          <w:trHeight w:val="193"/>
        </w:trPr>
        <w:tc>
          <w:tcPr>
            <w:tcW w:w="5160" w:type="dxa"/>
            <w:vAlign w:val="bottom"/>
          </w:tcPr>
          <w:p>
            <w:pPr>
              <w:ind w:left="140"/>
              <w:spacing w:after="0"/>
              <w:rPr>
                <w:sz w:val="20"/>
                <w:szCs w:val="20"/>
                <w:color w:val="auto"/>
              </w:rPr>
            </w:pPr>
            <w:r>
              <w:rPr>
                <w:rFonts w:ascii="Arial" w:cs="Arial" w:eastAsia="Arial" w:hAnsi="Arial"/>
                <w:sz w:val="14"/>
                <w:szCs w:val="14"/>
                <w:color w:val="auto"/>
              </w:rPr>
              <w:t>Residential</w:t>
            </w:r>
          </w:p>
        </w:tc>
        <w:tc>
          <w:tcPr>
            <w:tcW w:w="380" w:type="dxa"/>
            <w:vAlign w:val="bottom"/>
          </w:tcPr>
          <w:p>
            <w:pPr>
              <w:spacing w:after="0"/>
              <w:rPr>
                <w:sz w:val="16"/>
                <w:szCs w:val="16"/>
                <w:color w:val="auto"/>
              </w:rPr>
            </w:pPr>
          </w:p>
        </w:tc>
        <w:tc>
          <w:tcPr>
            <w:tcW w:w="1120" w:type="dxa"/>
            <w:vAlign w:val="bottom"/>
          </w:tcPr>
          <w:p>
            <w:pPr>
              <w:jc w:val="right"/>
              <w:ind w:right="50"/>
              <w:spacing w:after="0"/>
              <w:rPr>
                <w:sz w:val="20"/>
                <w:szCs w:val="20"/>
                <w:color w:val="auto"/>
              </w:rPr>
            </w:pPr>
            <w:r>
              <w:rPr>
                <w:rFonts w:ascii="Arial" w:cs="Arial" w:eastAsia="Arial" w:hAnsi="Arial"/>
                <w:sz w:val="14"/>
                <w:szCs w:val="14"/>
                <w:color w:val="auto"/>
              </w:rPr>
              <w:t>16</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jc w:val="right"/>
              <w:ind w:right="50"/>
              <w:spacing w:after="0"/>
              <w:rPr>
                <w:sz w:val="20"/>
                <w:szCs w:val="20"/>
                <w:color w:val="auto"/>
              </w:rPr>
            </w:pPr>
            <w:r>
              <w:rPr>
                <w:rFonts w:ascii="Arial" w:cs="Arial" w:eastAsia="Arial" w:hAnsi="Arial"/>
                <w:sz w:val="14"/>
                <w:szCs w:val="14"/>
                <w:color w:val="auto"/>
              </w:rPr>
              <w:t>13</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30"/>
              <w:spacing w:after="0"/>
              <w:rPr>
                <w:sz w:val="20"/>
                <w:szCs w:val="20"/>
                <w:color w:val="auto"/>
              </w:rPr>
            </w:pPr>
            <w:r>
              <w:rPr>
                <w:rFonts w:ascii="Arial" w:cs="Arial" w:eastAsia="Arial" w:hAnsi="Arial"/>
                <w:sz w:val="14"/>
                <w:szCs w:val="14"/>
                <w:color w:val="auto"/>
              </w:rPr>
              <w:t>160</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jc w:val="right"/>
              <w:ind w:right="29"/>
              <w:spacing w:after="0"/>
              <w:rPr>
                <w:sz w:val="20"/>
                <w:szCs w:val="20"/>
                <w:color w:val="auto"/>
              </w:rPr>
            </w:pPr>
            <w:r>
              <w:rPr>
                <w:rFonts w:ascii="Arial" w:cs="Arial" w:eastAsia="Arial" w:hAnsi="Arial"/>
                <w:sz w:val="14"/>
                <w:szCs w:val="14"/>
                <w:color w:val="auto"/>
              </w:rPr>
              <w:t>123</w:t>
            </w:r>
          </w:p>
        </w:tc>
      </w:tr>
      <w:tr>
        <w:trPr>
          <w:trHeight w:val="23"/>
        </w:trPr>
        <w:tc>
          <w:tcPr>
            <w:tcW w:w="5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16"/>
        </w:trPr>
        <w:tc>
          <w:tcPr>
            <w:tcW w:w="51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Commercial and industrial</w:t>
            </w:r>
          </w:p>
        </w:tc>
        <w:tc>
          <w:tcPr>
            <w:tcW w:w="38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88</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53</w:t>
            </w: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326</w:t>
            </w: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208</w:t>
            </w:r>
          </w:p>
        </w:tc>
      </w:tr>
      <w:tr>
        <w:trPr>
          <w:trHeight w:val="240"/>
        </w:trPr>
        <w:tc>
          <w:tcPr>
            <w:tcW w:w="5160" w:type="dxa"/>
            <w:vAlign w:val="bottom"/>
            <w:tcBorders>
              <w:bottom w:val="single" w:sz="8" w:color="CCEEFF"/>
            </w:tcBorders>
          </w:tcPr>
          <w:p>
            <w:pPr>
              <w:ind w:left="300"/>
              <w:spacing w:after="0"/>
              <w:rPr>
                <w:sz w:val="20"/>
                <w:szCs w:val="20"/>
                <w:color w:val="auto"/>
              </w:rPr>
            </w:pPr>
            <w:r>
              <w:rPr>
                <w:rFonts w:ascii="Arial" w:cs="Arial" w:eastAsia="Arial" w:hAnsi="Arial"/>
                <w:sz w:val="14"/>
                <w:szCs w:val="14"/>
                <w:color w:val="auto"/>
              </w:rPr>
              <w:t>Total Throughput</w:t>
            </w:r>
          </w:p>
        </w:tc>
        <w:tc>
          <w:tcPr>
            <w:tcW w:w="38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4"/>
                <w:szCs w:val="14"/>
                <w:color w:val="auto"/>
              </w:rPr>
              <w:t>104</w:t>
            </w:r>
          </w:p>
        </w:tc>
        <w:tc>
          <w:tcPr>
            <w:tcW w:w="120" w:type="dxa"/>
            <w:vAlign w:val="bottom"/>
            <w:tcBorders>
              <w:bottom w:val="single" w:sz="8" w:color="CCEEFF"/>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13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4"/>
                <w:szCs w:val="14"/>
                <w:color w:val="auto"/>
              </w:rPr>
              <w:t>66</w:t>
            </w:r>
          </w:p>
        </w:tc>
        <w:tc>
          <w:tcPr>
            <w:tcW w:w="120" w:type="dxa"/>
            <w:vAlign w:val="bottom"/>
            <w:tcBorders>
              <w:bottom w:val="single" w:sz="8" w:color="CCEEFF"/>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4"/>
                <w:szCs w:val="14"/>
                <w:color w:val="auto"/>
              </w:rPr>
              <w:t>486</w:t>
            </w:r>
          </w:p>
        </w:tc>
        <w:tc>
          <w:tcPr>
            <w:tcW w:w="120" w:type="dxa"/>
            <w:vAlign w:val="bottom"/>
            <w:tcBorders>
              <w:bottom w:val="single" w:sz="8" w:color="CCEEFF"/>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331</w:t>
            </w:r>
          </w:p>
        </w:tc>
      </w:tr>
      <w:tr>
        <w:trPr>
          <w:trHeight w:val="174"/>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Number of customers at end of period:</w:t>
            </w:r>
          </w:p>
        </w:tc>
        <w:tc>
          <w:tcPr>
            <w:tcW w:w="38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spacing w:after="0"/>
              <w:rPr>
                <w:sz w:val="15"/>
                <w:szCs w:val="15"/>
                <w:color w:val="auto"/>
              </w:rPr>
            </w:pPr>
          </w:p>
        </w:tc>
      </w:tr>
      <w:tr>
        <w:trPr>
          <w:trHeight w:val="193"/>
        </w:trPr>
        <w:tc>
          <w:tcPr>
            <w:tcW w:w="5160" w:type="dxa"/>
            <w:vAlign w:val="bottom"/>
          </w:tcPr>
          <w:p>
            <w:pPr>
              <w:ind w:left="140"/>
              <w:spacing w:after="0"/>
              <w:rPr>
                <w:sz w:val="20"/>
                <w:szCs w:val="20"/>
                <w:color w:val="auto"/>
              </w:rPr>
            </w:pPr>
            <w:r>
              <w:rPr>
                <w:rFonts w:ascii="Arial" w:cs="Arial" w:eastAsia="Arial" w:hAnsi="Arial"/>
                <w:sz w:val="14"/>
                <w:szCs w:val="14"/>
                <w:color w:val="auto"/>
              </w:rPr>
              <w:t>Residential</w:t>
            </w:r>
          </w:p>
        </w:tc>
        <w:tc>
          <w:tcPr>
            <w:tcW w:w="380" w:type="dxa"/>
            <w:vAlign w:val="bottom"/>
          </w:tcPr>
          <w:p>
            <w:pPr>
              <w:spacing w:after="0"/>
              <w:rPr>
                <w:sz w:val="16"/>
                <w:szCs w:val="16"/>
                <w:color w:val="auto"/>
              </w:rPr>
            </w:pPr>
          </w:p>
        </w:tc>
        <w:tc>
          <w:tcPr>
            <w:tcW w:w="1120" w:type="dxa"/>
            <w:vAlign w:val="bottom"/>
          </w:tcPr>
          <w:p>
            <w:pPr>
              <w:jc w:val="right"/>
              <w:ind w:right="50"/>
              <w:spacing w:after="0"/>
              <w:rPr>
                <w:sz w:val="20"/>
                <w:szCs w:val="20"/>
                <w:color w:val="auto"/>
              </w:rPr>
            </w:pPr>
            <w:r>
              <w:rPr>
                <w:rFonts w:ascii="Arial" w:cs="Arial" w:eastAsia="Arial" w:hAnsi="Arial"/>
                <w:sz w:val="14"/>
                <w:szCs w:val="14"/>
                <w:color w:val="auto"/>
              </w:rPr>
              <w:t>4,194,232</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jc w:val="right"/>
              <w:ind w:right="50"/>
              <w:spacing w:after="0"/>
              <w:rPr>
                <w:sz w:val="20"/>
                <w:szCs w:val="20"/>
                <w:color w:val="auto"/>
              </w:rPr>
            </w:pPr>
            <w:r>
              <w:rPr>
                <w:rFonts w:ascii="Arial" w:cs="Arial" w:eastAsia="Arial" w:hAnsi="Arial"/>
                <w:sz w:val="14"/>
                <w:szCs w:val="14"/>
                <w:color w:val="auto"/>
              </w:rPr>
              <w:t>3,205,916</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30"/>
              <w:spacing w:after="0"/>
              <w:rPr>
                <w:sz w:val="20"/>
                <w:szCs w:val="20"/>
                <w:color w:val="auto"/>
              </w:rPr>
            </w:pPr>
            <w:r>
              <w:rPr>
                <w:rFonts w:ascii="Arial" w:cs="Arial" w:eastAsia="Arial" w:hAnsi="Arial"/>
                <w:sz w:val="14"/>
                <w:szCs w:val="14"/>
                <w:color w:val="auto"/>
              </w:rPr>
              <w:t>4,194,232</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jc w:val="right"/>
              <w:ind w:right="29"/>
              <w:spacing w:after="0"/>
              <w:rPr>
                <w:sz w:val="20"/>
                <w:szCs w:val="20"/>
                <w:color w:val="auto"/>
              </w:rPr>
            </w:pPr>
            <w:r>
              <w:rPr>
                <w:rFonts w:ascii="Arial" w:cs="Arial" w:eastAsia="Arial" w:hAnsi="Arial"/>
                <w:sz w:val="14"/>
                <w:szCs w:val="14"/>
                <w:color w:val="auto"/>
              </w:rPr>
              <w:t>3,205,916</w:t>
            </w:r>
          </w:p>
        </w:tc>
      </w:tr>
      <w:tr>
        <w:trPr>
          <w:trHeight w:val="23"/>
        </w:trPr>
        <w:tc>
          <w:tcPr>
            <w:tcW w:w="5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16"/>
        </w:trPr>
        <w:tc>
          <w:tcPr>
            <w:tcW w:w="51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Commercial and industrial</w:t>
            </w:r>
          </w:p>
        </w:tc>
        <w:tc>
          <w:tcPr>
            <w:tcW w:w="38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344,858</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255,244</w:t>
            </w: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344,858</w:t>
            </w: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255,244</w:t>
            </w:r>
          </w:p>
        </w:tc>
      </w:tr>
      <w:tr>
        <w:trPr>
          <w:trHeight w:val="200"/>
        </w:trPr>
        <w:tc>
          <w:tcPr>
            <w:tcW w:w="5160" w:type="dxa"/>
            <w:vAlign w:val="bottom"/>
          </w:tcPr>
          <w:p>
            <w:pPr>
              <w:ind w:left="300"/>
              <w:spacing w:after="0"/>
              <w:rPr>
                <w:sz w:val="20"/>
                <w:szCs w:val="20"/>
                <w:color w:val="auto"/>
              </w:rPr>
            </w:pPr>
            <w:r>
              <w:rPr>
                <w:rFonts w:ascii="Arial" w:cs="Arial" w:eastAsia="Arial" w:hAnsi="Arial"/>
                <w:sz w:val="14"/>
                <w:szCs w:val="14"/>
                <w:color w:val="auto"/>
              </w:rPr>
              <w:t>Total</w:t>
            </w:r>
          </w:p>
        </w:tc>
        <w:tc>
          <w:tcPr>
            <w:tcW w:w="38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4"/>
                <w:szCs w:val="14"/>
                <w:color w:val="auto"/>
              </w:rPr>
              <w:t>4,539,090</w:t>
            </w:r>
          </w:p>
        </w:tc>
        <w:tc>
          <w:tcPr>
            <w:tcW w:w="12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4"/>
                <w:szCs w:val="14"/>
                <w:color w:val="auto"/>
              </w:rPr>
              <w:t>3,461,160</w:t>
            </w:r>
          </w:p>
        </w:tc>
        <w:tc>
          <w:tcPr>
            <w:tcW w:w="120" w:type="dxa"/>
            <w:vAlign w:val="bottom"/>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4"/>
                <w:szCs w:val="14"/>
                <w:color w:val="auto"/>
              </w:rPr>
              <w:t>4,539,090</w:t>
            </w:r>
          </w:p>
        </w:tc>
        <w:tc>
          <w:tcPr>
            <w:tcW w:w="120" w:type="dxa"/>
            <w:vAlign w:val="bottom"/>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3,461,160</w:t>
            </w:r>
          </w:p>
        </w:tc>
      </w:tr>
      <w:tr>
        <w:trPr>
          <w:trHeight w:val="20"/>
        </w:trPr>
        <w:tc>
          <w:tcPr>
            <w:tcW w:w="5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62" w:lineRule="exact"/>
        <w:rPr>
          <w:sz w:val="20"/>
          <w:szCs w:val="20"/>
          <w:color w:val="auto"/>
        </w:rPr>
      </w:pPr>
    </w:p>
    <w:p>
      <w:pPr>
        <w:ind w:left="40"/>
        <w:spacing w:after="0"/>
        <w:rPr>
          <w:sz w:val="20"/>
          <w:szCs w:val="20"/>
          <w:color w:val="auto"/>
        </w:rPr>
      </w:pPr>
      <w:r>
        <w:rPr>
          <w:rFonts w:ascii="Arial" w:cs="Arial" w:eastAsia="Arial" w:hAnsi="Arial"/>
          <w:sz w:val="14"/>
          <w:szCs w:val="14"/>
          <w:b w:val="1"/>
          <w:bCs w:val="1"/>
          <w:i w:val="1"/>
          <w:iCs w:val="1"/>
          <w:color w:val="auto"/>
        </w:rPr>
        <w:t>Three months ended September 30, 2019 compared to three months ended September 30, 2018</w:t>
      </w:r>
    </w:p>
    <w:p>
      <w:pPr>
        <w:spacing w:after="0" w:line="184" w:lineRule="exact"/>
        <w:rPr>
          <w:sz w:val="20"/>
          <w:szCs w:val="20"/>
          <w:color w:val="auto"/>
        </w:rPr>
      </w:pPr>
    </w:p>
    <w:p>
      <w:pPr>
        <w:jc w:val="both"/>
        <w:ind w:firstLine="259"/>
        <w:spacing w:after="0" w:line="288" w:lineRule="auto"/>
        <w:rPr>
          <w:sz w:val="20"/>
          <w:szCs w:val="20"/>
          <w:color w:val="auto"/>
        </w:rPr>
      </w:pPr>
      <w:r>
        <w:rPr>
          <w:rFonts w:ascii="Arial" w:cs="Arial" w:eastAsia="Arial" w:hAnsi="Arial"/>
          <w:sz w:val="14"/>
          <w:szCs w:val="14"/>
          <w:color w:val="auto"/>
        </w:rPr>
        <w:t>CenterPoint Energy’s Natural Gas Distribution reportable segment reported operating income of $27 million for the three months ended September 30, 2019 compared to $3 million for the three months ended September 30, 2018.</w:t>
      </w:r>
    </w:p>
    <w:p>
      <w:pPr>
        <w:spacing w:after="0" w:line="131" w:lineRule="exact"/>
        <w:rPr>
          <w:sz w:val="20"/>
          <w:szCs w:val="20"/>
          <w:color w:val="auto"/>
        </w:rPr>
      </w:pPr>
    </w:p>
    <w:p>
      <w:pPr>
        <w:ind w:left="300"/>
        <w:spacing w:after="0"/>
        <w:rPr>
          <w:sz w:val="20"/>
          <w:szCs w:val="20"/>
          <w:color w:val="auto"/>
        </w:rPr>
      </w:pPr>
      <w:r>
        <w:rPr>
          <w:rFonts w:ascii="Arial" w:cs="Arial" w:eastAsia="Arial" w:hAnsi="Arial"/>
          <w:sz w:val="14"/>
          <w:szCs w:val="14"/>
          <w:color w:val="auto"/>
        </w:rPr>
        <w:t>Operating income increased $24 million primarily as a result of the following key factors:</w:t>
      </w:r>
    </w:p>
    <w:p>
      <w:pPr>
        <w:spacing w:after="0" w:line="184" w:lineRule="exact"/>
        <w:rPr>
          <w:sz w:val="20"/>
          <w:szCs w:val="20"/>
          <w:color w:val="auto"/>
        </w:rPr>
      </w:pPr>
    </w:p>
    <w:p>
      <w:pPr>
        <w:ind w:left="520" w:hanging="255"/>
        <w:spacing w:after="0"/>
        <w:tabs>
          <w:tab w:leader="none" w:pos="520" w:val="left"/>
        </w:tabs>
        <w:numPr>
          <w:ilvl w:val="0"/>
          <w:numId w:val="73"/>
        </w:numPr>
        <w:rPr>
          <w:rFonts w:ascii="Arial" w:cs="Arial" w:eastAsia="Arial" w:hAnsi="Arial"/>
          <w:sz w:val="14"/>
          <w:szCs w:val="14"/>
          <w:color w:val="auto"/>
        </w:rPr>
      </w:pPr>
      <w:r>
        <w:rPr>
          <w:rFonts w:ascii="Arial" w:cs="Arial" w:eastAsia="Arial" w:hAnsi="Arial"/>
          <w:sz w:val="14"/>
          <w:szCs w:val="14"/>
          <w:color w:val="auto"/>
        </w:rPr>
        <w:t>lower operation and maintenance expenses of $12 million primarily driven by lower support services costs and lower labor and benefits costs in CERC’s NGD service territories;</w:t>
      </w:r>
    </w:p>
    <w:p>
      <w:pPr>
        <w:spacing w:after="0" w:line="183" w:lineRule="exact"/>
        <w:rPr>
          <w:rFonts w:ascii="Arial" w:cs="Arial" w:eastAsia="Arial" w:hAnsi="Arial"/>
          <w:sz w:val="14"/>
          <w:szCs w:val="14"/>
          <w:color w:val="auto"/>
        </w:rPr>
      </w:pPr>
    </w:p>
    <w:p>
      <w:pPr>
        <w:ind w:left="520" w:hanging="255"/>
        <w:spacing w:after="0"/>
        <w:tabs>
          <w:tab w:leader="none" w:pos="520" w:val="left"/>
        </w:tabs>
        <w:numPr>
          <w:ilvl w:val="0"/>
          <w:numId w:val="73"/>
        </w:numPr>
        <w:rPr>
          <w:rFonts w:ascii="Arial" w:cs="Arial" w:eastAsia="Arial" w:hAnsi="Arial"/>
          <w:sz w:val="14"/>
          <w:szCs w:val="14"/>
          <w:color w:val="auto"/>
        </w:rPr>
      </w:pPr>
      <w:r>
        <w:rPr>
          <w:rFonts w:ascii="Arial" w:cs="Arial" w:eastAsia="Arial" w:hAnsi="Arial"/>
          <w:sz w:val="14"/>
          <w:szCs w:val="14"/>
          <w:color w:val="auto"/>
        </w:rPr>
        <w:t>rate increases of $9 million, exclusive of the TCJA impact discussed below, from rate filings in CERC’s NGD service territories;</w:t>
      </w:r>
    </w:p>
    <w:p>
      <w:pPr>
        <w:spacing w:after="0" w:line="183" w:lineRule="exact"/>
        <w:rPr>
          <w:rFonts w:ascii="Arial" w:cs="Arial" w:eastAsia="Arial" w:hAnsi="Arial"/>
          <w:sz w:val="14"/>
          <w:szCs w:val="14"/>
          <w:color w:val="auto"/>
        </w:rPr>
      </w:pPr>
    </w:p>
    <w:p>
      <w:pPr>
        <w:ind w:left="520" w:hanging="255"/>
        <w:spacing w:after="0"/>
        <w:tabs>
          <w:tab w:leader="none" w:pos="520" w:val="left"/>
        </w:tabs>
        <w:numPr>
          <w:ilvl w:val="0"/>
          <w:numId w:val="73"/>
        </w:numPr>
        <w:rPr>
          <w:rFonts w:ascii="Arial" w:cs="Arial" w:eastAsia="Arial" w:hAnsi="Arial"/>
          <w:sz w:val="13"/>
          <w:szCs w:val="13"/>
          <w:color w:val="auto"/>
        </w:rPr>
      </w:pPr>
      <w:r>
        <w:rPr>
          <w:rFonts w:ascii="Arial" w:cs="Arial" w:eastAsia="Arial" w:hAnsi="Arial"/>
          <w:sz w:val="13"/>
          <w:szCs w:val="13"/>
          <w:color w:val="auto"/>
        </w:rPr>
        <w:t>a $7 million increase in operating income associated with the natural gas businesses acquired in the Merger, which includes the addition of over 1 million customers in Indiana and Ohio; and</w:t>
      </w:r>
    </w:p>
    <w:p>
      <w:pPr>
        <w:spacing w:after="0" w:line="195" w:lineRule="exact"/>
        <w:rPr>
          <w:rFonts w:ascii="Arial" w:cs="Arial" w:eastAsia="Arial" w:hAnsi="Arial"/>
          <w:sz w:val="13"/>
          <w:szCs w:val="13"/>
          <w:color w:val="auto"/>
        </w:rPr>
      </w:pPr>
    </w:p>
    <w:p>
      <w:pPr>
        <w:ind w:left="520" w:hanging="255"/>
        <w:spacing w:after="0"/>
        <w:tabs>
          <w:tab w:leader="none" w:pos="520" w:val="left"/>
        </w:tabs>
        <w:numPr>
          <w:ilvl w:val="0"/>
          <w:numId w:val="73"/>
        </w:numPr>
        <w:rPr>
          <w:rFonts w:ascii="Arial" w:cs="Arial" w:eastAsia="Arial" w:hAnsi="Arial"/>
          <w:sz w:val="14"/>
          <w:szCs w:val="14"/>
          <w:color w:val="auto"/>
        </w:rPr>
      </w:pPr>
      <w:r>
        <w:rPr>
          <w:rFonts w:ascii="Arial" w:cs="Arial" w:eastAsia="Arial" w:hAnsi="Arial"/>
          <w:sz w:val="14"/>
          <w:szCs w:val="14"/>
          <w:color w:val="auto"/>
        </w:rPr>
        <w:t>a $3 million increase in revenues associated with customer growth from the addition of over 47,000 new customers in CERC’s NGD service territories.</w:t>
      </w:r>
    </w:p>
    <w:p>
      <w:pPr>
        <w:spacing w:after="0" w:line="184"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These increases were partially offset by the following:</w:t>
      </w:r>
    </w:p>
    <w:p>
      <w:pPr>
        <w:spacing w:after="0" w:line="184" w:lineRule="exact"/>
        <w:rPr>
          <w:sz w:val="20"/>
          <w:szCs w:val="20"/>
          <w:color w:val="auto"/>
        </w:rPr>
      </w:pPr>
    </w:p>
    <w:p>
      <w:pPr>
        <w:ind w:left="520" w:right="100" w:hanging="255"/>
        <w:spacing w:after="0" w:line="288" w:lineRule="auto"/>
        <w:tabs>
          <w:tab w:leader="none" w:pos="520" w:val="left"/>
        </w:tabs>
        <w:numPr>
          <w:ilvl w:val="0"/>
          <w:numId w:val="74"/>
        </w:numPr>
        <w:rPr>
          <w:rFonts w:ascii="Arial" w:cs="Arial" w:eastAsia="Arial" w:hAnsi="Arial"/>
          <w:sz w:val="14"/>
          <w:szCs w:val="14"/>
          <w:color w:val="auto"/>
        </w:rPr>
      </w:pPr>
      <w:r>
        <w:rPr>
          <w:rFonts w:ascii="Arial" w:cs="Arial" w:eastAsia="Arial" w:hAnsi="Arial"/>
          <w:sz w:val="14"/>
          <w:szCs w:val="14"/>
          <w:color w:val="auto"/>
        </w:rPr>
        <w:t>a $8 million decrease in revenues, primarily driven by the timing of a decoupling mechanism (a revenue stabilization mechanism used to adjust revenues impacted by changes in natural gas consumption, including usage and weather) in Minnesota in CERC’s NGD service territory; and</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75</w:t>
      </w:r>
    </w:p>
    <w:p>
      <w:pPr>
        <w:sectPr>
          <w:pgSz w:w="11900" w:h="16838" w:orient="portrait"/>
          <w:cols w:equalWidth="0" w:num="1">
            <w:col w:w="11460"/>
          </w:cols>
          <w:pgMar w:left="220" w:top="129" w:right="219" w:bottom="1440" w:gutter="0" w:footer="0" w:header="0"/>
        </w:sectPr>
      </w:pPr>
    </w:p>
    <w:bookmarkStart w:id="85" w:name="page86"/>
    <w:bookmarkEnd w:id="85"/>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378" w:lineRule="exact"/>
        <w:rPr>
          <w:sz w:val="20"/>
          <w:szCs w:val="20"/>
          <w:color w:val="auto"/>
        </w:rPr>
      </w:pPr>
    </w:p>
    <w:p>
      <w:pPr>
        <w:ind w:left="520" w:hanging="255"/>
        <w:spacing w:after="0"/>
        <w:tabs>
          <w:tab w:leader="none" w:pos="520" w:val="left"/>
        </w:tabs>
        <w:numPr>
          <w:ilvl w:val="0"/>
          <w:numId w:val="75"/>
        </w:numPr>
        <w:rPr>
          <w:rFonts w:ascii="Arial" w:cs="Arial" w:eastAsia="Arial" w:hAnsi="Arial"/>
          <w:sz w:val="14"/>
          <w:szCs w:val="14"/>
          <w:color w:val="auto"/>
        </w:rPr>
      </w:pPr>
      <w:r>
        <w:rPr>
          <w:rFonts w:ascii="Arial" w:cs="Arial" w:eastAsia="Arial" w:hAnsi="Arial"/>
          <w:sz w:val="14"/>
          <w:szCs w:val="14"/>
          <w:color w:val="auto"/>
        </w:rPr>
        <w:t>lower revenue of $2 million related to the impact of the TCJA in CERC’s NGD service territories.</w:t>
      </w:r>
    </w:p>
    <w:p>
      <w:pPr>
        <w:spacing w:after="0" w:line="184" w:lineRule="exact"/>
        <w:rPr>
          <w:sz w:val="20"/>
          <w:szCs w:val="20"/>
          <w:color w:val="auto"/>
        </w:rPr>
      </w:pPr>
    </w:p>
    <w:p>
      <w:pPr>
        <w:ind w:left="260"/>
        <w:spacing w:after="0"/>
        <w:rPr>
          <w:sz w:val="20"/>
          <w:szCs w:val="20"/>
          <w:color w:val="auto"/>
        </w:rPr>
      </w:pPr>
      <w:r>
        <w:rPr>
          <w:rFonts w:ascii="Arial" w:cs="Arial" w:eastAsia="Arial" w:hAnsi="Arial"/>
          <w:sz w:val="12"/>
          <w:szCs w:val="12"/>
          <w:color w:val="auto"/>
        </w:rPr>
        <w:t>Increased operation and maintenance expenses related to increased gross receipts taxes of $1 million were offset by corresponding increases in the related revenues in CERC’s service territories.</w:t>
      </w:r>
    </w:p>
    <w:p>
      <w:pPr>
        <w:spacing w:after="0" w:line="44" w:lineRule="exact"/>
        <w:rPr>
          <w:sz w:val="20"/>
          <w:szCs w:val="20"/>
          <w:color w:val="auto"/>
        </w:rPr>
      </w:pPr>
    </w:p>
    <w:p>
      <w:pPr>
        <w:spacing w:after="0"/>
        <w:rPr>
          <w:sz w:val="20"/>
          <w:szCs w:val="20"/>
          <w:color w:val="auto"/>
        </w:rPr>
      </w:pPr>
      <w:r>
        <w:rPr>
          <w:rFonts w:ascii="Arial" w:cs="Arial" w:eastAsia="Arial" w:hAnsi="Arial"/>
          <w:sz w:val="13"/>
          <w:szCs w:val="13"/>
          <w:color w:val="auto"/>
        </w:rPr>
        <w:t>Decreased operation and maintenance expenses related to energy efficiency programs of $2 million were offset by corresponding decreases in the related revenues in CERC’s NGD service territories.</w:t>
      </w:r>
    </w:p>
    <w:p>
      <w:pPr>
        <w:spacing w:after="0" w:line="18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Nine months ended September 30, 2019 compared to nine months ended September 30, 2018</w:t>
      </w:r>
    </w:p>
    <w:p>
      <w:pPr>
        <w:spacing w:after="0" w:line="184" w:lineRule="exact"/>
        <w:rPr>
          <w:sz w:val="20"/>
          <w:szCs w:val="20"/>
          <w:color w:val="auto"/>
        </w:rPr>
      </w:pPr>
    </w:p>
    <w:p>
      <w:pPr>
        <w:ind w:firstLine="259"/>
        <w:spacing w:after="0" w:line="288" w:lineRule="auto"/>
        <w:rPr>
          <w:sz w:val="20"/>
          <w:szCs w:val="20"/>
          <w:color w:val="auto"/>
        </w:rPr>
      </w:pPr>
      <w:r>
        <w:rPr>
          <w:rFonts w:ascii="Arial" w:cs="Arial" w:eastAsia="Arial" w:hAnsi="Arial"/>
          <w:sz w:val="14"/>
          <w:szCs w:val="14"/>
          <w:color w:val="auto"/>
        </w:rPr>
        <w:t>CenterPoint Energy’s Natural Gas Distribution reportable segment reported operating income of $241 million for the nine months ended September 30, 2019 compared to $166 million for the nine months ended September 30, 2018.</w:t>
      </w:r>
    </w:p>
    <w:p>
      <w:pPr>
        <w:spacing w:after="0" w:line="131" w:lineRule="exact"/>
        <w:rPr>
          <w:sz w:val="20"/>
          <w:szCs w:val="20"/>
          <w:color w:val="auto"/>
        </w:rPr>
      </w:pPr>
    </w:p>
    <w:p>
      <w:pPr>
        <w:ind w:left="260"/>
        <w:spacing w:after="0"/>
        <w:rPr>
          <w:sz w:val="20"/>
          <w:szCs w:val="20"/>
          <w:color w:val="auto"/>
        </w:rPr>
      </w:pPr>
      <w:r>
        <w:rPr>
          <w:rFonts w:ascii="Arial" w:cs="Arial" w:eastAsia="Arial" w:hAnsi="Arial"/>
          <w:sz w:val="14"/>
          <w:szCs w:val="14"/>
          <w:color w:val="auto"/>
        </w:rPr>
        <w:t>Operating income increased $75 million primarily as a result of the following key factors:</w:t>
      </w:r>
    </w:p>
    <w:p>
      <w:pPr>
        <w:spacing w:after="0" w:line="184" w:lineRule="exact"/>
        <w:rPr>
          <w:sz w:val="20"/>
          <w:szCs w:val="20"/>
          <w:color w:val="auto"/>
        </w:rPr>
      </w:pPr>
    </w:p>
    <w:p>
      <w:pPr>
        <w:ind w:left="520" w:hanging="255"/>
        <w:spacing w:after="0"/>
        <w:tabs>
          <w:tab w:leader="none" w:pos="520" w:val="left"/>
        </w:tabs>
        <w:numPr>
          <w:ilvl w:val="0"/>
          <w:numId w:val="76"/>
        </w:numPr>
        <w:rPr>
          <w:rFonts w:ascii="Arial" w:cs="Arial" w:eastAsia="Arial" w:hAnsi="Arial"/>
          <w:sz w:val="14"/>
          <w:szCs w:val="14"/>
          <w:color w:val="auto"/>
        </w:rPr>
      </w:pPr>
      <w:r>
        <w:rPr>
          <w:rFonts w:ascii="Arial" w:cs="Arial" w:eastAsia="Arial" w:hAnsi="Arial"/>
          <w:sz w:val="14"/>
          <w:szCs w:val="14"/>
          <w:color w:val="auto"/>
        </w:rPr>
        <w:t>rate increases of $30 million, exclusive of the TCJA impact discussed below, from rate filings in CERC’s NGD service territories;</w:t>
      </w:r>
    </w:p>
    <w:p>
      <w:pPr>
        <w:spacing w:after="0" w:line="183" w:lineRule="exact"/>
        <w:rPr>
          <w:rFonts w:ascii="Arial" w:cs="Arial" w:eastAsia="Arial" w:hAnsi="Arial"/>
          <w:sz w:val="14"/>
          <w:szCs w:val="14"/>
          <w:color w:val="auto"/>
        </w:rPr>
      </w:pPr>
    </w:p>
    <w:p>
      <w:pPr>
        <w:jc w:val="both"/>
        <w:ind w:left="520" w:hanging="255"/>
        <w:spacing w:after="0" w:line="272" w:lineRule="auto"/>
        <w:tabs>
          <w:tab w:leader="none" w:pos="520" w:val="left"/>
        </w:tabs>
        <w:numPr>
          <w:ilvl w:val="0"/>
          <w:numId w:val="76"/>
        </w:numPr>
        <w:rPr>
          <w:rFonts w:ascii="Arial" w:cs="Arial" w:eastAsia="Arial" w:hAnsi="Arial"/>
          <w:sz w:val="14"/>
          <w:szCs w:val="14"/>
          <w:color w:val="auto"/>
        </w:rPr>
      </w:pPr>
      <w:r>
        <w:rPr>
          <w:rFonts w:ascii="Arial" w:cs="Arial" w:eastAsia="Arial" w:hAnsi="Arial"/>
          <w:sz w:val="14"/>
          <w:szCs w:val="14"/>
          <w:color w:val="auto"/>
        </w:rPr>
        <w:t>a $29 million increase in operating income associated with the natural gas businesses acquired in the Merger for the period from February 1, 2019 through September 30, 2019, which includes operation and maintenance expenses of $44 million for Merger-related severance and incentive compensation costs, as well as the addition of over 1 million customers in Indiana and Ohio;</w:t>
      </w:r>
    </w:p>
    <w:p>
      <w:pPr>
        <w:spacing w:after="0" w:line="142" w:lineRule="exact"/>
        <w:rPr>
          <w:rFonts w:ascii="Arial" w:cs="Arial" w:eastAsia="Arial" w:hAnsi="Arial"/>
          <w:sz w:val="14"/>
          <w:szCs w:val="14"/>
          <w:color w:val="auto"/>
        </w:rPr>
      </w:pPr>
    </w:p>
    <w:p>
      <w:pPr>
        <w:ind w:left="520" w:hanging="255"/>
        <w:spacing w:after="0"/>
        <w:tabs>
          <w:tab w:leader="none" w:pos="520" w:val="left"/>
        </w:tabs>
        <w:numPr>
          <w:ilvl w:val="0"/>
          <w:numId w:val="76"/>
        </w:numPr>
        <w:rPr>
          <w:rFonts w:ascii="Arial" w:cs="Arial" w:eastAsia="Arial" w:hAnsi="Arial"/>
          <w:sz w:val="14"/>
          <w:szCs w:val="14"/>
          <w:color w:val="auto"/>
        </w:rPr>
      </w:pPr>
      <w:r>
        <w:rPr>
          <w:rFonts w:ascii="Arial" w:cs="Arial" w:eastAsia="Arial" w:hAnsi="Arial"/>
          <w:sz w:val="14"/>
          <w:szCs w:val="14"/>
          <w:color w:val="auto"/>
        </w:rPr>
        <w:t>a $22 million increase in revenues for usage, partially driven by the timing of a decoupling mechanism discussed above in Minnesota in CERC’s NGD service territory; and</w:t>
      </w:r>
    </w:p>
    <w:p>
      <w:pPr>
        <w:spacing w:after="0" w:line="183" w:lineRule="exact"/>
        <w:rPr>
          <w:rFonts w:ascii="Arial" w:cs="Arial" w:eastAsia="Arial" w:hAnsi="Arial"/>
          <w:sz w:val="14"/>
          <w:szCs w:val="14"/>
          <w:color w:val="auto"/>
        </w:rPr>
      </w:pPr>
    </w:p>
    <w:p>
      <w:pPr>
        <w:ind w:left="520" w:hanging="255"/>
        <w:spacing w:after="0"/>
        <w:tabs>
          <w:tab w:leader="none" w:pos="520" w:val="left"/>
        </w:tabs>
        <w:numPr>
          <w:ilvl w:val="0"/>
          <w:numId w:val="76"/>
        </w:numPr>
        <w:rPr>
          <w:rFonts w:ascii="Arial" w:cs="Arial" w:eastAsia="Arial" w:hAnsi="Arial"/>
          <w:sz w:val="14"/>
          <w:szCs w:val="14"/>
          <w:color w:val="auto"/>
        </w:rPr>
      </w:pPr>
      <w:r>
        <w:rPr>
          <w:rFonts w:ascii="Arial" w:cs="Arial" w:eastAsia="Arial" w:hAnsi="Arial"/>
          <w:sz w:val="14"/>
          <w:szCs w:val="14"/>
          <w:color w:val="auto"/>
        </w:rPr>
        <w:t>an $11 million increase in revenues associated with customer growth from the addition of over 47,000 new customers in CERC’s NGD service territories.</w:t>
      </w:r>
    </w:p>
    <w:p>
      <w:pPr>
        <w:spacing w:after="0" w:line="184"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These increases were partially offset by the following:</w:t>
      </w:r>
    </w:p>
    <w:p>
      <w:pPr>
        <w:spacing w:after="0" w:line="184" w:lineRule="exact"/>
        <w:rPr>
          <w:sz w:val="20"/>
          <w:szCs w:val="20"/>
          <w:color w:val="auto"/>
        </w:rPr>
      </w:pPr>
    </w:p>
    <w:p>
      <w:pPr>
        <w:ind w:left="520" w:hanging="255"/>
        <w:spacing w:after="0"/>
        <w:tabs>
          <w:tab w:leader="none" w:pos="520" w:val="left"/>
        </w:tabs>
        <w:numPr>
          <w:ilvl w:val="0"/>
          <w:numId w:val="77"/>
        </w:numPr>
        <w:rPr>
          <w:rFonts w:ascii="Arial" w:cs="Arial" w:eastAsia="Arial" w:hAnsi="Arial"/>
          <w:sz w:val="14"/>
          <w:szCs w:val="14"/>
          <w:color w:val="auto"/>
        </w:rPr>
      </w:pPr>
      <w:r>
        <w:rPr>
          <w:rFonts w:ascii="Arial" w:cs="Arial" w:eastAsia="Arial" w:hAnsi="Arial"/>
          <w:sz w:val="14"/>
          <w:szCs w:val="14"/>
          <w:color w:val="auto"/>
        </w:rPr>
        <w:t>lower revenue of $16 million related to the impact of the TCJA in CERC’s NGD service territories; and</w:t>
      </w:r>
    </w:p>
    <w:p>
      <w:pPr>
        <w:spacing w:after="0" w:line="183" w:lineRule="exact"/>
        <w:rPr>
          <w:rFonts w:ascii="Arial" w:cs="Arial" w:eastAsia="Arial" w:hAnsi="Arial"/>
          <w:sz w:val="14"/>
          <w:szCs w:val="14"/>
          <w:color w:val="auto"/>
        </w:rPr>
      </w:pPr>
    </w:p>
    <w:p>
      <w:pPr>
        <w:ind w:left="520" w:hanging="255"/>
        <w:spacing w:after="0"/>
        <w:tabs>
          <w:tab w:leader="none" w:pos="520" w:val="left"/>
        </w:tabs>
        <w:numPr>
          <w:ilvl w:val="0"/>
          <w:numId w:val="77"/>
        </w:numPr>
        <w:rPr>
          <w:rFonts w:ascii="Arial" w:cs="Arial" w:eastAsia="Arial" w:hAnsi="Arial"/>
          <w:sz w:val="14"/>
          <w:szCs w:val="14"/>
          <w:color w:val="auto"/>
        </w:rPr>
      </w:pPr>
      <w:r>
        <w:rPr>
          <w:rFonts w:ascii="Arial" w:cs="Arial" w:eastAsia="Arial" w:hAnsi="Arial"/>
          <w:sz w:val="14"/>
          <w:szCs w:val="14"/>
          <w:color w:val="auto"/>
        </w:rPr>
        <w:t>increased depreciation and amortization expense of $7 million, primarily due to ongoing additions to plant-in-service, in CERC’s NGD service territories.</w:t>
      </w:r>
    </w:p>
    <w:p>
      <w:pPr>
        <w:spacing w:after="0" w:line="184" w:lineRule="exact"/>
        <w:rPr>
          <w:sz w:val="20"/>
          <w:szCs w:val="20"/>
          <w:color w:val="auto"/>
        </w:rPr>
      </w:pPr>
    </w:p>
    <w:p>
      <w:pPr>
        <w:jc w:val="both"/>
        <w:ind w:firstLine="259"/>
        <w:spacing w:after="0" w:line="272" w:lineRule="auto"/>
        <w:rPr>
          <w:sz w:val="20"/>
          <w:szCs w:val="20"/>
          <w:color w:val="auto"/>
        </w:rPr>
      </w:pPr>
      <w:r>
        <w:rPr>
          <w:rFonts w:ascii="Arial" w:cs="Arial" w:eastAsia="Arial" w:hAnsi="Arial"/>
          <w:sz w:val="14"/>
          <w:szCs w:val="14"/>
          <w:color w:val="auto"/>
        </w:rPr>
        <w:t>Increased operation and maintenance expenses related to increased gross receipts taxes of $2 million were offset by corresponding increases in the related revenues in CERC’s NGD service territories. Decreased operation and maintenance expenses related to energy efficiency programs of $13 million and rate case amortization of $1 million were offset by corresponding decreases in the related revenues in CERC’s NGD service territories.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76</w:t>
      </w:r>
    </w:p>
    <w:p>
      <w:pPr>
        <w:sectPr>
          <w:pgSz w:w="11900" w:h="16838" w:orient="portrait"/>
          <w:cols w:equalWidth="0" w:num="1">
            <w:col w:w="11460"/>
          </w:cols>
          <w:pgMar w:left="220" w:top="129" w:right="219" w:bottom="1440" w:gutter="0" w:footer="0" w:header="0"/>
        </w:sectPr>
      </w:pPr>
    </w:p>
    <w:bookmarkStart w:id="86" w:name="page87"/>
    <w:bookmarkEnd w:id="86"/>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37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Natural Gas Distribution (CERC)</w:t>
      </w:r>
    </w:p>
    <w:p>
      <w:pPr>
        <w:spacing w:after="0" w:line="188" w:lineRule="exact"/>
        <w:rPr>
          <w:sz w:val="20"/>
          <w:szCs w:val="20"/>
          <w:color w:val="auto"/>
        </w:rPr>
      </w:pPr>
    </w:p>
    <w:p>
      <w:pPr>
        <w:jc w:val="both"/>
        <w:ind w:firstLine="259"/>
        <w:spacing w:after="0" w:line="302" w:lineRule="auto"/>
        <w:rPr>
          <w:sz w:val="20"/>
          <w:szCs w:val="20"/>
          <w:color w:val="auto"/>
        </w:rPr>
      </w:pPr>
      <w:r>
        <w:rPr>
          <w:rFonts w:ascii="Arial" w:cs="Arial" w:eastAsia="Arial" w:hAnsi="Arial"/>
          <w:sz w:val="13"/>
          <w:szCs w:val="13"/>
          <w:color w:val="auto"/>
        </w:rPr>
        <w:t>For information regarding factors that may affect the future results of operations of CERC’s Natural Gas Distribution reportable segment, please read “Risk Factors — Risk Factors Associated with Our Consolidated Financial Condition,” “— Risk Factors Affecting Natural Gas Distribution and Competitive Energy Services Businesses” and “— Other Risk Factors Affecting Our Businesses or CenterPoint Energy’s Interests in Enable Midstream Partners, LP” in Item 1A of Part I of the Registrants’ combined 2018 Form 10-K and in Item 1A of Part II of this Form 10-Q.</w:t>
      </w:r>
    </w:p>
    <w:p>
      <w:pPr>
        <w:spacing w:after="0" w:line="125"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following table provides summary data of CERC’s Natural Gas Distribution reportable segment:</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5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880" w:type="dxa"/>
            <w:vAlign w:val="bottom"/>
            <w:gridSpan w:val="5"/>
          </w:tcPr>
          <w:p>
            <w:pPr>
              <w:ind w:left="320"/>
              <w:spacing w:after="0"/>
              <w:rPr>
                <w:sz w:val="20"/>
                <w:szCs w:val="20"/>
                <w:color w:val="auto"/>
              </w:rPr>
            </w:pPr>
            <w:r>
              <w:rPr>
                <w:rFonts w:ascii="Arial" w:cs="Arial" w:eastAsia="Arial" w:hAnsi="Arial"/>
                <w:sz w:val="11"/>
                <w:szCs w:val="11"/>
                <w:b w:val="1"/>
                <w:bCs w:val="1"/>
                <w:color w:val="auto"/>
              </w:rPr>
              <w:t>Three Months Ended September 30,</w:t>
            </w:r>
          </w:p>
        </w:tc>
        <w:tc>
          <w:tcPr>
            <w:tcW w:w="340" w:type="dxa"/>
            <w:vAlign w:val="bottom"/>
          </w:tcPr>
          <w:p>
            <w:pPr>
              <w:spacing w:after="0"/>
              <w:rPr>
                <w:sz w:val="13"/>
                <w:szCs w:val="13"/>
                <w:color w:val="auto"/>
              </w:rPr>
            </w:pPr>
          </w:p>
        </w:tc>
        <w:tc>
          <w:tcPr>
            <w:tcW w:w="2700" w:type="dxa"/>
            <w:vAlign w:val="bottom"/>
            <w:gridSpan w:val="4"/>
          </w:tcPr>
          <w:p>
            <w:pPr>
              <w:jc w:val="right"/>
              <w:ind w:right="589"/>
              <w:spacing w:after="0"/>
              <w:rPr>
                <w:sz w:val="20"/>
                <w:szCs w:val="20"/>
                <w:color w:val="auto"/>
              </w:rPr>
            </w:pPr>
            <w:r>
              <w:rPr>
                <w:rFonts w:ascii="Arial" w:cs="Arial" w:eastAsia="Arial" w:hAnsi="Arial"/>
                <w:sz w:val="11"/>
                <w:szCs w:val="11"/>
                <w:b w:val="1"/>
                <w:bCs w:val="1"/>
                <w:color w:val="auto"/>
              </w:rPr>
              <w:t>Nine Months Ended September 30,</w:t>
            </w:r>
          </w:p>
        </w:tc>
      </w:tr>
      <w:tr>
        <w:trPr>
          <w:trHeight w:val="206"/>
        </w:trPr>
        <w:tc>
          <w:tcPr>
            <w:tcW w:w="5160" w:type="dxa"/>
            <w:vAlign w:val="bottom"/>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1"/>
                <w:szCs w:val="11"/>
                <w:b w:val="1"/>
                <w:bCs w:val="1"/>
                <w:color w:val="auto"/>
              </w:rPr>
              <w:t>2019</w:t>
            </w:r>
          </w:p>
        </w:tc>
        <w:tc>
          <w:tcPr>
            <w:tcW w:w="120" w:type="dxa"/>
            <w:vAlign w:val="bottom"/>
            <w:tcBorders>
              <w:top w:val="single" w:sz="8" w:color="auto"/>
              <w:bottom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320" w:type="dxa"/>
            <w:vAlign w:val="bottom"/>
            <w:tcBorders>
              <w:top w:val="single" w:sz="8" w:color="auto"/>
              <w:bottom w:val="single" w:sz="8" w:color="auto"/>
            </w:tcBorders>
          </w:tcPr>
          <w:p>
            <w:pPr>
              <w:jc w:val="right"/>
              <w:ind w:right="571"/>
              <w:spacing w:after="0"/>
              <w:rPr>
                <w:sz w:val="20"/>
                <w:szCs w:val="20"/>
                <w:color w:val="auto"/>
              </w:rPr>
            </w:pPr>
            <w:r>
              <w:rPr>
                <w:rFonts w:ascii="Arial" w:cs="Arial" w:eastAsia="Arial" w:hAnsi="Arial"/>
                <w:sz w:val="11"/>
                <w:szCs w:val="11"/>
                <w:b w:val="1"/>
                <w:bCs w:val="1"/>
                <w:color w:val="auto"/>
              </w:rPr>
              <w:t>2018</w:t>
            </w:r>
          </w:p>
        </w:tc>
        <w:tc>
          <w:tcPr>
            <w:tcW w:w="120" w:type="dxa"/>
            <w:vAlign w:val="bottom"/>
            <w:tcBorders>
              <w:bottom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1"/>
                <w:szCs w:val="11"/>
                <w:b w:val="1"/>
                <w:bCs w:val="1"/>
                <w:color w:val="auto"/>
              </w:rPr>
              <w:t>2019</w:t>
            </w:r>
          </w:p>
        </w:tc>
        <w:tc>
          <w:tcPr>
            <w:tcW w:w="120" w:type="dxa"/>
            <w:vAlign w:val="bottom"/>
            <w:tcBorders>
              <w:top w:val="single" w:sz="8" w:color="auto"/>
              <w:bottom w:val="single" w:sz="8" w:color="auto"/>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549"/>
              <w:spacing w:after="0"/>
              <w:rPr>
                <w:sz w:val="20"/>
                <w:szCs w:val="20"/>
                <w:color w:val="auto"/>
              </w:rPr>
            </w:pPr>
            <w:r>
              <w:rPr>
                <w:rFonts w:ascii="Arial" w:cs="Arial" w:eastAsia="Arial" w:hAnsi="Arial"/>
                <w:sz w:val="11"/>
                <w:szCs w:val="11"/>
                <w:b w:val="1"/>
                <w:bCs w:val="1"/>
                <w:color w:val="auto"/>
              </w:rPr>
              <w:t>2018</w:t>
            </w:r>
          </w:p>
        </w:tc>
      </w:tr>
      <w:tr>
        <w:trPr>
          <w:trHeight w:val="196"/>
        </w:trPr>
        <w:tc>
          <w:tcPr>
            <w:tcW w:w="5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20" w:type="dxa"/>
            <w:vAlign w:val="bottom"/>
            <w:gridSpan w:val="5"/>
          </w:tcPr>
          <w:p>
            <w:pPr>
              <w:ind w:left="100"/>
              <w:spacing w:after="0"/>
              <w:rPr>
                <w:sz w:val="20"/>
                <w:szCs w:val="20"/>
                <w:color w:val="auto"/>
              </w:rPr>
            </w:pPr>
            <w:r>
              <w:rPr>
                <w:rFonts w:ascii="Arial" w:cs="Arial" w:eastAsia="Arial" w:hAnsi="Arial"/>
                <w:sz w:val="11"/>
                <w:szCs w:val="11"/>
                <w:b w:val="1"/>
                <w:bCs w:val="1"/>
                <w:color w:val="auto"/>
              </w:rPr>
              <w:t>(in millions, except throughput and customer data)</w:t>
            </w: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20"/>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Revenues</w:t>
            </w:r>
          </w:p>
        </w:tc>
        <w:tc>
          <w:tcPr>
            <w:tcW w:w="360" w:type="dxa"/>
            <w:vAlign w:val="bottom"/>
            <w:tcBorders>
              <w:bottom w:val="single" w:sz="8" w:color="CCEEFF"/>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398</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3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410</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jc w:val="right"/>
              <w:ind w:right="188"/>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2,106</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jc w:val="right"/>
              <w:ind w:right="208"/>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2,058</w:t>
            </w:r>
          </w:p>
        </w:tc>
      </w:tr>
      <w:tr>
        <w:trPr>
          <w:trHeight w:val="202"/>
        </w:trPr>
        <w:tc>
          <w:tcPr>
            <w:tcW w:w="5160" w:type="dxa"/>
            <w:vAlign w:val="bottom"/>
          </w:tcPr>
          <w:p>
            <w:pPr>
              <w:ind w:left="20"/>
              <w:spacing w:after="0"/>
              <w:rPr>
                <w:sz w:val="20"/>
                <w:szCs w:val="20"/>
                <w:color w:val="auto"/>
              </w:rPr>
            </w:pPr>
            <w:r>
              <w:rPr>
                <w:rFonts w:ascii="Arial" w:cs="Arial" w:eastAsia="Arial" w:hAnsi="Arial"/>
                <w:sz w:val="14"/>
                <w:szCs w:val="14"/>
                <w:color w:val="auto"/>
              </w:rPr>
              <w:t>Expenses:</w:t>
            </w:r>
          </w:p>
        </w:tc>
        <w:tc>
          <w:tcPr>
            <w:tcW w:w="36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jc w:val="right"/>
              <w:ind w:right="51"/>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r>
      <w:tr>
        <w:trPr>
          <w:trHeight w:val="200"/>
        </w:trPr>
        <w:tc>
          <w:tcPr>
            <w:tcW w:w="51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Utility natural gas</w:t>
            </w:r>
          </w:p>
        </w:tc>
        <w:tc>
          <w:tcPr>
            <w:tcW w:w="36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105</w:t>
            </w: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120</w:t>
            </w:r>
          </w:p>
        </w:tc>
        <w:tc>
          <w:tcPr>
            <w:tcW w:w="1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980</w:t>
            </w:r>
          </w:p>
        </w:tc>
        <w:tc>
          <w:tcPr>
            <w:tcW w:w="1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972</w:t>
            </w:r>
          </w:p>
        </w:tc>
      </w:tr>
      <w:tr>
        <w:trPr>
          <w:trHeight w:val="193"/>
        </w:trPr>
        <w:tc>
          <w:tcPr>
            <w:tcW w:w="5160" w:type="dxa"/>
            <w:vAlign w:val="bottom"/>
          </w:tcPr>
          <w:p>
            <w:pPr>
              <w:ind w:left="140"/>
              <w:spacing w:after="0"/>
              <w:rPr>
                <w:sz w:val="20"/>
                <w:szCs w:val="20"/>
                <w:color w:val="auto"/>
              </w:rPr>
            </w:pPr>
            <w:r>
              <w:rPr>
                <w:rFonts w:ascii="Arial" w:cs="Arial" w:eastAsia="Arial" w:hAnsi="Arial"/>
                <w:sz w:val="14"/>
                <w:szCs w:val="14"/>
                <w:color w:val="auto"/>
              </w:rPr>
              <w:t>Operation and maintenance</w:t>
            </w:r>
          </w:p>
        </w:tc>
        <w:tc>
          <w:tcPr>
            <w:tcW w:w="360" w:type="dxa"/>
            <w:vAlign w:val="bottom"/>
          </w:tcPr>
          <w:p>
            <w:pPr>
              <w:spacing w:after="0"/>
              <w:rPr>
                <w:sz w:val="16"/>
                <w:szCs w:val="16"/>
                <w:color w:val="auto"/>
              </w:rPr>
            </w:pPr>
          </w:p>
        </w:tc>
        <w:tc>
          <w:tcPr>
            <w:tcW w:w="1140" w:type="dxa"/>
            <w:vAlign w:val="bottom"/>
          </w:tcPr>
          <w:p>
            <w:pPr>
              <w:jc w:val="right"/>
              <w:ind w:right="50"/>
              <w:spacing w:after="0"/>
              <w:rPr>
                <w:sz w:val="20"/>
                <w:szCs w:val="20"/>
                <w:color w:val="auto"/>
              </w:rPr>
            </w:pPr>
            <w:r>
              <w:rPr>
                <w:rFonts w:ascii="Arial" w:cs="Arial" w:eastAsia="Arial" w:hAnsi="Arial"/>
                <w:sz w:val="14"/>
                <w:szCs w:val="14"/>
                <w:color w:val="auto"/>
              </w:rPr>
              <w:t>169</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jc w:val="right"/>
              <w:ind w:right="51"/>
              <w:spacing w:after="0"/>
              <w:rPr>
                <w:sz w:val="20"/>
                <w:szCs w:val="20"/>
                <w:color w:val="auto"/>
              </w:rPr>
            </w:pPr>
            <w:r>
              <w:rPr>
                <w:rFonts w:ascii="Arial" w:cs="Arial" w:eastAsia="Arial" w:hAnsi="Arial"/>
                <w:sz w:val="14"/>
                <w:szCs w:val="14"/>
                <w:color w:val="auto"/>
              </w:rPr>
              <w:t>183</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30"/>
              <w:spacing w:after="0"/>
              <w:rPr>
                <w:sz w:val="20"/>
                <w:szCs w:val="20"/>
                <w:color w:val="auto"/>
              </w:rPr>
            </w:pPr>
            <w:r>
              <w:rPr>
                <w:rFonts w:ascii="Arial" w:cs="Arial" w:eastAsia="Arial" w:hAnsi="Arial"/>
                <w:sz w:val="14"/>
                <w:szCs w:val="14"/>
                <w:color w:val="auto"/>
              </w:rPr>
              <w:t>579</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jc w:val="right"/>
              <w:ind w:right="29"/>
              <w:spacing w:after="0"/>
              <w:rPr>
                <w:sz w:val="20"/>
                <w:szCs w:val="20"/>
                <w:color w:val="auto"/>
              </w:rPr>
            </w:pPr>
            <w:r>
              <w:rPr>
                <w:rFonts w:ascii="Arial" w:cs="Arial" w:eastAsia="Arial" w:hAnsi="Arial"/>
                <w:sz w:val="14"/>
                <w:szCs w:val="14"/>
                <w:color w:val="auto"/>
              </w:rPr>
              <w:t>592</w:t>
            </w:r>
          </w:p>
        </w:tc>
      </w:tr>
      <w:tr>
        <w:trPr>
          <w:trHeight w:val="23"/>
        </w:trPr>
        <w:tc>
          <w:tcPr>
            <w:tcW w:w="5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96"/>
        </w:trPr>
        <w:tc>
          <w:tcPr>
            <w:tcW w:w="51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Depreciation and amortization</w:t>
            </w:r>
          </w:p>
        </w:tc>
        <w:tc>
          <w:tcPr>
            <w:tcW w:w="36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71</w:t>
            </w: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73</w:t>
            </w:r>
          </w:p>
        </w:tc>
        <w:tc>
          <w:tcPr>
            <w:tcW w:w="1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216</w:t>
            </w:r>
          </w:p>
        </w:tc>
        <w:tc>
          <w:tcPr>
            <w:tcW w:w="1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210</w:t>
            </w:r>
          </w:p>
        </w:tc>
      </w:tr>
      <w:tr>
        <w:trPr>
          <w:trHeight w:val="193"/>
        </w:trPr>
        <w:tc>
          <w:tcPr>
            <w:tcW w:w="5160" w:type="dxa"/>
            <w:vAlign w:val="bottom"/>
          </w:tcPr>
          <w:p>
            <w:pPr>
              <w:ind w:left="140"/>
              <w:spacing w:after="0"/>
              <w:rPr>
                <w:sz w:val="20"/>
                <w:szCs w:val="20"/>
                <w:color w:val="auto"/>
              </w:rPr>
            </w:pPr>
            <w:r>
              <w:rPr>
                <w:rFonts w:ascii="Arial" w:cs="Arial" w:eastAsia="Arial" w:hAnsi="Arial"/>
                <w:sz w:val="14"/>
                <w:szCs w:val="14"/>
                <w:color w:val="auto"/>
              </w:rPr>
              <w:t>Taxes other than income taxes</w:t>
            </w:r>
          </w:p>
        </w:tc>
        <w:tc>
          <w:tcPr>
            <w:tcW w:w="360" w:type="dxa"/>
            <w:vAlign w:val="bottom"/>
          </w:tcPr>
          <w:p>
            <w:pPr>
              <w:spacing w:after="0"/>
              <w:rPr>
                <w:sz w:val="16"/>
                <w:szCs w:val="16"/>
                <w:color w:val="auto"/>
              </w:rPr>
            </w:pPr>
          </w:p>
        </w:tc>
        <w:tc>
          <w:tcPr>
            <w:tcW w:w="1140" w:type="dxa"/>
            <w:vAlign w:val="bottom"/>
          </w:tcPr>
          <w:p>
            <w:pPr>
              <w:jc w:val="right"/>
              <w:ind w:right="50"/>
              <w:spacing w:after="0"/>
              <w:rPr>
                <w:sz w:val="20"/>
                <w:szCs w:val="20"/>
                <w:color w:val="auto"/>
              </w:rPr>
            </w:pPr>
            <w:r>
              <w:rPr>
                <w:rFonts w:ascii="Arial" w:cs="Arial" w:eastAsia="Arial" w:hAnsi="Arial"/>
                <w:sz w:val="14"/>
                <w:szCs w:val="14"/>
                <w:color w:val="auto"/>
              </w:rPr>
              <w:t>33</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jc w:val="right"/>
              <w:ind w:right="51"/>
              <w:spacing w:after="0"/>
              <w:rPr>
                <w:sz w:val="20"/>
                <w:szCs w:val="20"/>
                <w:color w:val="auto"/>
              </w:rPr>
            </w:pPr>
            <w:r>
              <w:rPr>
                <w:rFonts w:ascii="Arial" w:cs="Arial" w:eastAsia="Arial" w:hAnsi="Arial"/>
                <w:sz w:val="14"/>
                <w:szCs w:val="14"/>
                <w:color w:val="auto"/>
              </w:rPr>
              <w:t>31</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30"/>
              <w:spacing w:after="0"/>
              <w:rPr>
                <w:sz w:val="20"/>
                <w:szCs w:val="20"/>
                <w:color w:val="auto"/>
              </w:rPr>
            </w:pPr>
            <w:r>
              <w:rPr>
                <w:rFonts w:ascii="Arial" w:cs="Arial" w:eastAsia="Arial" w:hAnsi="Arial"/>
                <w:sz w:val="14"/>
                <w:szCs w:val="14"/>
                <w:color w:val="auto"/>
              </w:rPr>
              <w:t>119</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jc w:val="right"/>
              <w:ind w:right="29"/>
              <w:spacing w:after="0"/>
              <w:rPr>
                <w:sz w:val="20"/>
                <w:szCs w:val="20"/>
                <w:color w:val="auto"/>
              </w:rPr>
            </w:pPr>
            <w:r>
              <w:rPr>
                <w:rFonts w:ascii="Arial" w:cs="Arial" w:eastAsia="Arial" w:hAnsi="Arial"/>
                <w:sz w:val="14"/>
                <w:szCs w:val="14"/>
                <w:color w:val="auto"/>
              </w:rPr>
              <w:t>118</w:t>
            </w:r>
          </w:p>
        </w:tc>
      </w:tr>
      <w:tr>
        <w:trPr>
          <w:trHeight w:val="23"/>
        </w:trPr>
        <w:tc>
          <w:tcPr>
            <w:tcW w:w="51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06"/>
        </w:trPr>
        <w:tc>
          <w:tcPr>
            <w:tcW w:w="51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4"/>
                <w:szCs w:val="14"/>
                <w:color w:val="auto"/>
              </w:rPr>
              <w:t>Total expenses</w:t>
            </w:r>
          </w:p>
        </w:tc>
        <w:tc>
          <w:tcPr>
            <w:tcW w:w="36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378</w:t>
            </w: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407</w:t>
            </w:r>
          </w:p>
        </w:tc>
        <w:tc>
          <w:tcPr>
            <w:tcW w:w="1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1,894</w:t>
            </w:r>
          </w:p>
        </w:tc>
        <w:tc>
          <w:tcPr>
            <w:tcW w:w="1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1,892</w:t>
            </w:r>
          </w:p>
        </w:tc>
      </w:tr>
      <w:tr>
        <w:trPr>
          <w:trHeight w:val="240"/>
        </w:trPr>
        <w:tc>
          <w:tcPr>
            <w:tcW w:w="51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Operating Income</w:t>
            </w:r>
          </w:p>
        </w:tc>
        <w:tc>
          <w:tcPr>
            <w:tcW w:w="360" w:type="dxa"/>
            <w:vAlign w:val="bottom"/>
            <w:tcBorders>
              <w:top w:val="single" w:sz="8" w:color="auto"/>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4"/>
                <w:szCs w:val="14"/>
                <w:color w:val="auto"/>
              </w:rPr>
              <w:t>20</w:t>
            </w:r>
          </w:p>
        </w:tc>
        <w:tc>
          <w:tcPr>
            <w:tcW w:w="120" w:type="dxa"/>
            <w:vAlign w:val="bottom"/>
            <w:tcBorders>
              <w:bottom w:val="single" w:sz="8" w:color="CCEEFF"/>
            </w:tcBorders>
          </w:tcPr>
          <w:p>
            <w:pPr>
              <w:spacing w:after="0"/>
              <w:rPr>
                <w:sz w:val="20"/>
                <w:szCs w:val="20"/>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132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4"/>
                <w:szCs w:val="14"/>
                <w:color w:val="auto"/>
              </w:rPr>
              <w:t>3</w:t>
            </w:r>
          </w:p>
        </w:tc>
        <w:tc>
          <w:tcPr>
            <w:tcW w:w="120" w:type="dxa"/>
            <w:vAlign w:val="bottom"/>
            <w:tcBorders>
              <w:bottom w:val="single" w:sz="8" w:color="CCEEFF"/>
            </w:tcBorders>
          </w:tcPr>
          <w:p>
            <w:pPr>
              <w:spacing w:after="0"/>
              <w:rPr>
                <w:sz w:val="20"/>
                <w:szCs w:val="20"/>
                <w:color w:val="auto"/>
              </w:rPr>
            </w:pPr>
          </w:p>
        </w:tc>
        <w:tc>
          <w:tcPr>
            <w:tcW w:w="340" w:type="dxa"/>
            <w:vAlign w:val="bottom"/>
            <w:tcBorders>
              <w:top w:val="single" w:sz="8" w:color="auto"/>
              <w:bottom w:val="single" w:sz="8" w:color="auto"/>
            </w:tcBorders>
          </w:tcPr>
          <w:p>
            <w:pPr>
              <w:jc w:val="right"/>
              <w:ind w:right="188"/>
              <w:spacing w:after="0"/>
              <w:rPr>
                <w:sz w:val="20"/>
                <w:szCs w:val="20"/>
                <w:color w:val="auto"/>
              </w:rPr>
            </w:pPr>
            <w:r>
              <w:rPr>
                <w:rFonts w:ascii="Arial" w:cs="Arial" w:eastAsia="Arial" w:hAnsi="Arial"/>
                <w:sz w:val="14"/>
                <w:szCs w:val="14"/>
                <w:color w:val="auto"/>
                <w:w w:val="76"/>
              </w:rPr>
              <w:t>$</w:t>
            </w:r>
          </w:p>
        </w:tc>
        <w:tc>
          <w:tcPr>
            <w:tcW w:w="11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4"/>
                <w:szCs w:val="14"/>
                <w:color w:val="auto"/>
              </w:rPr>
              <w:t>212</w:t>
            </w:r>
          </w:p>
        </w:tc>
        <w:tc>
          <w:tcPr>
            <w:tcW w:w="120" w:type="dxa"/>
            <w:vAlign w:val="bottom"/>
            <w:tcBorders>
              <w:bottom w:val="single" w:sz="8" w:color="CCEEFF"/>
            </w:tcBorders>
          </w:tcPr>
          <w:p>
            <w:pPr>
              <w:spacing w:after="0"/>
              <w:rPr>
                <w:sz w:val="20"/>
                <w:szCs w:val="20"/>
                <w:color w:val="auto"/>
              </w:rPr>
            </w:pPr>
          </w:p>
        </w:tc>
        <w:tc>
          <w:tcPr>
            <w:tcW w:w="360" w:type="dxa"/>
            <w:vAlign w:val="bottom"/>
            <w:tcBorders>
              <w:top w:val="single" w:sz="8" w:color="auto"/>
              <w:bottom w:val="single" w:sz="8" w:color="auto"/>
            </w:tcBorders>
          </w:tcPr>
          <w:p>
            <w:pPr>
              <w:jc w:val="right"/>
              <w:ind w:right="208"/>
              <w:spacing w:after="0"/>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166</w:t>
            </w:r>
          </w:p>
        </w:tc>
      </w:tr>
      <w:tr>
        <w:trPr>
          <w:trHeight w:val="174"/>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Throughput (in Bcf):</w:t>
            </w:r>
          </w:p>
        </w:tc>
        <w:tc>
          <w:tcPr>
            <w:tcW w:w="36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3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spacing w:after="0"/>
              <w:rPr>
                <w:sz w:val="15"/>
                <w:szCs w:val="15"/>
                <w:color w:val="auto"/>
              </w:rPr>
            </w:pPr>
          </w:p>
        </w:tc>
      </w:tr>
      <w:tr>
        <w:trPr>
          <w:trHeight w:val="193"/>
        </w:trPr>
        <w:tc>
          <w:tcPr>
            <w:tcW w:w="5160" w:type="dxa"/>
            <w:vAlign w:val="bottom"/>
          </w:tcPr>
          <w:p>
            <w:pPr>
              <w:ind w:left="140"/>
              <w:spacing w:after="0"/>
              <w:rPr>
                <w:sz w:val="20"/>
                <w:szCs w:val="20"/>
                <w:color w:val="auto"/>
              </w:rPr>
            </w:pPr>
            <w:r>
              <w:rPr>
                <w:rFonts w:ascii="Arial" w:cs="Arial" w:eastAsia="Arial" w:hAnsi="Arial"/>
                <w:sz w:val="14"/>
                <w:szCs w:val="14"/>
                <w:color w:val="auto"/>
              </w:rPr>
              <w:t>Residential</w:t>
            </w:r>
          </w:p>
        </w:tc>
        <w:tc>
          <w:tcPr>
            <w:tcW w:w="360" w:type="dxa"/>
            <w:vAlign w:val="bottom"/>
          </w:tcPr>
          <w:p>
            <w:pPr>
              <w:spacing w:after="0"/>
              <w:rPr>
                <w:sz w:val="16"/>
                <w:szCs w:val="16"/>
                <w:color w:val="auto"/>
              </w:rPr>
            </w:pPr>
          </w:p>
        </w:tc>
        <w:tc>
          <w:tcPr>
            <w:tcW w:w="1140" w:type="dxa"/>
            <w:vAlign w:val="bottom"/>
          </w:tcPr>
          <w:p>
            <w:pPr>
              <w:jc w:val="right"/>
              <w:ind w:right="50"/>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jc w:val="right"/>
              <w:ind w:right="51"/>
              <w:spacing w:after="0"/>
              <w:rPr>
                <w:sz w:val="20"/>
                <w:szCs w:val="20"/>
                <w:color w:val="auto"/>
              </w:rPr>
            </w:pPr>
            <w:r>
              <w:rPr>
                <w:rFonts w:ascii="Arial" w:cs="Arial" w:eastAsia="Arial" w:hAnsi="Arial"/>
                <w:sz w:val="14"/>
                <w:szCs w:val="14"/>
                <w:color w:val="auto"/>
              </w:rPr>
              <w:t>13</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30"/>
              <w:spacing w:after="0"/>
              <w:rPr>
                <w:sz w:val="20"/>
                <w:szCs w:val="20"/>
                <w:color w:val="auto"/>
              </w:rPr>
            </w:pPr>
            <w:r>
              <w:rPr>
                <w:rFonts w:ascii="Arial" w:cs="Arial" w:eastAsia="Arial" w:hAnsi="Arial"/>
                <w:sz w:val="14"/>
                <w:szCs w:val="14"/>
                <w:color w:val="auto"/>
              </w:rPr>
              <w:t>125</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jc w:val="right"/>
              <w:ind w:right="29"/>
              <w:spacing w:after="0"/>
              <w:rPr>
                <w:sz w:val="20"/>
                <w:szCs w:val="20"/>
                <w:color w:val="auto"/>
              </w:rPr>
            </w:pPr>
            <w:r>
              <w:rPr>
                <w:rFonts w:ascii="Arial" w:cs="Arial" w:eastAsia="Arial" w:hAnsi="Arial"/>
                <w:sz w:val="14"/>
                <w:szCs w:val="14"/>
                <w:color w:val="auto"/>
              </w:rPr>
              <w:t>123</w:t>
            </w:r>
          </w:p>
        </w:tc>
      </w:tr>
      <w:tr>
        <w:trPr>
          <w:trHeight w:val="23"/>
        </w:trPr>
        <w:tc>
          <w:tcPr>
            <w:tcW w:w="5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16"/>
        </w:trPr>
        <w:tc>
          <w:tcPr>
            <w:tcW w:w="51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Commercial and industrial</w:t>
            </w:r>
          </w:p>
        </w:tc>
        <w:tc>
          <w:tcPr>
            <w:tcW w:w="36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53</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53</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214</w:t>
            </w: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208</w:t>
            </w:r>
          </w:p>
        </w:tc>
      </w:tr>
      <w:tr>
        <w:trPr>
          <w:trHeight w:val="240"/>
        </w:trPr>
        <w:tc>
          <w:tcPr>
            <w:tcW w:w="5160" w:type="dxa"/>
            <w:vAlign w:val="bottom"/>
            <w:tcBorders>
              <w:bottom w:val="single" w:sz="8" w:color="CCEEFF"/>
            </w:tcBorders>
          </w:tcPr>
          <w:p>
            <w:pPr>
              <w:ind w:left="300"/>
              <w:spacing w:after="0"/>
              <w:rPr>
                <w:sz w:val="20"/>
                <w:szCs w:val="20"/>
                <w:color w:val="auto"/>
              </w:rPr>
            </w:pPr>
            <w:r>
              <w:rPr>
                <w:rFonts w:ascii="Arial" w:cs="Arial" w:eastAsia="Arial" w:hAnsi="Arial"/>
                <w:sz w:val="14"/>
                <w:szCs w:val="14"/>
                <w:color w:val="auto"/>
              </w:rPr>
              <w:t>Total Throughput</w:t>
            </w:r>
          </w:p>
        </w:tc>
        <w:tc>
          <w:tcPr>
            <w:tcW w:w="36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4"/>
                <w:szCs w:val="14"/>
                <w:color w:val="auto"/>
              </w:rPr>
              <w:t>65</w:t>
            </w:r>
          </w:p>
        </w:tc>
        <w:tc>
          <w:tcPr>
            <w:tcW w:w="120" w:type="dxa"/>
            <w:vAlign w:val="bottom"/>
            <w:tcBorders>
              <w:bottom w:val="single" w:sz="8" w:color="CCEEFF"/>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132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4"/>
                <w:szCs w:val="14"/>
                <w:color w:val="auto"/>
              </w:rPr>
              <w:t>66</w:t>
            </w:r>
          </w:p>
        </w:tc>
        <w:tc>
          <w:tcPr>
            <w:tcW w:w="120" w:type="dxa"/>
            <w:vAlign w:val="bottom"/>
            <w:tcBorders>
              <w:bottom w:val="single" w:sz="8" w:color="CCEEFF"/>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4"/>
                <w:szCs w:val="14"/>
                <w:color w:val="auto"/>
              </w:rPr>
              <w:t>339</w:t>
            </w:r>
          </w:p>
        </w:tc>
        <w:tc>
          <w:tcPr>
            <w:tcW w:w="120" w:type="dxa"/>
            <w:vAlign w:val="bottom"/>
            <w:tcBorders>
              <w:bottom w:val="single" w:sz="8" w:color="CCEEFF"/>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331</w:t>
            </w:r>
          </w:p>
        </w:tc>
      </w:tr>
      <w:tr>
        <w:trPr>
          <w:trHeight w:val="174"/>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Number of customers at end of period:</w:t>
            </w:r>
          </w:p>
        </w:tc>
        <w:tc>
          <w:tcPr>
            <w:tcW w:w="36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3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spacing w:after="0"/>
              <w:rPr>
                <w:sz w:val="15"/>
                <w:szCs w:val="15"/>
                <w:color w:val="auto"/>
              </w:rPr>
            </w:pPr>
          </w:p>
        </w:tc>
      </w:tr>
      <w:tr>
        <w:trPr>
          <w:trHeight w:val="193"/>
        </w:trPr>
        <w:tc>
          <w:tcPr>
            <w:tcW w:w="5160" w:type="dxa"/>
            <w:vAlign w:val="bottom"/>
          </w:tcPr>
          <w:p>
            <w:pPr>
              <w:ind w:left="140"/>
              <w:spacing w:after="0"/>
              <w:rPr>
                <w:sz w:val="20"/>
                <w:szCs w:val="20"/>
                <w:color w:val="auto"/>
              </w:rPr>
            </w:pPr>
            <w:r>
              <w:rPr>
                <w:rFonts w:ascii="Arial" w:cs="Arial" w:eastAsia="Arial" w:hAnsi="Arial"/>
                <w:sz w:val="14"/>
                <w:szCs w:val="14"/>
                <w:color w:val="auto"/>
              </w:rPr>
              <w:t>Residential</w:t>
            </w:r>
          </w:p>
        </w:tc>
        <w:tc>
          <w:tcPr>
            <w:tcW w:w="360" w:type="dxa"/>
            <w:vAlign w:val="bottom"/>
          </w:tcPr>
          <w:p>
            <w:pPr>
              <w:spacing w:after="0"/>
              <w:rPr>
                <w:sz w:val="16"/>
                <w:szCs w:val="16"/>
                <w:color w:val="auto"/>
              </w:rPr>
            </w:pPr>
          </w:p>
        </w:tc>
        <w:tc>
          <w:tcPr>
            <w:tcW w:w="1140" w:type="dxa"/>
            <w:vAlign w:val="bottom"/>
          </w:tcPr>
          <w:p>
            <w:pPr>
              <w:jc w:val="right"/>
              <w:ind w:right="50"/>
              <w:spacing w:after="0"/>
              <w:rPr>
                <w:sz w:val="20"/>
                <w:szCs w:val="20"/>
                <w:color w:val="auto"/>
              </w:rPr>
            </w:pPr>
            <w:r>
              <w:rPr>
                <w:rFonts w:ascii="Arial" w:cs="Arial" w:eastAsia="Arial" w:hAnsi="Arial"/>
                <w:sz w:val="14"/>
                <w:szCs w:val="14"/>
                <w:color w:val="auto"/>
              </w:rPr>
              <w:t>3,250,810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jc w:val="right"/>
              <w:ind w:right="51"/>
              <w:spacing w:after="0"/>
              <w:rPr>
                <w:sz w:val="20"/>
                <w:szCs w:val="20"/>
                <w:color w:val="auto"/>
              </w:rPr>
            </w:pPr>
            <w:r>
              <w:rPr>
                <w:rFonts w:ascii="Arial" w:cs="Arial" w:eastAsia="Arial" w:hAnsi="Arial"/>
                <w:sz w:val="14"/>
                <w:szCs w:val="14"/>
                <w:color w:val="auto"/>
              </w:rPr>
              <w:t>3,205,916</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30"/>
              <w:spacing w:after="0"/>
              <w:rPr>
                <w:sz w:val="20"/>
                <w:szCs w:val="20"/>
                <w:color w:val="auto"/>
              </w:rPr>
            </w:pPr>
            <w:r>
              <w:rPr>
                <w:rFonts w:ascii="Arial" w:cs="Arial" w:eastAsia="Arial" w:hAnsi="Arial"/>
                <w:sz w:val="14"/>
                <w:szCs w:val="14"/>
                <w:color w:val="auto"/>
              </w:rPr>
              <w:t>3,250,810</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jc w:val="right"/>
              <w:ind w:right="29"/>
              <w:spacing w:after="0"/>
              <w:rPr>
                <w:sz w:val="20"/>
                <w:szCs w:val="20"/>
                <w:color w:val="auto"/>
              </w:rPr>
            </w:pPr>
            <w:r>
              <w:rPr>
                <w:rFonts w:ascii="Arial" w:cs="Arial" w:eastAsia="Arial" w:hAnsi="Arial"/>
                <w:sz w:val="14"/>
                <w:szCs w:val="14"/>
                <w:color w:val="auto"/>
              </w:rPr>
              <w:t>3,205,916</w:t>
            </w:r>
          </w:p>
        </w:tc>
      </w:tr>
      <w:tr>
        <w:trPr>
          <w:trHeight w:val="23"/>
        </w:trPr>
        <w:tc>
          <w:tcPr>
            <w:tcW w:w="5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16"/>
        </w:trPr>
        <w:tc>
          <w:tcPr>
            <w:tcW w:w="51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Commercial and industrial</w:t>
            </w:r>
          </w:p>
        </w:tc>
        <w:tc>
          <w:tcPr>
            <w:tcW w:w="36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257,655</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255,244</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257,655</w:t>
            </w: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255,244</w:t>
            </w:r>
          </w:p>
        </w:tc>
      </w:tr>
      <w:tr>
        <w:trPr>
          <w:trHeight w:val="200"/>
        </w:trPr>
        <w:tc>
          <w:tcPr>
            <w:tcW w:w="5160" w:type="dxa"/>
            <w:vAlign w:val="bottom"/>
          </w:tcPr>
          <w:p>
            <w:pPr>
              <w:ind w:left="300"/>
              <w:spacing w:after="0"/>
              <w:rPr>
                <w:sz w:val="20"/>
                <w:szCs w:val="20"/>
                <w:color w:val="auto"/>
              </w:rPr>
            </w:pPr>
            <w:r>
              <w:rPr>
                <w:rFonts w:ascii="Arial" w:cs="Arial" w:eastAsia="Arial" w:hAnsi="Arial"/>
                <w:sz w:val="14"/>
                <w:szCs w:val="14"/>
                <w:color w:val="auto"/>
              </w:rPr>
              <w:t>Total</w:t>
            </w:r>
          </w:p>
        </w:tc>
        <w:tc>
          <w:tcPr>
            <w:tcW w:w="36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4"/>
                <w:szCs w:val="14"/>
                <w:color w:val="auto"/>
              </w:rPr>
              <w:t>3,508,465</w:t>
            </w:r>
          </w:p>
        </w:tc>
        <w:tc>
          <w:tcPr>
            <w:tcW w:w="12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32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4"/>
                <w:szCs w:val="14"/>
                <w:color w:val="auto"/>
              </w:rPr>
              <w:t>3,461,160</w:t>
            </w:r>
          </w:p>
        </w:tc>
        <w:tc>
          <w:tcPr>
            <w:tcW w:w="120" w:type="dxa"/>
            <w:vAlign w:val="bottom"/>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4"/>
                <w:szCs w:val="14"/>
                <w:color w:val="auto"/>
              </w:rPr>
              <w:t>3,508,465</w:t>
            </w:r>
          </w:p>
        </w:tc>
        <w:tc>
          <w:tcPr>
            <w:tcW w:w="120" w:type="dxa"/>
            <w:vAlign w:val="bottom"/>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3,461,160</w:t>
            </w:r>
          </w:p>
        </w:tc>
      </w:tr>
      <w:tr>
        <w:trPr>
          <w:trHeight w:val="20"/>
        </w:trPr>
        <w:tc>
          <w:tcPr>
            <w:tcW w:w="5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62" w:lineRule="exact"/>
        <w:rPr>
          <w:sz w:val="20"/>
          <w:szCs w:val="20"/>
          <w:color w:val="auto"/>
        </w:rPr>
      </w:pPr>
    </w:p>
    <w:p>
      <w:pPr>
        <w:ind w:left="40"/>
        <w:spacing w:after="0"/>
        <w:rPr>
          <w:sz w:val="20"/>
          <w:szCs w:val="20"/>
          <w:color w:val="auto"/>
        </w:rPr>
      </w:pPr>
      <w:r>
        <w:rPr>
          <w:rFonts w:ascii="Arial" w:cs="Arial" w:eastAsia="Arial" w:hAnsi="Arial"/>
          <w:sz w:val="14"/>
          <w:szCs w:val="14"/>
          <w:b w:val="1"/>
          <w:bCs w:val="1"/>
          <w:i w:val="1"/>
          <w:iCs w:val="1"/>
          <w:color w:val="auto"/>
        </w:rPr>
        <w:t>Three months ended September 30, 2019 compared to three months ended September 30, 2018</w:t>
      </w:r>
    </w:p>
    <w:p>
      <w:pPr>
        <w:spacing w:after="0" w:line="184" w:lineRule="exact"/>
        <w:rPr>
          <w:sz w:val="20"/>
          <w:szCs w:val="20"/>
          <w:color w:val="auto"/>
        </w:rPr>
      </w:pPr>
    </w:p>
    <w:p>
      <w:pPr>
        <w:jc w:val="both"/>
        <w:ind w:firstLine="259"/>
        <w:spacing w:after="0" w:line="288" w:lineRule="auto"/>
        <w:rPr>
          <w:sz w:val="20"/>
          <w:szCs w:val="20"/>
          <w:color w:val="auto"/>
        </w:rPr>
      </w:pPr>
      <w:r>
        <w:rPr>
          <w:rFonts w:ascii="Arial" w:cs="Arial" w:eastAsia="Arial" w:hAnsi="Arial"/>
          <w:sz w:val="14"/>
          <w:szCs w:val="14"/>
          <w:color w:val="auto"/>
        </w:rPr>
        <w:t>CERC’s Natural Gas Distribution reportable segment reported operating income of $20 million for the three months ended September 30, 2019 compared to $3 million for the three months ended September 30, 2018.</w:t>
      </w:r>
    </w:p>
    <w:p>
      <w:pPr>
        <w:spacing w:after="0" w:line="131" w:lineRule="exact"/>
        <w:rPr>
          <w:sz w:val="20"/>
          <w:szCs w:val="20"/>
          <w:color w:val="auto"/>
        </w:rPr>
      </w:pPr>
    </w:p>
    <w:p>
      <w:pPr>
        <w:ind w:left="260"/>
        <w:spacing w:after="0"/>
        <w:rPr>
          <w:sz w:val="20"/>
          <w:szCs w:val="20"/>
          <w:color w:val="auto"/>
        </w:rPr>
      </w:pPr>
      <w:r>
        <w:rPr>
          <w:rFonts w:ascii="Arial" w:cs="Arial" w:eastAsia="Arial" w:hAnsi="Arial"/>
          <w:sz w:val="14"/>
          <w:szCs w:val="14"/>
          <w:color w:val="auto"/>
        </w:rPr>
        <w:t>Operating income increased $17 million primarily as a result of the following key factors:</w:t>
      </w:r>
    </w:p>
    <w:p>
      <w:pPr>
        <w:spacing w:after="0" w:line="184" w:lineRule="exact"/>
        <w:rPr>
          <w:sz w:val="20"/>
          <w:szCs w:val="20"/>
          <w:color w:val="auto"/>
        </w:rPr>
      </w:pPr>
    </w:p>
    <w:p>
      <w:pPr>
        <w:ind w:left="520" w:hanging="255"/>
        <w:spacing w:after="0"/>
        <w:tabs>
          <w:tab w:leader="none" w:pos="520" w:val="left"/>
        </w:tabs>
        <w:numPr>
          <w:ilvl w:val="0"/>
          <w:numId w:val="78"/>
        </w:numPr>
        <w:rPr>
          <w:rFonts w:ascii="Arial" w:cs="Arial" w:eastAsia="Arial" w:hAnsi="Arial"/>
          <w:sz w:val="14"/>
          <w:szCs w:val="14"/>
          <w:color w:val="auto"/>
        </w:rPr>
      </w:pPr>
      <w:r>
        <w:rPr>
          <w:rFonts w:ascii="Arial" w:cs="Arial" w:eastAsia="Arial" w:hAnsi="Arial"/>
          <w:sz w:val="14"/>
          <w:szCs w:val="14"/>
          <w:color w:val="auto"/>
        </w:rPr>
        <w:t>lower operation and maintenance expenses of $12 million primarily driven by lower support services costs and lower labor and benefits costs;</w:t>
      </w:r>
    </w:p>
    <w:p>
      <w:pPr>
        <w:spacing w:after="0" w:line="183" w:lineRule="exact"/>
        <w:rPr>
          <w:rFonts w:ascii="Arial" w:cs="Arial" w:eastAsia="Arial" w:hAnsi="Arial"/>
          <w:sz w:val="14"/>
          <w:szCs w:val="14"/>
          <w:color w:val="auto"/>
        </w:rPr>
      </w:pPr>
    </w:p>
    <w:p>
      <w:pPr>
        <w:ind w:left="520" w:hanging="255"/>
        <w:spacing w:after="0"/>
        <w:tabs>
          <w:tab w:leader="none" w:pos="520" w:val="left"/>
        </w:tabs>
        <w:numPr>
          <w:ilvl w:val="0"/>
          <w:numId w:val="78"/>
        </w:numPr>
        <w:rPr>
          <w:rFonts w:ascii="Arial" w:cs="Arial" w:eastAsia="Arial" w:hAnsi="Arial"/>
          <w:sz w:val="14"/>
          <w:szCs w:val="14"/>
          <w:color w:val="auto"/>
        </w:rPr>
      </w:pPr>
      <w:r>
        <w:rPr>
          <w:rFonts w:ascii="Arial" w:cs="Arial" w:eastAsia="Arial" w:hAnsi="Arial"/>
          <w:sz w:val="14"/>
          <w:szCs w:val="14"/>
          <w:color w:val="auto"/>
        </w:rPr>
        <w:t>rate increases of $9 million, exclusive of the TCJA impact discussed below; and</w:t>
      </w:r>
    </w:p>
    <w:p>
      <w:pPr>
        <w:spacing w:after="0" w:line="183" w:lineRule="exact"/>
        <w:rPr>
          <w:rFonts w:ascii="Arial" w:cs="Arial" w:eastAsia="Arial" w:hAnsi="Arial"/>
          <w:sz w:val="14"/>
          <w:szCs w:val="14"/>
          <w:color w:val="auto"/>
        </w:rPr>
      </w:pPr>
    </w:p>
    <w:p>
      <w:pPr>
        <w:ind w:left="520" w:hanging="255"/>
        <w:spacing w:after="0"/>
        <w:tabs>
          <w:tab w:leader="none" w:pos="520" w:val="left"/>
        </w:tabs>
        <w:numPr>
          <w:ilvl w:val="0"/>
          <w:numId w:val="78"/>
        </w:numPr>
        <w:rPr>
          <w:rFonts w:ascii="Arial" w:cs="Arial" w:eastAsia="Arial" w:hAnsi="Arial"/>
          <w:sz w:val="14"/>
          <w:szCs w:val="14"/>
          <w:color w:val="auto"/>
        </w:rPr>
      </w:pPr>
      <w:r>
        <w:rPr>
          <w:rFonts w:ascii="Arial" w:cs="Arial" w:eastAsia="Arial" w:hAnsi="Arial"/>
          <w:sz w:val="14"/>
          <w:szCs w:val="14"/>
          <w:color w:val="auto"/>
        </w:rPr>
        <w:t>a $3 million increase in revenues associated with customer growth from the addition of over 47,000 new customers.</w:t>
      </w:r>
    </w:p>
    <w:p>
      <w:pPr>
        <w:spacing w:after="0" w:line="184"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These increases were partially offset by the following:</w:t>
      </w:r>
    </w:p>
    <w:p>
      <w:pPr>
        <w:spacing w:after="0" w:line="184" w:lineRule="exact"/>
        <w:rPr>
          <w:sz w:val="20"/>
          <w:szCs w:val="20"/>
          <w:color w:val="auto"/>
        </w:rPr>
      </w:pPr>
    </w:p>
    <w:p>
      <w:pPr>
        <w:ind w:left="520" w:hanging="255"/>
        <w:spacing w:after="0" w:line="288" w:lineRule="auto"/>
        <w:tabs>
          <w:tab w:leader="none" w:pos="520" w:val="left"/>
        </w:tabs>
        <w:numPr>
          <w:ilvl w:val="0"/>
          <w:numId w:val="79"/>
        </w:numPr>
        <w:rPr>
          <w:rFonts w:ascii="Arial" w:cs="Arial" w:eastAsia="Arial" w:hAnsi="Arial"/>
          <w:sz w:val="14"/>
          <w:szCs w:val="14"/>
          <w:color w:val="auto"/>
        </w:rPr>
      </w:pPr>
      <w:r>
        <w:rPr>
          <w:rFonts w:ascii="Arial" w:cs="Arial" w:eastAsia="Arial" w:hAnsi="Arial"/>
          <w:sz w:val="14"/>
          <w:szCs w:val="14"/>
          <w:color w:val="auto"/>
        </w:rPr>
        <w:t>a $8 million decrease in revenues, primarily driven by the timing of a decoupling mechanism (a revenue stabilization mechanism used to adjust revenues impacted by changes in natural gas consumption, including usage and weather) in Minnesota; and</w:t>
      </w:r>
    </w:p>
    <w:p>
      <w:pPr>
        <w:spacing w:after="0" w:line="130" w:lineRule="exact"/>
        <w:rPr>
          <w:rFonts w:ascii="Arial" w:cs="Arial" w:eastAsia="Arial" w:hAnsi="Arial"/>
          <w:sz w:val="14"/>
          <w:szCs w:val="14"/>
          <w:color w:val="auto"/>
        </w:rPr>
      </w:pPr>
    </w:p>
    <w:p>
      <w:pPr>
        <w:ind w:left="520" w:hanging="255"/>
        <w:spacing w:after="0"/>
        <w:tabs>
          <w:tab w:leader="none" w:pos="520" w:val="left"/>
        </w:tabs>
        <w:numPr>
          <w:ilvl w:val="0"/>
          <w:numId w:val="79"/>
        </w:numPr>
        <w:rPr>
          <w:rFonts w:ascii="Arial" w:cs="Arial" w:eastAsia="Arial" w:hAnsi="Arial"/>
          <w:sz w:val="14"/>
          <w:szCs w:val="14"/>
          <w:color w:val="auto"/>
        </w:rPr>
      </w:pPr>
      <w:r>
        <w:rPr>
          <w:rFonts w:ascii="Arial" w:cs="Arial" w:eastAsia="Arial" w:hAnsi="Arial"/>
          <w:sz w:val="14"/>
          <w:szCs w:val="14"/>
          <w:color w:val="auto"/>
        </w:rPr>
        <w:t>lower revenue of $2 million related to the impact of the TCJA.</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77</w:t>
      </w:r>
    </w:p>
    <w:p>
      <w:pPr>
        <w:sectPr>
          <w:pgSz w:w="11900" w:h="16838" w:orient="portrait"/>
          <w:cols w:equalWidth="0" w:num="1">
            <w:col w:w="11460"/>
          </w:cols>
          <w:pgMar w:left="220" w:top="129" w:right="219" w:bottom="1440" w:gutter="0" w:footer="0" w:header="0"/>
        </w:sectPr>
      </w:pPr>
    </w:p>
    <w:bookmarkStart w:id="87" w:name="page88"/>
    <w:bookmarkEnd w:id="87"/>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205" w:lineRule="exact"/>
        <w:rPr>
          <w:sz w:val="20"/>
          <w:szCs w:val="20"/>
          <w:color w:val="auto"/>
        </w:rPr>
      </w:pPr>
    </w:p>
    <w:p>
      <w:pPr>
        <w:ind w:firstLine="259"/>
        <w:spacing w:after="0" w:line="288" w:lineRule="auto"/>
        <w:rPr>
          <w:sz w:val="20"/>
          <w:szCs w:val="20"/>
          <w:color w:val="auto"/>
        </w:rPr>
      </w:pPr>
      <w:r>
        <w:rPr>
          <w:rFonts w:ascii="Arial" w:cs="Arial" w:eastAsia="Arial" w:hAnsi="Arial"/>
          <w:sz w:val="14"/>
          <w:szCs w:val="14"/>
          <w:color w:val="auto"/>
        </w:rPr>
        <w:t>Increased operation and maintenance expenses related to increased gross receipts taxes of $1 million were offset by corresponding increases in the related revenues. Decreased operation and maintenance expenses related to energy efficiency programs of $2 million were offset by corresponding decreases in the related revenues.</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Nine months ended September 30, 2019 compared to nine months ended September 30, 2018</w:t>
      </w:r>
    </w:p>
    <w:p>
      <w:pPr>
        <w:spacing w:after="0" w:line="184" w:lineRule="exact"/>
        <w:rPr>
          <w:sz w:val="20"/>
          <w:szCs w:val="20"/>
          <w:color w:val="auto"/>
        </w:rPr>
      </w:pPr>
    </w:p>
    <w:p>
      <w:pPr>
        <w:ind w:firstLine="259"/>
        <w:spacing w:after="0" w:line="288" w:lineRule="auto"/>
        <w:rPr>
          <w:sz w:val="20"/>
          <w:szCs w:val="20"/>
          <w:color w:val="auto"/>
        </w:rPr>
      </w:pPr>
      <w:r>
        <w:rPr>
          <w:rFonts w:ascii="Arial" w:cs="Arial" w:eastAsia="Arial" w:hAnsi="Arial"/>
          <w:sz w:val="14"/>
          <w:szCs w:val="14"/>
          <w:color w:val="auto"/>
        </w:rPr>
        <w:t>CERC’s Natural Gas Distribution reportable segment reported operating income of $212 million for the nine months ended September 30, 2019 compared to $166 million for the nine months ended September 30, 2018.</w:t>
      </w:r>
    </w:p>
    <w:p>
      <w:pPr>
        <w:spacing w:after="0" w:line="131" w:lineRule="exact"/>
        <w:rPr>
          <w:sz w:val="20"/>
          <w:szCs w:val="20"/>
          <w:color w:val="auto"/>
        </w:rPr>
      </w:pPr>
    </w:p>
    <w:p>
      <w:pPr>
        <w:ind w:left="260"/>
        <w:spacing w:after="0"/>
        <w:rPr>
          <w:sz w:val="20"/>
          <w:szCs w:val="20"/>
          <w:color w:val="auto"/>
        </w:rPr>
      </w:pPr>
      <w:r>
        <w:rPr>
          <w:rFonts w:ascii="Arial" w:cs="Arial" w:eastAsia="Arial" w:hAnsi="Arial"/>
          <w:sz w:val="14"/>
          <w:szCs w:val="14"/>
          <w:color w:val="auto"/>
        </w:rPr>
        <w:t>Operating income increased $46 million primarily as a result of the following key factors:</w:t>
      </w:r>
    </w:p>
    <w:p>
      <w:pPr>
        <w:spacing w:after="0" w:line="184" w:lineRule="exact"/>
        <w:rPr>
          <w:sz w:val="20"/>
          <w:szCs w:val="20"/>
          <w:color w:val="auto"/>
        </w:rPr>
      </w:pPr>
    </w:p>
    <w:p>
      <w:pPr>
        <w:ind w:left="520" w:hanging="255"/>
        <w:spacing w:after="0"/>
        <w:tabs>
          <w:tab w:leader="none" w:pos="520" w:val="left"/>
        </w:tabs>
        <w:numPr>
          <w:ilvl w:val="0"/>
          <w:numId w:val="80"/>
        </w:numPr>
        <w:rPr>
          <w:rFonts w:ascii="Arial" w:cs="Arial" w:eastAsia="Arial" w:hAnsi="Arial"/>
          <w:sz w:val="14"/>
          <w:szCs w:val="14"/>
          <w:color w:val="auto"/>
        </w:rPr>
      </w:pPr>
      <w:r>
        <w:rPr>
          <w:rFonts w:ascii="Arial" w:cs="Arial" w:eastAsia="Arial" w:hAnsi="Arial"/>
          <w:sz w:val="14"/>
          <w:szCs w:val="14"/>
          <w:color w:val="auto"/>
        </w:rPr>
        <w:t>rate increases of $30 million, exclusive of the TCJA impact discussed below;</w:t>
      </w:r>
    </w:p>
    <w:p>
      <w:pPr>
        <w:spacing w:after="0" w:line="183" w:lineRule="exact"/>
        <w:rPr>
          <w:rFonts w:ascii="Arial" w:cs="Arial" w:eastAsia="Arial" w:hAnsi="Arial"/>
          <w:sz w:val="14"/>
          <w:szCs w:val="14"/>
          <w:color w:val="auto"/>
        </w:rPr>
      </w:pPr>
    </w:p>
    <w:p>
      <w:pPr>
        <w:ind w:left="520" w:hanging="255"/>
        <w:spacing w:after="0"/>
        <w:tabs>
          <w:tab w:leader="none" w:pos="520" w:val="left"/>
        </w:tabs>
        <w:numPr>
          <w:ilvl w:val="0"/>
          <w:numId w:val="80"/>
        </w:numPr>
        <w:rPr>
          <w:rFonts w:ascii="Arial" w:cs="Arial" w:eastAsia="Arial" w:hAnsi="Arial"/>
          <w:sz w:val="14"/>
          <w:szCs w:val="14"/>
          <w:color w:val="auto"/>
        </w:rPr>
      </w:pPr>
      <w:r>
        <w:rPr>
          <w:rFonts w:ascii="Arial" w:cs="Arial" w:eastAsia="Arial" w:hAnsi="Arial"/>
          <w:sz w:val="14"/>
          <w:szCs w:val="14"/>
          <w:color w:val="auto"/>
        </w:rPr>
        <w:t>a $22 million increase in revenues for usage, partially driven by the timing of a decoupling mechanism in Minnesota discussed above; and</w:t>
      </w:r>
    </w:p>
    <w:p>
      <w:pPr>
        <w:spacing w:after="0" w:line="183" w:lineRule="exact"/>
        <w:rPr>
          <w:rFonts w:ascii="Arial" w:cs="Arial" w:eastAsia="Arial" w:hAnsi="Arial"/>
          <w:sz w:val="14"/>
          <w:szCs w:val="14"/>
          <w:color w:val="auto"/>
        </w:rPr>
      </w:pPr>
    </w:p>
    <w:p>
      <w:pPr>
        <w:ind w:left="520" w:hanging="255"/>
        <w:spacing w:after="0"/>
        <w:tabs>
          <w:tab w:leader="none" w:pos="520" w:val="left"/>
        </w:tabs>
        <w:numPr>
          <w:ilvl w:val="0"/>
          <w:numId w:val="80"/>
        </w:numPr>
        <w:rPr>
          <w:rFonts w:ascii="Arial" w:cs="Arial" w:eastAsia="Arial" w:hAnsi="Arial"/>
          <w:sz w:val="14"/>
          <w:szCs w:val="14"/>
          <w:color w:val="auto"/>
        </w:rPr>
      </w:pPr>
      <w:r>
        <w:rPr>
          <w:rFonts w:ascii="Arial" w:cs="Arial" w:eastAsia="Arial" w:hAnsi="Arial"/>
          <w:sz w:val="14"/>
          <w:szCs w:val="14"/>
          <w:color w:val="auto"/>
        </w:rPr>
        <w:t>an $11 million increase in revenues associated with customer growth from the addition of over 47,000 new customers.</w:t>
      </w:r>
    </w:p>
    <w:p>
      <w:pPr>
        <w:spacing w:after="0" w:line="184"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These increases were partially offset by the following:</w:t>
      </w:r>
    </w:p>
    <w:p>
      <w:pPr>
        <w:spacing w:after="0" w:line="184" w:lineRule="exact"/>
        <w:rPr>
          <w:sz w:val="20"/>
          <w:szCs w:val="20"/>
          <w:color w:val="auto"/>
        </w:rPr>
      </w:pPr>
    </w:p>
    <w:p>
      <w:pPr>
        <w:ind w:left="520" w:hanging="255"/>
        <w:spacing w:after="0"/>
        <w:tabs>
          <w:tab w:leader="none" w:pos="520" w:val="left"/>
        </w:tabs>
        <w:numPr>
          <w:ilvl w:val="0"/>
          <w:numId w:val="81"/>
        </w:numPr>
        <w:rPr>
          <w:rFonts w:ascii="Arial" w:cs="Arial" w:eastAsia="Arial" w:hAnsi="Arial"/>
          <w:sz w:val="14"/>
          <w:szCs w:val="14"/>
          <w:color w:val="auto"/>
        </w:rPr>
      </w:pPr>
      <w:r>
        <w:rPr>
          <w:rFonts w:ascii="Arial" w:cs="Arial" w:eastAsia="Arial" w:hAnsi="Arial"/>
          <w:sz w:val="14"/>
          <w:szCs w:val="14"/>
          <w:color w:val="auto"/>
        </w:rPr>
        <w:t>lower revenue of $16 million related to the impact of the TCJA; and</w:t>
      </w:r>
    </w:p>
    <w:p>
      <w:pPr>
        <w:spacing w:after="0" w:line="183" w:lineRule="exact"/>
        <w:rPr>
          <w:rFonts w:ascii="Arial" w:cs="Arial" w:eastAsia="Arial" w:hAnsi="Arial"/>
          <w:sz w:val="14"/>
          <w:szCs w:val="14"/>
          <w:color w:val="auto"/>
        </w:rPr>
      </w:pPr>
    </w:p>
    <w:p>
      <w:pPr>
        <w:ind w:left="520" w:hanging="255"/>
        <w:spacing w:after="0"/>
        <w:tabs>
          <w:tab w:leader="none" w:pos="520" w:val="left"/>
        </w:tabs>
        <w:numPr>
          <w:ilvl w:val="0"/>
          <w:numId w:val="81"/>
        </w:numPr>
        <w:rPr>
          <w:rFonts w:ascii="Arial" w:cs="Arial" w:eastAsia="Arial" w:hAnsi="Arial"/>
          <w:sz w:val="14"/>
          <w:szCs w:val="14"/>
          <w:color w:val="auto"/>
        </w:rPr>
      </w:pPr>
      <w:r>
        <w:rPr>
          <w:rFonts w:ascii="Arial" w:cs="Arial" w:eastAsia="Arial" w:hAnsi="Arial"/>
          <w:sz w:val="14"/>
          <w:szCs w:val="14"/>
          <w:color w:val="auto"/>
        </w:rPr>
        <w:t>increased depreciation and amortization expense of $7 million, primarily due to ongoing additions to plant-in-service.</w:t>
      </w:r>
    </w:p>
    <w:p>
      <w:pPr>
        <w:spacing w:after="0" w:line="184" w:lineRule="exact"/>
        <w:rPr>
          <w:sz w:val="20"/>
          <w:szCs w:val="20"/>
          <w:color w:val="auto"/>
        </w:rPr>
      </w:pPr>
    </w:p>
    <w:p>
      <w:pPr>
        <w:jc w:val="both"/>
        <w:ind w:firstLine="259"/>
        <w:spacing w:after="0" w:line="328" w:lineRule="auto"/>
        <w:rPr>
          <w:sz w:val="20"/>
          <w:szCs w:val="20"/>
          <w:color w:val="auto"/>
        </w:rPr>
      </w:pPr>
      <w:r>
        <w:rPr>
          <w:rFonts w:ascii="Arial" w:cs="Arial" w:eastAsia="Arial" w:hAnsi="Arial"/>
          <w:sz w:val="13"/>
          <w:szCs w:val="13"/>
          <w:color w:val="auto"/>
        </w:rPr>
        <w:t>Increased operation and maintenance expenses related to increased gross receipts taxes of $2 million were offset by corresponding increases in the related revenues. Decreased operation and maintenance expenses related to energy efficiency programs of $13 million and rate case amortization of $1 million were offset by corresponding decreases in the related revenues.</w:t>
      </w:r>
    </w:p>
    <w:p>
      <w:pPr>
        <w:spacing w:after="0" w:line="10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Energy Services (CenterPoint Energy and CERC)</w:t>
      </w:r>
    </w:p>
    <w:p>
      <w:pPr>
        <w:spacing w:after="0" w:line="188" w:lineRule="exact"/>
        <w:rPr>
          <w:sz w:val="20"/>
          <w:szCs w:val="20"/>
          <w:color w:val="auto"/>
        </w:rPr>
      </w:pPr>
    </w:p>
    <w:p>
      <w:pPr>
        <w:jc w:val="both"/>
        <w:ind w:firstLine="259"/>
        <w:spacing w:after="0" w:line="302" w:lineRule="auto"/>
        <w:rPr>
          <w:sz w:val="20"/>
          <w:szCs w:val="20"/>
          <w:color w:val="auto"/>
        </w:rPr>
      </w:pPr>
      <w:r>
        <w:rPr>
          <w:rFonts w:ascii="Arial" w:cs="Arial" w:eastAsia="Arial" w:hAnsi="Arial"/>
          <w:sz w:val="13"/>
          <w:szCs w:val="13"/>
          <w:color w:val="auto"/>
        </w:rPr>
        <w:t>For information regarding factors that may affect the future results of operations of the Energy Services reportable segment, please read “Risk Factors — Risk Factors Associated with Our Consolidated Financial Condition,” “— Risk Factors Affecting Natural Gas Distribution and Competitive Energy Services Businesses” and “— Other Risk Factors Affecting Our Businesses or CenterPoint Energy’s Interests in Enable Midstream Partners, LP” in Item 1A of Part I of the Registrants’ combined 2018 Form 10-K and in Item 1A of Part II of this Form 10-Q.</w:t>
      </w:r>
    </w:p>
    <w:p>
      <w:pPr>
        <w:sectPr>
          <w:pgSz w:w="11900" w:h="16838" w:orient="portrait"/>
          <w:cols w:equalWidth="0" w:num="1">
            <w:col w:w="11460"/>
          </w:cols>
          <w:pgMar w:left="220" w:top="129" w:right="219" w:bottom="1440" w:gutter="0" w:footer="0" w:header="0"/>
        </w:sectPr>
      </w:pPr>
    </w:p>
    <w:p>
      <w:pPr>
        <w:spacing w:after="0" w:line="125" w:lineRule="exact"/>
        <w:rPr>
          <w:sz w:val="20"/>
          <w:szCs w:val="20"/>
          <w:color w:val="auto"/>
        </w:rPr>
      </w:pPr>
    </w:p>
    <w:p>
      <w:pPr>
        <w:ind w:left="260"/>
        <w:spacing w:after="0"/>
        <w:rPr>
          <w:sz w:val="20"/>
          <w:szCs w:val="20"/>
          <w:color w:val="auto"/>
        </w:rPr>
      </w:pPr>
      <w:r>
        <w:rPr>
          <w:rFonts w:ascii="Arial" w:cs="Arial" w:eastAsia="Arial" w:hAnsi="Arial"/>
          <w:sz w:val="13"/>
          <w:szCs w:val="13"/>
          <w:color w:val="auto"/>
        </w:rPr>
        <w:t>The following table provides summary data of the Energy Services reportable segment: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20"/>
        <w:spacing w:after="0"/>
        <w:tabs>
          <w:tab w:leader="none" w:pos="5160" w:val="left"/>
        </w:tabs>
        <w:rPr>
          <w:sz w:val="20"/>
          <w:szCs w:val="20"/>
          <w:color w:val="auto"/>
        </w:rPr>
      </w:pPr>
      <w:r>
        <w:rPr>
          <w:rFonts w:ascii="Arial" w:cs="Arial" w:eastAsia="Arial" w:hAnsi="Arial"/>
          <w:sz w:val="14"/>
          <w:szCs w:val="14"/>
          <w:color w:val="auto"/>
        </w:rPr>
        <w:t>Revenues</w:t>
      </w:r>
      <w:r>
        <w:rPr>
          <w:sz w:val="20"/>
          <w:szCs w:val="20"/>
          <w:color w:val="auto"/>
        </w:rPr>
        <w:tab/>
      </w:r>
      <w:r>
        <w:rPr>
          <w:rFonts w:ascii="Arial" w:cs="Arial" w:eastAsia="Arial" w:hAnsi="Arial"/>
          <w:sz w:val="14"/>
          <w:szCs w:val="14"/>
          <w:color w:val="auto"/>
        </w:rPr>
        <w:t>$</w:t>
      </w:r>
    </w:p>
    <w:p>
      <w:pPr>
        <w:spacing w:after="0" w:line="65" w:lineRule="exact"/>
        <w:rPr>
          <w:sz w:val="20"/>
          <w:szCs w:val="20"/>
          <w:color w:val="auto"/>
        </w:rPr>
      </w:pPr>
    </w:p>
    <w:p>
      <w:pPr>
        <w:ind w:left="20"/>
        <w:spacing w:after="0"/>
        <w:rPr>
          <w:sz w:val="20"/>
          <w:szCs w:val="20"/>
          <w:color w:val="auto"/>
        </w:rPr>
      </w:pPr>
      <w:r>
        <w:rPr>
          <w:rFonts w:ascii="Arial" w:cs="Arial" w:eastAsia="Arial" w:hAnsi="Arial"/>
          <w:sz w:val="14"/>
          <w:szCs w:val="14"/>
          <w:color w:val="auto"/>
        </w:rPr>
        <w:t>Expenses:</w:t>
      </w:r>
    </w:p>
    <w:p>
      <w:pPr>
        <w:spacing w:after="0" w:line="55" w:lineRule="exact"/>
        <w:rPr>
          <w:sz w:val="20"/>
          <w:szCs w:val="20"/>
          <w:color w:val="auto"/>
        </w:rPr>
      </w:pPr>
    </w:p>
    <w:p>
      <w:pPr>
        <w:ind w:left="140"/>
        <w:spacing w:after="0"/>
        <w:rPr>
          <w:sz w:val="20"/>
          <w:szCs w:val="20"/>
          <w:color w:val="auto"/>
        </w:rPr>
      </w:pPr>
      <w:r>
        <w:rPr>
          <w:rFonts w:ascii="Arial" w:cs="Arial" w:eastAsia="Arial" w:hAnsi="Arial"/>
          <w:sz w:val="14"/>
          <w:szCs w:val="14"/>
          <w:color w:val="auto"/>
        </w:rPr>
        <w:t>Non-utility cost of revenues, including natural gas</w:t>
      </w:r>
    </w:p>
    <w:p>
      <w:pPr>
        <w:spacing w:after="0" w:line="55" w:lineRule="exact"/>
        <w:rPr>
          <w:sz w:val="20"/>
          <w:szCs w:val="20"/>
          <w:color w:val="auto"/>
        </w:rPr>
      </w:pPr>
    </w:p>
    <w:p>
      <w:pPr>
        <w:ind w:left="140"/>
        <w:spacing w:after="0"/>
        <w:rPr>
          <w:sz w:val="20"/>
          <w:szCs w:val="20"/>
          <w:color w:val="auto"/>
        </w:rPr>
      </w:pPr>
      <w:r>
        <w:rPr>
          <w:rFonts w:ascii="Arial" w:cs="Arial" w:eastAsia="Arial" w:hAnsi="Arial"/>
          <w:sz w:val="14"/>
          <w:szCs w:val="14"/>
          <w:color w:val="auto"/>
        </w:rPr>
        <w:t>Operation and maintenance</w:t>
      </w:r>
    </w:p>
    <w:p>
      <w:pPr>
        <w:spacing w:after="0" w:line="55" w:lineRule="exact"/>
        <w:rPr>
          <w:sz w:val="20"/>
          <w:szCs w:val="20"/>
          <w:color w:val="auto"/>
        </w:rPr>
      </w:pPr>
    </w:p>
    <w:p>
      <w:pPr>
        <w:ind w:left="140"/>
        <w:spacing w:after="0"/>
        <w:rPr>
          <w:sz w:val="20"/>
          <w:szCs w:val="20"/>
          <w:color w:val="auto"/>
        </w:rPr>
      </w:pPr>
      <w:r>
        <w:rPr>
          <w:rFonts w:ascii="Arial" w:cs="Arial" w:eastAsia="Arial" w:hAnsi="Arial"/>
          <w:sz w:val="14"/>
          <w:szCs w:val="14"/>
          <w:color w:val="auto"/>
        </w:rPr>
        <w:t>Depreciation and amortization</w:t>
      </w:r>
    </w:p>
    <w:p>
      <w:pPr>
        <w:spacing w:after="0" w:line="55" w:lineRule="exact"/>
        <w:rPr>
          <w:sz w:val="20"/>
          <w:szCs w:val="20"/>
          <w:color w:val="auto"/>
        </w:rPr>
      </w:pPr>
    </w:p>
    <w:p>
      <w:pPr>
        <w:ind w:left="140"/>
        <w:spacing w:after="0"/>
        <w:rPr>
          <w:sz w:val="20"/>
          <w:szCs w:val="20"/>
          <w:color w:val="auto"/>
        </w:rPr>
      </w:pPr>
      <w:r>
        <w:rPr>
          <w:rFonts w:ascii="Arial" w:cs="Arial" w:eastAsia="Arial" w:hAnsi="Arial"/>
          <w:sz w:val="14"/>
          <w:szCs w:val="14"/>
          <w:color w:val="auto"/>
        </w:rPr>
        <w:t>Taxes other than income taxes</w:t>
      </w:r>
    </w:p>
    <w:p>
      <w:pPr>
        <w:spacing w:after="0" w:line="65" w:lineRule="exact"/>
        <w:rPr>
          <w:sz w:val="20"/>
          <w:szCs w:val="20"/>
          <w:color w:val="auto"/>
        </w:rPr>
      </w:pPr>
    </w:p>
    <w:p>
      <w:pPr>
        <w:ind w:left="300"/>
        <w:spacing w:after="0"/>
        <w:rPr>
          <w:sz w:val="20"/>
          <w:szCs w:val="20"/>
          <w:color w:val="auto"/>
        </w:rPr>
      </w:pPr>
      <w:r>
        <w:rPr>
          <w:rFonts w:ascii="Arial" w:cs="Arial" w:eastAsia="Arial" w:hAnsi="Arial"/>
          <w:sz w:val="14"/>
          <w:szCs w:val="14"/>
          <w:color w:val="auto"/>
        </w:rPr>
        <w:t>Total expenses</w:t>
      </w:r>
    </w:p>
    <w:p>
      <w:pPr>
        <w:spacing w:after="0" w:line="65" w:lineRule="exact"/>
        <w:rPr>
          <w:sz w:val="20"/>
          <w:szCs w:val="20"/>
          <w:color w:val="auto"/>
        </w:rPr>
      </w:pPr>
    </w:p>
    <w:p>
      <w:pPr>
        <w:ind w:left="20"/>
        <w:spacing w:after="0"/>
        <w:tabs>
          <w:tab w:leader="none" w:pos="5160" w:val="left"/>
        </w:tabs>
        <w:rPr>
          <w:sz w:val="20"/>
          <w:szCs w:val="20"/>
          <w:color w:val="auto"/>
        </w:rPr>
      </w:pPr>
      <w:r>
        <w:rPr>
          <w:rFonts w:ascii="Arial" w:cs="Arial" w:eastAsia="Arial" w:hAnsi="Arial"/>
          <w:sz w:val="14"/>
          <w:szCs w:val="14"/>
          <w:color w:val="auto"/>
        </w:rPr>
        <w:t>Operating Income (Loss)</w:t>
      </w:r>
      <w:r>
        <w:rPr>
          <w:sz w:val="20"/>
          <w:szCs w:val="20"/>
          <w:color w:val="auto"/>
        </w:rPr>
        <w:tab/>
      </w:r>
      <w:r>
        <w:rPr>
          <w:rFonts w:ascii="Arial" w:cs="Arial" w:eastAsia="Arial" w:hAnsi="Arial"/>
          <w:sz w:val="14"/>
          <w:szCs w:val="14"/>
          <w:color w:val="auto"/>
        </w:rPr>
        <w:t>$</w:t>
      </w:r>
    </w:p>
    <w:p>
      <w:pPr>
        <w:spacing w:after="0" w:line="346" w:lineRule="exact"/>
        <w:rPr>
          <w:sz w:val="20"/>
          <w:szCs w:val="20"/>
          <w:color w:val="auto"/>
        </w:rPr>
      </w:pPr>
    </w:p>
    <w:p>
      <w:pPr>
        <w:ind w:left="20"/>
        <w:spacing w:after="0"/>
        <w:tabs>
          <w:tab w:leader="none" w:pos="5160" w:val="left"/>
        </w:tabs>
        <w:rPr>
          <w:sz w:val="20"/>
          <w:szCs w:val="20"/>
          <w:color w:val="auto"/>
        </w:rPr>
      </w:pPr>
      <w:r>
        <w:rPr>
          <w:rFonts w:ascii="Arial" w:cs="Arial" w:eastAsia="Arial" w:hAnsi="Arial"/>
          <w:sz w:val="14"/>
          <w:szCs w:val="14"/>
          <w:color w:val="auto"/>
        </w:rPr>
        <w:t>Timing impacts related to mark-to-market gain (loss)</w:t>
      </w:r>
      <w:r>
        <w:rPr>
          <w:sz w:val="20"/>
          <w:szCs w:val="20"/>
          <w:color w:val="auto"/>
        </w:rPr>
        <w:tab/>
      </w:r>
      <w:r>
        <w:rPr>
          <w:rFonts w:ascii="Arial" w:cs="Arial" w:eastAsia="Arial" w:hAnsi="Arial"/>
          <w:sz w:val="14"/>
          <w:szCs w:val="14"/>
          <w:color w:val="auto"/>
        </w:rPr>
        <w:t>$</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Throughput (in Bcf)</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Approximate number of customers at end of period </w:t>
      </w:r>
      <w:r>
        <w:rPr>
          <w:rFonts w:ascii="Arial" w:cs="Arial" w:eastAsia="Arial" w:hAnsi="Arial"/>
          <w:sz w:val="11"/>
          <w:szCs w:val="11"/>
          <w:color w:val="auto"/>
        </w:rPr>
        <w:t>(1)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3"/>
        </w:trPr>
        <w:tc>
          <w:tcPr>
            <w:tcW w:w="1900" w:type="dxa"/>
            <w:vAlign w:val="bottom"/>
            <w:gridSpan w:val="2"/>
          </w:tcPr>
          <w:p>
            <w:pPr>
              <w:jc w:val="right"/>
              <w:ind w:right="14"/>
              <w:spacing w:after="0"/>
              <w:rPr>
                <w:sz w:val="20"/>
                <w:szCs w:val="20"/>
                <w:color w:val="auto"/>
              </w:rPr>
            </w:pPr>
            <w:r>
              <w:rPr>
                <w:rFonts w:ascii="Arial" w:cs="Arial" w:eastAsia="Arial" w:hAnsi="Arial"/>
                <w:sz w:val="11"/>
                <w:szCs w:val="11"/>
                <w:b w:val="1"/>
                <w:bCs w:val="1"/>
                <w:color w:val="auto"/>
                <w:w w:val="96"/>
              </w:rPr>
              <w:t>Three Months Ended September 30,</w:t>
            </w: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2700" w:type="dxa"/>
            <w:vAlign w:val="bottom"/>
            <w:tcBorders>
              <w:bottom w:val="single" w:sz="8" w:color="auto"/>
            </w:tcBorders>
            <w:gridSpan w:val="4"/>
          </w:tcPr>
          <w:p>
            <w:pPr>
              <w:jc w:val="right"/>
              <w:ind w:right="589"/>
              <w:spacing w:after="0"/>
              <w:rPr>
                <w:sz w:val="20"/>
                <w:szCs w:val="20"/>
                <w:color w:val="auto"/>
              </w:rPr>
            </w:pPr>
            <w:r>
              <w:rPr>
                <w:rFonts w:ascii="Arial" w:cs="Arial" w:eastAsia="Arial" w:hAnsi="Arial"/>
                <w:sz w:val="11"/>
                <w:szCs w:val="11"/>
                <w:b w:val="1"/>
                <w:bCs w:val="1"/>
                <w:color w:val="auto"/>
              </w:rPr>
              <w:t>Nine Months Ended September 30,</w:t>
            </w:r>
          </w:p>
        </w:tc>
      </w:tr>
      <w:tr>
        <w:trPr>
          <w:trHeight w:val="202"/>
        </w:trPr>
        <w:tc>
          <w:tcPr>
            <w:tcW w:w="980" w:type="dxa"/>
            <w:vAlign w:val="bottom"/>
          </w:tcPr>
          <w:p>
            <w:pPr>
              <w:jc w:val="right"/>
              <w:ind w:right="671"/>
              <w:spacing w:after="0"/>
              <w:rPr>
                <w:sz w:val="20"/>
                <w:szCs w:val="20"/>
                <w:color w:val="auto"/>
              </w:rPr>
            </w:pPr>
            <w:r>
              <w:rPr>
                <w:rFonts w:ascii="Arial" w:cs="Arial" w:eastAsia="Arial" w:hAnsi="Arial"/>
                <w:sz w:val="11"/>
                <w:szCs w:val="11"/>
                <w:b w:val="1"/>
                <w:bCs w:val="1"/>
                <w:color w:val="auto"/>
                <w:w w:val="89"/>
              </w:rPr>
              <w:t>2019</w:t>
            </w:r>
          </w:p>
        </w:tc>
        <w:tc>
          <w:tcPr>
            <w:tcW w:w="920" w:type="dxa"/>
            <w:vAlign w:val="bottom"/>
          </w:tcPr>
          <w:p>
            <w:pPr>
              <w:jc w:val="right"/>
              <w:spacing w:after="0"/>
              <w:rPr>
                <w:sz w:val="20"/>
                <w:szCs w:val="20"/>
                <w:color w:val="auto"/>
              </w:rPr>
            </w:pPr>
            <w:r>
              <w:rPr>
                <w:rFonts w:ascii="Arial" w:cs="Arial" w:eastAsia="Arial" w:hAnsi="Arial"/>
                <w:sz w:val="11"/>
                <w:szCs w:val="11"/>
                <w:b w:val="1"/>
                <w:bCs w:val="1"/>
                <w:color w:val="auto"/>
              </w:rPr>
              <w:t>2018</w:t>
            </w: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jc w:val="right"/>
              <w:ind w:right="551"/>
              <w:spacing w:after="0"/>
              <w:rPr>
                <w:sz w:val="20"/>
                <w:szCs w:val="20"/>
                <w:color w:val="auto"/>
              </w:rPr>
            </w:pPr>
            <w:r>
              <w:rPr>
                <w:rFonts w:ascii="Arial" w:cs="Arial" w:eastAsia="Arial" w:hAnsi="Arial"/>
                <w:sz w:val="11"/>
                <w:szCs w:val="11"/>
                <w:b w:val="1"/>
                <w:bCs w:val="1"/>
                <w:color w:val="auto"/>
              </w:rPr>
              <w:t>2019</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jc w:val="right"/>
              <w:ind w:right="549"/>
              <w:spacing w:after="0"/>
              <w:rPr>
                <w:sz w:val="20"/>
                <w:szCs w:val="20"/>
                <w:color w:val="auto"/>
              </w:rPr>
            </w:pPr>
            <w:r>
              <w:rPr>
                <w:rFonts w:ascii="Arial" w:cs="Arial" w:eastAsia="Arial" w:hAnsi="Arial"/>
                <w:sz w:val="11"/>
                <w:szCs w:val="11"/>
                <w:b w:val="1"/>
                <w:bCs w:val="1"/>
                <w:color w:val="auto"/>
              </w:rPr>
              <w:t>2018</w:t>
            </w:r>
          </w:p>
        </w:tc>
      </w:tr>
      <w:tr>
        <w:trPr>
          <w:trHeight w:val="216"/>
        </w:trPr>
        <w:tc>
          <w:tcPr>
            <w:tcW w:w="980" w:type="dxa"/>
            <w:vAlign w:val="bottom"/>
          </w:tcPr>
          <w:p>
            <w:pPr>
              <w:spacing w:after="0"/>
              <w:rPr>
                <w:sz w:val="18"/>
                <w:szCs w:val="18"/>
                <w:color w:val="auto"/>
              </w:rPr>
            </w:pPr>
          </w:p>
        </w:tc>
        <w:tc>
          <w:tcPr>
            <w:tcW w:w="3220" w:type="dxa"/>
            <w:vAlign w:val="bottom"/>
            <w:gridSpan w:val="6"/>
          </w:tcPr>
          <w:p>
            <w:pPr>
              <w:ind w:left="300"/>
              <w:spacing w:after="0"/>
              <w:rPr>
                <w:sz w:val="20"/>
                <w:szCs w:val="20"/>
                <w:color w:val="auto"/>
              </w:rPr>
            </w:pPr>
            <w:r>
              <w:rPr>
                <w:rFonts w:ascii="Arial" w:cs="Arial" w:eastAsia="Arial" w:hAnsi="Arial"/>
                <w:sz w:val="11"/>
                <w:szCs w:val="11"/>
                <w:b w:val="1"/>
                <w:bCs w:val="1"/>
                <w:color w:val="auto"/>
              </w:rPr>
              <w:t>(in millions, except throughput and customer data)</w:t>
            </w: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02"/>
        </w:trPr>
        <w:tc>
          <w:tcPr>
            <w:tcW w:w="980" w:type="dxa"/>
            <w:vAlign w:val="bottom"/>
          </w:tcPr>
          <w:p>
            <w:pPr>
              <w:jc w:val="right"/>
              <w:ind w:right="171"/>
              <w:spacing w:after="0"/>
              <w:rPr>
                <w:sz w:val="20"/>
                <w:szCs w:val="20"/>
                <w:color w:val="auto"/>
              </w:rPr>
            </w:pPr>
            <w:r>
              <w:rPr>
                <w:rFonts w:ascii="Arial" w:cs="Arial" w:eastAsia="Arial" w:hAnsi="Arial"/>
                <w:sz w:val="14"/>
                <w:szCs w:val="14"/>
                <w:color w:val="auto"/>
              </w:rPr>
              <w:t>745</w:t>
            </w:r>
          </w:p>
        </w:tc>
        <w:tc>
          <w:tcPr>
            <w:tcW w:w="920" w:type="dxa"/>
            <w:vAlign w:val="bottom"/>
          </w:tcPr>
          <w:p>
            <w:pPr>
              <w:jc w:val="right"/>
              <w:ind w:right="754"/>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920</w:t>
            </w:r>
          </w:p>
        </w:tc>
        <w:tc>
          <w:tcPr>
            <w:tcW w:w="120" w:type="dxa"/>
            <w:vAlign w:val="bottom"/>
          </w:tcPr>
          <w:p>
            <w:pPr>
              <w:spacing w:after="0"/>
              <w:rPr>
                <w:sz w:val="17"/>
                <w:szCs w:val="17"/>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31"/>
              <w:spacing w:after="0"/>
              <w:rPr>
                <w:sz w:val="20"/>
                <w:szCs w:val="20"/>
                <w:color w:val="auto"/>
              </w:rPr>
            </w:pPr>
            <w:r>
              <w:rPr>
                <w:rFonts w:ascii="Arial" w:cs="Arial" w:eastAsia="Arial" w:hAnsi="Arial"/>
                <w:sz w:val="14"/>
                <w:szCs w:val="14"/>
                <w:color w:val="auto"/>
              </w:rPr>
              <w:t>2,846</w:t>
            </w:r>
          </w:p>
        </w:tc>
        <w:tc>
          <w:tcPr>
            <w:tcW w:w="120" w:type="dxa"/>
            <w:vAlign w:val="bottom"/>
          </w:tcPr>
          <w:p>
            <w:pPr>
              <w:spacing w:after="0"/>
              <w:rPr>
                <w:sz w:val="17"/>
                <w:szCs w:val="17"/>
                <w:color w:val="auto"/>
              </w:rPr>
            </w:pPr>
          </w:p>
        </w:tc>
        <w:tc>
          <w:tcPr>
            <w:tcW w:w="360" w:type="dxa"/>
            <w:vAlign w:val="bottom"/>
          </w:tcPr>
          <w:p>
            <w:pPr>
              <w:jc w:val="right"/>
              <w:ind w:right="208"/>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ind w:right="29"/>
              <w:spacing w:after="0"/>
              <w:rPr>
                <w:sz w:val="20"/>
                <w:szCs w:val="20"/>
                <w:color w:val="auto"/>
              </w:rPr>
            </w:pPr>
            <w:r>
              <w:rPr>
                <w:rFonts w:ascii="Arial" w:cs="Arial" w:eastAsia="Arial" w:hAnsi="Arial"/>
                <w:sz w:val="14"/>
                <w:szCs w:val="14"/>
                <w:color w:val="auto"/>
              </w:rPr>
              <w:t>3,065</w:t>
            </w:r>
          </w:p>
        </w:tc>
      </w:tr>
      <w:tr>
        <w:trPr>
          <w:trHeight w:val="23"/>
        </w:trPr>
        <w:tc>
          <w:tcPr>
            <w:tcW w:w="9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399"/>
        </w:trPr>
        <w:tc>
          <w:tcPr>
            <w:tcW w:w="980" w:type="dxa"/>
            <w:vAlign w:val="bottom"/>
          </w:tcPr>
          <w:p>
            <w:pPr>
              <w:jc w:val="right"/>
              <w:ind w:right="171"/>
              <w:spacing w:after="0"/>
              <w:rPr>
                <w:sz w:val="20"/>
                <w:szCs w:val="20"/>
                <w:color w:val="auto"/>
              </w:rPr>
            </w:pPr>
            <w:r>
              <w:rPr>
                <w:rFonts w:ascii="Arial" w:cs="Arial" w:eastAsia="Arial" w:hAnsi="Arial"/>
                <w:sz w:val="14"/>
                <w:szCs w:val="14"/>
                <w:color w:val="auto"/>
              </w:rPr>
              <w:t>716</w:t>
            </w:r>
          </w:p>
        </w:tc>
        <w:tc>
          <w:tcPr>
            <w:tcW w:w="920" w:type="dxa"/>
            <w:vAlign w:val="bottom"/>
          </w:tcPr>
          <w:p>
            <w:pPr>
              <w:spacing w:after="0"/>
              <w:rPr>
                <w:sz w:val="24"/>
                <w:szCs w:val="24"/>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897</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jc w:val="right"/>
              <w:ind w:right="31"/>
              <w:spacing w:after="0"/>
              <w:rPr>
                <w:sz w:val="20"/>
                <w:szCs w:val="20"/>
                <w:color w:val="auto"/>
              </w:rPr>
            </w:pPr>
            <w:r>
              <w:rPr>
                <w:rFonts w:ascii="Arial" w:cs="Arial" w:eastAsia="Arial" w:hAnsi="Arial"/>
                <w:sz w:val="14"/>
                <w:szCs w:val="14"/>
                <w:color w:val="auto"/>
              </w:rPr>
              <w:t>2,696</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jc w:val="right"/>
              <w:ind w:right="29"/>
              <w:spacing w:after="0"/>
              <w:rPr>
                <w:sz w:val="20"/>
                <w:szCs w:val="20"/>
                <w:color w:val="auto"/>
              </w:rPr>
            </w:pPr>
            <w:r>
              <w:rPr>
                <w:rFonts w:ascii="Arial" w:cs="Arial" w:eastAsia="Arial" w:hAnsi="Arial"/>
                <w:sz w:val="14"/>
                <w:szCs w:val="14"/>
                <w:color w:val="auto"/>
              </w:rPr>
              <w:t>2,998</w:t>
            </w:r>
          </w:p>
        </w:tc>
      </w:tr>
      <w:tr>
        <w:trPr>
          <w:trHeight w:val="216"/>
        </w:trPr>
        <w:tc>
          <w:tcPr>
            <w:tcW w:w="980" w:type="dxa"/>
            <w:vAlign w:val="bottom"/>
          </w:tcPr>
          <w:p>
            <w:pPr>
              <w:jc w:val="right"/>
              <w:ind w:right="171"/>
              <w:spacing w:after="0"/>
              <w:rPr>
                <w:sz w:val="20"/>
                <w:szCs w:val="20"/>
                <w:color w:val="auto"/>
              </w:rPr>
            </w:pPr>
            <w:r>
              <w:rPr>
                <w:rFonts w:ascii="Arial" w:cs="Arial" w:eastAsia="Arial" w:hAnsi="Arial"/>
                <w:sz w:val="14"/>
                <w:szCs w:val="14"/>
                <w:color w:val="auto"/>
              </w:rPr>
              <w:t>23</w:t>
            </w:r>
          </w:p>
        </w:tc>
        <w:tc>
          <w:tcPr>
            <w:tcW w:w="920" w:type="dxa"/>
            <w:vAlign w:val="bottom"/>
          </w:tcPr>
          <w:p>
            <w:pPr>
              <w:spacing w:after="0"/>
              <w:rPr>
                <w:sz w:val="18"/>
                <w:szCs w:val="18"/>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28</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ind w:right="31"/>
              <w:spacing w:after="0"/>
              <w:rPr>
                <w:sz w:val="20"/>
                <w:szCs w:val="20"/>
                <w:color w:val="auto"/>
              </w:rPr>
            </w:pPr>
            <w:r>
              <w:rPr>
                <w:rFonts w:ascii="Arial" w:cs="Arial" w:eastAsia="Arial" w:hAnsi="Arial"/>
                <w:sz w:val="14"/>
                <w:szCs w:val="14"/>
                <w:color w:val="auto"/>
              </w:rPr>
              <w:t>73</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jc w:val="right"/>
              <w:ind w:right="29"/>
              <w:spacing w:after="0"/>
              <w:rPr>
                <w:sz w:val="20"/>
                <w:szCs w:val="20"/>
                <w:color w:val="auto"/>
              </w:rPr>
            </w:pPr>
            <w:r>
              <w:rPr>
                <w:rFonts w:ascii="Arial" w:cs="Arial" w:eastAsia="Arial" w:hAnsi="Arial"/>
                <w:sz w:val="14"/>
                <w:szCs w:val="14"/>
                <w:color w:val="auto"/>
              </w:rPr>
              <w:t>74</w:t>
            </w:r>
          </w:p>
        </w:tc>
      </w:tr>
      <w:tr>
        <w:trPr>
          <w:trHeight w:val="216"/>
        </w:trPr>
        <w:tc>
          <w:tcPr>
            <w:tcW w:w="980" w:type="dxa"/>
            <w:vAlign w:val="bottom"/>
          </w:tcPr>
          <w:p>
            <w:pPr>
              <w:jc w:val="right"/>
              <w:ind w:right="171"/>
              <w:spacing w:after="0"/>
              <w:rPr>
                <w:sz w:val="20"/>
                <w:szCs w:val="20"/>
                <w:color w:val="auto"/>
              </w:rPr>
            </w:pPr>
            <w:r>
              <w:rPr>
                <w:rFonts w:ascii="Arial" w:cs="Arial" w:eastAsia="Arial" w:hAnsi="Arial"/>
                <w:sz w:val="14"/>
                <w:szCs w:val="14"/>
                <w:color w:val="auto"/>
              </w:rPr>
              <w:t>4</w:t>
            </w:r>
          </w:p>
        </w:tc>
        <w:tc>
          <w:tcPr>
            <w:tcW w:w="920" w:type="dxa"/>
            <w:vAlign w:val="bottom"/>
          </w:tcPr>
          <w:p>
            <w:pPr>
              <w:spacing w:after="0"/>
              <w:rPr>
                <w:sz w:val="18"/>
                <w:szCs w:val="18"/>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ind w:right="31"/>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jc w:val="right"/>
              <w:ind w:right="29"/>
              <w:spacing w:after="0"/>
              <w:rPr>
                <w:sz w:val="20"/>
                <w:szCs w:val="20"/>
                <w:color w:val="auto"/>
              </w:rPr>
            </w:pPr>
            <w:r>
              <w:rPr>
                <w:rFonts w:ascii="Arial" w:cs="Arial" w:eastAsia="Arial" w:hAnsi="Arial"/>
                <w:sz w:val="14"/>
                <w:szCs w:val="14"/>
                <w:color w:val="auto"/>
              </w:rPr>
              <w:t>12</w:t>
            </w:r>
          </w:p>
        </w:tc>
      </w:tr>
      <w:tr>
        <w:trPr>
          <w:trHeight w:val="216"/>
        </w:trPr>
        <w:tc>
          <w:tcPr>
            <w:tcW w:w="980" w:type="dxa"/>
            <w:vAlign w:val="bottom"/>
          </w:tcPr>
          <w:p>
            <w:pPr>
              <w:jc w:val="right"/>
              <w:ind w:right="171"/>
              <w:spacing w:after="0"/>
              <w:rPr>
                <w:sz w:val="20"/>
                <w:szCs w:val="20"/>
                <w:color w:val="auto"/>
              </w:rPr>
            </w:pPr>
            <w:r>
              <w:rPr>
                <w:rFonts w:ascii="Arial" w:cs="Arial" w:eastAsia="Arial" w:hAnsi="Arial"/>
                <w:sz w:val="14"/>
                <w:szCs w:val="14"/>
                <w:color w:val="auto"/>
              </w:rPr>
              <w:t>—</w:t>
            </w:r>
          </w:p>
        </w:tc>
        <w:tc>
          <w:tcPr>
            <w:tcW w:w="92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8"/>
                <w:szCs w:val="18"/>
                <w:color w:val="auto"/>
              </w:rPr>
            </w:pPr>
          </w:p>
        </w:tc>
        <w:tc>
          <w:tcPr>
            <w:tcW w:w="1120" w:type="dxa"/>
            <w:vAlign w:val="bottom"/>
          </w:tcPr>
          <w:p>
            <w:pPr>
              <w:jc w:val="right"/>
              <w:ind w:right="31"/>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jc w:val="right"/>
              <w:ind w:right="29"/>
              <w:spacing w:after="0"/>
              <w:rPr>
                <w:sz w:val="20"/>
                <w:szCs w:val="20"/>
                <w:color w:val="auto"/>
              </w:rPr>
            </w:pPr>
            <w:r>
              <w:rPr>
                <w:rFonts w:ascii="Arial" w:cs="Arial" w:eastAsia="Arial" w:hAnsi="Arial"/>
                <w:sz w:val="14"/>
                <w:szCs w:val="14"/>
                <w:color w:val="auto"/>
              </w:rPr>
              <w:t>1</w:t>
            </w:r>
          </w:p>
        </w:tc>
      </w:tr>
      <w:tr>
        <w:trPr>
          <w:trHeight w:val="23"/>
        </w:trPr>
        <w:tc>
          <w:tcPr>
            <w:tcW w:w="9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84"/>
        </w:trPr>
        <w:tc>
          <w:tcPr>
            <w:tcW w:w="980" w:type="dxa"/>
            <w:vAlign w:val="bottom"/>
          </w:tcPr>
          <w:p>
            <w:pPr>
              <w:jc w:val="right"/>
              <w:ind w:right="171"/>
              <w:spacing w:after="0"/>
              <w:rPr>
                <w:sz w:val="20"/>
                <w:szCs w:val="20"/>
                <w:color w:val="auto"/>
              </w:rPr>
            </w:pPr>
            <w:r>
              <w:rPr>
                <w:rFonts w:ascii="Arial" w:cs="Arial" w:eastAsia="Arial" w:hAnsi="Arial"/>
                <w:sz w:val="14"/>
                <w:szCs w:val="14"/>
                <w:color w:val="auto"/>
              </w:rPr>
              <w:t>743</w:t>
            </w:r>
          </w:p>
        </w:tc>
        <w:tc>
          <w:tcPr>
            <w:tcW w:w="920" w:type="dxa"/>
            <w:vAlign w:val="bottom"/>
          </w:tcPr>
          <w:p>
            <w:pPr>
              <w:spacing w:after="0"/>
              <w:rPr>
                <w:sz w:val="15"/>
                <w:szCs w:val="15"/>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929</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jc w:val="right"/>
              <w:ind w:right="31"/>
              <w:spacing w:after="0"/>
              <w:rPr>
                <w:sz w:val="20"/>
                <w:szCs w:val="20"/>
                <w:color w:val="auto"/>
              </w:rPr>
            </w:pPr>
            <w:r>
              <w:rPr>
                <w:rFonts w:ascii="Arial" w:cs="Arial" w:eastAsia="Arial" w:hAnsi="Arial"/>
                <w:sz w:val="14"/>
                <w:szCs w:val="14"/>
                <w:color w:val="auto"/>
              </w:rPr>
              <w:t>2,782</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00" w:type="dxa"/>
            <w:vAlign w:val="bottom"/>
          </w:tcPr>
          <w:p>
            <w:pPr>
              <w:jc w:val="right"/>
              <w:ind w:right="29"/>
              <w:spacing w:after="0"/>
              <w:rPr>
                <w:sz w:val="20"/>
                <w:szCs w:val="20"/>
                <w:color w:val="auto"/>
              </w:rPr>
            </w:pPr>
            <w:r>
              <w:rPr>
                <w:rFonts w:ascii="Arial" w:cs="Arial" w:eastAsia="Arial" w:hAnsi="Arial"/>
                <w:sz w:val="14"/>
                <w:szCs w:val="14"/>
                <w:color w:val="auto"/>
              </w:rPr>
              <w:t>3,085</w:t>
            </w:r>
          </w:p>
        </w:tc>
      </w:tr>
      <w:tr>
        <w:trPr>
          <w:trHeight w:val="23"/>
        </w:trPr>
        <w:tc>
          <w:tcPr>
            <w:tcW w:w="9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84"/>
        </w:trPr>
        <w:tc>
          <w:tcPr>
            <w:tcW w:w="980" w:type="dxa"/>
            <w:vAlign w:val="bottom"/>
          </w:tcPr>
          <w:p>
            <w:pPr>
              <w:jc w:val="right"/>
              <w:ind w:right="171"/>
              <w:spacing w:after="0"/>
              <w:rPr>
                <w:sz w:val="20"/>
                <w:szCs w:val="20"/>
                <w:color w:val="auto"/>
              </w:rPr>
            </w:pPr>
            <w:r>
              <w:rPr>
                <w:rFonts w:ascii="Arial" w:cs="Arial" w:eastAsia="Arial" w:hAnsi="Arial"/>
                <w:sz w:val="14"/>
                <w:szCs w:val="14"/>
                <w:color w:val="auto"/>
              </w:rPr>
              <w:t>2</w:t>
            </w:r>
          </w:p>
        </w:tc>
        <w:tc>
          <w:tcPr>
            <w:tcW w:w="920" w:type="dxa"/>
            <w:vAlign w:val="bottom"/>
          </w:tcPr>
          <w:p>
            <w:pPr>
              <w:jc w:val="right"/>
              <w:ind w:right="754"/>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15"/>
                <w:szCs w:val="15"/>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31"/>
              <w:spacing w:after="0"/>
              <w:rPr>
                <w:sz w:val="20"/>
                <w:szCs w:val="20"/>
                <w:color w:val="auto"/>
              </w:rPr>
            </w:pPr>
            <w:r>
              <w:rPr>
                <w:rFonts w:ascii="Arial" w:cs="Arial" w:eastAsia="Arial" w:hAnsi="Arial"/>
                <w:sz w:val="14"/>
                <w:szCs w:val="14"/>
                <w:color w:val="auto"/>
              </w:rPr>
              <w:t>64</w:t>
            </w:r>
          </w:p>
        </w:tc>
        <w:tc>
          <w:tcPr>
            <w:tcW w:w="120" w:type="dxa"/>
            <w:vAlign w:val="bottom"/>
          </w:tcPr>
          <w:p>
            <w:pPr>
              <w:spacing w:after="0"/>
              <w:rPr>
                <w:sz w:val="15"/>
                <w:szCs w:val="15"/>
                <w:color w:val="auto"/>
              </w:rPr>
            </w:pPr>
          </w:p>
        </w:tc>
        <w:tc>
          <w:tcPr>
            <w:tcW w:w="360" w:type="dxa"/>
            <w:vAlign w:val="bottom"/>
          </w:tcPr>
          <w:p>
            <w:pPr>
              <w:jc w:val="right"/>
              <w:ind w:right="208"/>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(20)</w:t>
            </w:r>
          </w:p>
        </w:tc>
      </w:tr>
      <w:tr>
        <w:trPr>
          <w:trHeight w:val="23"/>
        </w:trPr>
        <w:tc>
          <w:tcPr>
            <w:tcW w:w="9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0"/>
        </w:trPr>
        <w:tc>
          <w:tcPr>
            <w:tcW w:w="9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424"/>
        </w:trPr>
        <w:tc>
          <w:tcPr>
            <w:tcW w:w="980" w:type="dxa"/>
            <w:vAlign w:val="bottom"/>
          </w:tcPr>
          <w:p>
            <w:pPr>
              <w:jc w:val="right"/>
              <w:ind w:right="111"/>
              <w:spacing w:after="0"/>
              <w:rPr>
                <w:sz w:val="20"/>
                <w:szCs w:val="20"/>
                <w:color w:val="auto"/>
              </w:rPr>
            </w:pPr>
            <w:r>
              <w:rPr>
                <w:rFonts w:ascii="Arial" w:cs="Arial" w:eastAsia="Arial" w:hAnsi="Arial"/>
                <w:sz w:val="14"/>
                <w:szCs w:val="14"/>
                <w:color w:val="auto"/>
              </w:rPr>
              <w:t>(2)</w:t>
            </w:r>
          </w:p>
        </w:tc>
        <w:tc>
          <w:tcPr>
            <w:tcW w:w="920" w:type="dxa"/>
            <w:vAlign w:val="bottom"/>
          </w:tcPr>
          <w:p>
            <w:pPr>
              <w:jc w:val="right"/>
              <w:ind w:right="754"/>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4"/>
                <w:szCs w:val="24"/>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31"/>
              <w:spacing w:after="0"/>
              <w:rPr>
                <w:sz w:val="20"/>
                <w:szCs w:val="20"/>
                <w:color w:val="auto"/>
              </w:rPr>
            </w:pPr>
            <w:r>
              <w:rPr>
                <w:rFonts w:ascii="Arial" w:cs="Arial" w:eastAsia="Arial" w:hAnsi="Arial"/>
                <w:sz w:val="14"/>
                <w:szCs w:val="14"/>
                <w:color w:val="auto"/>
              </w:rPr>
              <w:t>47</w:t>
            </w:r>
          </w:p>
        </w:tc>
        <w:tc>
          <w:tcPr>
            <w:tcW w:w="120" w:type="dxa"/>
            <w:vAlign w:val="bottom"/>
          </w:tcPr>
          <w:p>
            <w:pPr>
              <w:spacing w:after="0"/>
              <w:rPr>
                <w:sz w:val="24"/>
                <w:szCs w:val="24"/>
                <w:color w:val="auto"/>
              </w:rPr>
            </w:pPr>
          </w:p>
        </w:tc>
        <w:tc>
          <w:tcPr>
            <w:tcW w:w="360" w:type="dxa"/>
            <w:vAlign w:val="bottom"/>
          </w:tcPr>
          <w:p>
            <w:pPr>
              <w:jc w:val="right"/>
              <w:ind w:right="208"/>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(71)</w:t>
            </w:r>
          </w:p>
        </w:tc>
      </w:tr>
      <w:tr>
        <w:trPr>
          <w:trHeight w:val="216"/>
        </w:trPr>
        <w:tc>
          <w:tcPr>
            <w:tcW w:w="980" w:type="dxa"/>
            <w:vAlign w:val="bottom"/>
          </w:tcPr>
          <w:p>
            <w:pPr>
              <w:jc w:val="right"/>
              <w:ind w:right="171"/>
              <w:spacing w:after="0"/>
              <w:rPr>
                <w:sz w:val="20"/>
                <w:szCs w:val="20"/>
                <w:color w:val="auto"/>
              </w:rPr>
            </w:pPr>
            <w:r>
              <w:rPr>
                <w:rFonts w:ascii="Arial" w:cs="Arial" w:eastAsia="Arial" w:hAnsi="Arial"/>
                <w:sz w:val="14"/>
                <w:szCs w:val="14"/>
                <w:color w:val="auto"/>
              </w:rPr>
              <w:t>283</w:t>
            </w:r>
          </w:p>
        </w:tc>
        <w:tc>
          <w:tcPr>
            <w:tcW w:w="920" w:type="dxa"/>
            <w:vAlign w:val="bottom"/>
          </w:tcPr>
          <w:p>
            <w:pPr>
              <w:spacing w:after="0"/>
              <w:rPr>
                <w:sz w:val="18"/>
                <w:szCs w:val="18"/>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307</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ind w:right="31"/>
              <w:spacing w:after="0"/>
              <w:rPr>
                <w:sz w:val="20"/>
                <w:szCs w:val="20"/>
                <w:color w:val="auto"/>
              </w:rPr>
            </w:pPr>
            <w:r>
              <w:rPr>
                <w:rFonts w:ascii="Arial" w:cs="Arial" w:eastAsia="Arial" w:hAnsi="Arial"/>
                <w:sz w:val="14"/>
                <w:szCs w:val="14"/>
                <w:color w:val="auto"/>
              </w:rPr>
              <w:t>960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jc w:val="right"/>
              <w:ind w:right="29"/>
              <w:spacing w:after="0"/>
              <w:rPr>
                <w:sz w:val="20"/>
                <w:szCs w:val="20"/>
                <w:color w:val="auto"/>
              </w:rPr>
            </w:pPr>
            <w:r>
              <w:rPr>
                <w:rFonts w:ascii="Arial" w:cs="Arial" w:eastAsia="Arial" w:hAnsi="Arial"/>
                <w:sz w:val="14"/>
                <w:szCs w:val="14"/>
                <w:color w:val="auto"/>
              </w:rPr>
              <w:t>993</w:t>
            </w:r>
          </w:p>
        </w:tc>
      </w:tr>
      <w:tr>
        <w:trPr>
          <w:trHeight w:val="216"/>
        </w:trPr>
        <w:tc>
          <w:tcPr>
            <w:tcW w:w="980" w:type="dxa"/>
            <w:vAlign w:val="bottom"/>
          </w:tcPr>
          <w:p>
            <w:pPr>
              <w:jc w:val="right"/>
              <w:ind w:right="171"/>
              <w:spacing w:after="0"/>
              <w:rPr>
                <w:sz w:val="20"/>
                <w:szCs w:val="20"/>
                <w:color w:val="auto"/>
              </w:rPr>
            </w:pPr>
            <w:r>
              <w:rPr>
                <w:rFonts w:ascii="Arial" w:cs="Arial" w:eastAsia="Arial" w:hAnsi="Arial"/>
                <w:sz w:val="14"/>
                <w:szCs w:val="14"/>
                <w:color w:val="auto"/>
              </w:rPr>
              <w:t>31,000</w:t>
            </w:r>
          </w:p>
        </w:tc>
        <w:tc>
          <w:tcPr>
            <w:tcW w:w="920" w:type="dxa"/>
            <w:vAlign w:val="bottom"/>
          </w:tcPr>
          <w:p>
            <w:pPr>
              <w:spacing w:after="0"/>
              <w:rPr>
                <w:sz w:val="18"/>
                <w:szCs w:val="18"/>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30,000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ind w:right="31"/>
              <w:spacing w:after="0"/>
              <w:rPr>
                <w:sz w:val="20"/>
                <w:szCs w:val="20"/>
                <w:color w:val="auto"/>
              </w:rPr>
            </w:pPr>
            <w:r>
              <w:rPr>
                <w:rFonts w:ascii="Arial" w:cs="Arial" w:eastAsia="Arial" w:hAnsi="Arial"/>
                <w:sz w:val="14"/>
                <w:szCs w:val="14"/>
                <w:color w:val="auto"/>
              </w:rPr>
              <w:t>31,000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jc w:val="right"/>
              <w:ind w:right="29"/>
              <w:spacing w:after="0"/>
              <w:rPr>
                <w:sz w:val="20"/>
                <w:szCs w:val="20"/>
                <w:color w:val="auto"/>
              </w:rPr>
            </w:pPr>
            <w:r>
              <w:rPr>
                <w:rFonts w:ascii="Arial" w:cs="Arial" w:eastAsia="Arial" w:hAnsi="Arial"/>
                <w:sz w:val="14"/>
                <w:szCs w:val="14"/>
                <w:color w:val="auto"/>
              </w:rPr>
              <w:t>30,000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-3678555</wp:posOffset>
            </wp:positionH>
            <wp:positionV relativeFrom="paragraph">
              <wp:posOffset>-1976120</wp:posOffset>
            </wp:positionV>
            <wp:extent cx="7274560" cy="18542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7274560" cy="185420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280" w:space="520"/>
            <w:col w:w="5660"/>
          </w:cols>
          <w:pgMar w:left="220" w:top="129" w:right="219" w:bottom="1440" w:gutter="0" w:footer="0" w:header="0"/>
          <w:type w:val="continuous"/>
        </w:sectPr>
      </w:pP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78</w:t>
      </w:r>
    </w:p>
    <w:p>
      <w:pPr>
        <w:sectPr>
          <w:pgSz w:w="11900" w:h="16838" w:orient="portrait"/>
          <w:cols w:equalWidth="0" w:num="1">
            <w:col w:w="11460"/>
          </w:cols>
          <w:pgMar w:left="220" w:top="129" w:right="219" w:bottom="1440" w:gutter="0" w:footer="0" w:header="0"/>
          <w:type w:val="continuous"/>
        </w:sectPr>
      </w:pPr>
    </w:p>
    <w:bookmarkStart w:id="88" w:name="page89"/>
    <w:bookmarkEnd w:id="88"/>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205" w:lineRule="exact"/>
        <w:rPr>
          <w:sz w:val="20"/>
          <w:szCs w:val="20"/>
          <w:color w:val="auto"/>
        </w:rPr>
      </w:pPr>
    </w:p>
    <w:p>
      <w:pPr>
        <w:ind w:left="520" w:hanging="255"/>
        <w:spacing w:after="0" w:line="288" w:lineRule="auto"/>
        <w:tabs>
          <w:tab w:leader="none" w:pos="520" w:val="left"/>
        </w:tabs>
        <w:numPr>
          <w:ilvl w:val="0"/>
          <w:numId w:val="82"/>
        </w:numPr>
        <w:rPr>
          <w:rFonts w:ascii="Arial" w:cs="Arial" w:eastAsia="Arial" w:hAnsi="Arial"/>
          <w:sz w:val="14"/>
          <w:szCs w:val="14"/>
          <w:color w:val="auto"/>
        </w:rPr>
      </w:pPr>
      <w:r>
        <w:rPr>
          <w:rFonts w:ascii="Arial" w:cs="Arial" w:eastAsia="Arial" w:hAnsi="Arial"/>
          <w:sz w:val="14"/>
          <w:szCs w:val="14"/>
          <w:color w:val="auto"/>
        </w:rPr>
        <w:t>Does not include approximately 66,000 and 67,000 natural gas customers as of September 30, 2019 and 2018, respectively, that are under residential and small commercial choice programs invoiced by their host utility.</w:t>
      </w:r>
    </w:p>
    <w:p>
      <w:pPr>
        <w:spacing w:after="0" w:line="131" w:lineRule="exact"/>
        <w:rPr>
          <w:sz w:val="20"/>
          <w:szCs w:val="20"/>
          <w:color w:val="auto"/>
        </w:rPr>
      </w:pPr>
    </w:p>
    <w:p>
      <w:pPr>
        <w:ind w:left="40"/>
        <w:spacing w:after="0"/>
        <w:rPr>
          <w:sz w:val="20"/>
          <w:szCs w:val="20"/>
          <w:color w:val="auto"/>
        </w:rPr>
      </w:pPr>
      <w:r>
        <w:rPr>
          <w:rFonts w:ascii="Arial" w:cs="Arial" w:eastAsia="Arial" w:hAnsi="Arial"/>
          <w:sz w:val="14"/>
          <w:szCs w:val="14"/>
          <w:b w:val="1"/>
          <w:bCs w:val="1"/>
          <w:i w:val="1"/>
          <w:iCs w:val="1"/>
          <w:color w:val="auto"/>
        </w:rPr>
        <w:t>Three months ended September 30, 2019 compared to three months ended September 30, 2018</w:t>
      </w:r>
    </w:p>
    <w:p>
      <w:pPr>
        <w:spacing w:after="0" w:line="184" w:lineRule="exact"/>
        <w:rPr>
          <w:sz w:val="20"/>
          <w:szCs w:val="20"/>
          <w:color w:val="auto"/>
        </w:rPr>
      </w:pPr>
    </w:p>
    <w:p>
      <w:pPr>
        <w:ind w:firstLine="259"/>
        <w:spacing w:after="0" w:line="288" w:lineRule="auto"/>
        <w:rPr>
          <w:sz w:val="20"/>
          <w:szCs w:val="20"/>
          <w:color w:val="auto"/>
        </w:rPr>
      </w:pPr>
      <w:r>
        <w:rPr>
          <w:rFonts w:ascii="Arial" w:cs="Arial" w:eastAsia="Arial" w:hAnsi="Arial"/>
          <w:sz w:val="14"/>
          <w:szCs w:val="14"/>
          <w:color w:val="auto"/>
        </w:rPr>
        <w:t>The Energy Services reportable segment reported operating income of $2 million for the three months ended September 30, 2019 compared to an operating loss of $9 million for the three months ended September 30, 2018.</w:t>
      </w:r>
    </w:p>
    <w:p>
      <w:pPr>
        <w:spacing w:after="0" w:line="131" w:lineRule="exact"/>
        <w:rPr>
          <w:sz w:val="20"/>
          <w:szCs w:val="20"/>
          <w:color w:val="auto"/>
        </w:rPr>
      </w:pPr>
    </w:p>
    <w:p>
      <w:pPr>
        <w:ind w:left="300"/>
        <w:spacing w:after="0"/>
        <w:rPr>
          <w:sz w:val="20"/>
          <w:szCs w:val="20"/>
          <w:color w:val="auto"/>
        </w:rPr>
      </w:pPr>
      <w:r>
        <w:rPr>
          <w:rFonts w:ascii="Arial" w:cs="Arial" w:eastAsia="Arial" w:hAnsi="Arial"/>
          <w:sz w:val="14"/>
          <w:szCs w:val="14"/>
          <w:color w:val="auto"/>
        </w:rPr>
        <w:t>Operating income increased $11 million primarily as a result of the following key factors:</w:t>
      </w:r>
    </w:p>
    <w:p>
      <w:pPr>
        <w:spacing w:after="0" w:line="180" w:lineRule="exact"/>
        <w:rPr>
          <w:sz w:val="20"/>
          <w:szCs w:val="20"/>
          <w:color w:val="auto"/>
        </w:rPr>
      </w:pPr>
    </w:p>
    <w:p>
      <w:pPr>
        <w:ind w:left="520" w:hanging="255"/>
        <w:spacing w:after="0"/>
        <w:tabs>
          <w:tab w:leader="none" w:pos="520" w:val="left"/>
        </w:tabs>
        <w:numPr>
          <w:ilvl w:val="0"/>
          <w:numId w:val="83"/>
        </w:numPr>
        <w:rPr>
          <w:rFonts w:ascii="Arial" w:cs="Arial" w:eastAsia="Arial" w:hAnsi="Arial"/>
          <w:sz w:val="14"/>
          <w:szCs w:val="14"/>
          <w:color w:val="auto"/>
        </w:rPr>
      </w:pPr>
      <w:r>
        <w:rPr>
          <w:rFonts w:ascii="Arial" w:cs="Arial" w:eastAsia="Arial" w:hAnsi="Arial"/>
          <w:sz w:val="14"/>
          <w:szCs w:val="14"/>
          <w:color w:val="auto"/>
        </w:rPr>
        <w:t>a $10 million increase in margin due to fewer opportunities to optimize natural gas supply costs in the third quarter of 2018</w:t>
      </w:r>
      <w:r>
        <w:rPr>
          <w:rFonts w:ascii="Arial" w:cs="Arial" w:eastAsia="Arial" w:hAnsi="Arial"/>
          <w:sz w:val="15"/>
          <w:szCs w:val="15"/>
          <w:color w:val="auto"/>
        </w:rPr>
        <w:t>; and</w:t>
      </w:r>
    </w:p>
    <w:p>
      <w:pPr>
        <w:spacing w:after="0" w:line="187" w:lineRule="exact"/>
        <w:rPr>
          <w:rFonts w:ascii="Arial" w:cs="Arial" w:eastAsia="Arial" w:hAnsi="Arial"/>
          <w:sz w:val="14"/>
          <w:szCs w:val="14"/>
          <w:color w:val="auto"/>
        </w:rPr>
      </w:pPr>
    </w:p>
    <w:p>
      <w:pPr>
        <w:ind w:left="520" w:hanging="255"/>
        <w:spacing w:after="0"/>
        <w:tabs>
          <w:tab w:leader="none" w:pos="520" w:val="left"/>
        </w:tabs>
        <w:numPr>
          <w:ilvl w:val="0"/>
          <w:numId w:val="83"/>
        </w:numPr>
        <w:rPr>
          <w:rFonts w:ascii="Arial" w:cs="Arial" w:eastAsia="Arial" w:hAnsi="Arial"/>
          <w:sz w:val="14"/>
          <w:szCs w:val="14"/>
          <w:color w:val="auto"/>
        </w:rPr>
      </w:pPr>
      <w:r>
        <w:rPr>
          <w:rFonts w:ascii="Arial" w:cs="Arial" w:eastAsia="Arial" w:hAnsi="Arial"/>
          <w:sz w:val="14"/>
          <w:szCs w:val="14"/>
          <w:color w:val="auto"/>
        </w:rPr>
        <w:t>a $4 million decrease in operation and maintenance expenses, primarily due to lower support services expenses.</w:t>
      </w:r>
    </w:p>
    <w:p>
      <w:pPr>
        <w:spacing w:after="0" w:line="184" w:lineRule="exact"/>
        <w:rPr>
          <w:sz w:val="20"/>
          <w:szCs w:val="20"/>
          <w:color w:val="auto"/>
        </w:rPr>
      </w:pPr>
    </w:p>
    <w:p>
      <w:pPr>
        <w:jc w:val="both"/>
        <w:ind w:firstLine="259"/>
        <w:spacing w:after="0" w:line="288" w:lineRule="auto"/>
        <w:rPr>
          <w:sz w:val="20"/>
          <w:szCs w:val="20"/>
          <w:color w:val="auto"/>
        </w:rPr>
      </w:pPr>
      <w:r>
        <w:rPr>
          <w:rFonts w:ascii="Arial" w:cs="Arial" w:eastAsia="Arial" w:hAnsi="Arial"/>
          <w:sz w:val="14"/>
          <w:szCs w:val="14"/>
          <w:color w:val="auto"/>
        </w:rPr>
        <w:t>These increases were partially offset by a $3 million decrease from mark-to-market accounting for derivatives associated with certain natural gas purchases and sales used to lock in economic margins.</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Nine months ended September 30, 2019 compared to nine months ended September 30, 2018</w:t>
      </w:r>
    </w:p>
    <w:p>
      <w:pPr>
        <w:spacing w:after="0" w:line="184" w:lineRule="exact"/>
        <w:rPr>
          <w:sz w:val="20"/>
          <w:szCs w:val="20"/>
          <w:color w:val="auto"/>
        </w:rPr>
      </w:pPr>
    </w:p>
    <w:p>
      <w:pPr>
        <w:jc w:val="both"/>
        <w:ind w:firstLine="259"/>
        <w:spacing w:after="0" w:line="288" w:lineRule="auto"/>
        <w:rPr>
          <w:sz w:val="20"/>
          <w:szCs w:val="20"/>
          <w:color w:val="auto"/>
        </w:rPr>
      </w:pPr>
      <w:r>
        <w:rPr>
          <w:rFonts w:ascii="Arial" w:cs="Arial" w:eastAsia="Arial" w:hAnsi="Arial"/>
          <w:sz w:val="14"/>
          <w:szCs w:val="14"/>
          <w:color w:val="auto"/>
        </w:rPr>
        <w:t>The Energy Services reportable segment reported operating income of $64 million for the nine months ended September 30, 2019 compared to an operating loss of $20 million for the nine months ended September 30, 2018.</w:t>
      </w:r>
    </w:p>
    <w:p>
      <w:pPr>
        <w:spacing w:after="0" w:line="131" w:lineRule="exact"/>
        <w:rPr>
          <w:sz w:val="20"/>
          <w:szCs w:val="20"/>
          <w:color w:val="auto"/>
        </w:rPr>
      </w:pPr>
    </w:p>
    <w:p>
      <w:pPr>
        <w:jc w:val="both"/>
        <w:ind w:firstLine="259"/>
        <w:spacing w:after="0" w:line="267" w:lineRule="auto"/>
        <w:rPr>
          <w:sz w:val="20"/>
          <w:szCs w:val="20"/>
          <w:color w:val="auto"/>
        </w:rPr>
      </w:pPr>
      <w:r>
        <w:rPr>
          <w:rFonts w:ascii="Arial" w:cs="Arial" w:eastAsia="Arial" w:hAnsi="Arial"/>
          <w:sz w:val="14"/>
          <w:szCs w:val="14"/>
          <w:color w:val="auto"/>
        </w:rPr>
        <w:t>Operating income increased $84 million primarily as a result of a $118 million increase from mark-to-market accounting for derivatives associated with certain natural gas purchases and sales used to lock in economic margins. This increase was partially offset by a $34 million decrease in margin due to fewer opportunities to optimize natural gas costs relative to last year, primarily in the first quarter of 2019. Specifically, weather-facilitated market impacts in various regions of the continental United States during the three months ended March 31, 2018 allowed Energy Services to increase its margins in the first quarter of 2018.</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Infrastructure Services (CenterPoint Energy)</w:t>
      </w:r>
    </w:p>
    <w:p>
      <w:pPr>
        <w:spacing w:after="0" w:line="188" w:lineRule="exact"/>
        <w:rPr>
          <w:sz w:val="20"/>
          <w:szCs w:val="20"/>
          <w:color w:val="auto"/>
        </w:rPr>
      </w:pPr>
    </w:p>
    <w:p>
      <w:pPr>
        <w:jc w:val="both"/>
        <w:ind w:firstLine="259"/>
        <w:spacing w:after="0" w:line="302" w:lineRule="auto"/>
        <w:rPr>
          <w:sz w:val="20"/>
          <w:szCs w:val="20"/>
          <w:color w:val="auto"/>
        </w:rPr>
      </w:pPr>
      <w:r>
        <w:rPr>
          <w:rFonts w:ascii="Arial" w:cs="Arial" w:eastAsia="Arial" w:hAnsi="Arial"/>
          <w:sz w:val="13"/>
          <w:szCs w:val="13"/>
          <w:color w:val="auto"/>
        </w:rPr>
        <w:t>For information regarding factors that may affect the future results of operations of the Infrastructure Services reportable segment, please read “Risk Factors — Risk Factors Associated with Our Consolidated Financial Condition,” “— Risk Factors Affecting Natural Gas Distribution and Competitive Energy Services Businesses” and “— Other Risk Factors Affecting Our Businesses or CenterPoint Energy’s Interests in Enable Midstream Partners, LP” in Item 1A of Part I of the Registrants’ combined 2018 Form 10-K and in Item 1A of Part II of this Form 10-Q.</w:t>
      </w:r>
    </w:p>
    <w:p>
      <w:pPr>
        <w:spacing w:after="0" w:line="125"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following table provides summary data of the Infrastructure Services reportable segment:</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7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980" w:type="dxa"/>
            <w:vAlign w:val="bottom"/>
            <w:gridSpan w:val="2"/>
          </w:tcPr>
          <w:p>
            <w:pPr>
              <w:spacing w:after="0"/>
              <w:rPr>
                <w:sz w:val="20"/>
                <w:szCs w:val="20"/>
                <w:color w:val="auto"/>
              </w:rPr>
            </w:pPr>
            <w:r>
              <w:rPr>
                <w:rFonts w:ascii="Arial" w:cs="Arial" w:eastAsia="Arial" w:hAnsi="Arial"/>
                <w:sz w:val="11"/>
                <w:szCs w:val="11"/>
                <w:b w:val="1"/>
                <w:bCs w:val="1"/>
                <w:color w:val="auto"/>
              </w:rPr>
              <w:t>Three Months Ended September 30,</w:t>
            </w:r>
          </w:p>
        </w:tc>
        <w:tc>
          <w:tcPr>
            <w:tcW w:w="100" w:type="dxa"/>
            <w:vAlign w:val="bottom"/>
          </w:tcPr>
          <w:p>
            <w:pPr>
              <w:spacing w:after="0"/>
              <w:rPr>
                <w:sz w:val="10"/>
                <w:szCs w:val="10"/>
                <w:color w:val="auto"/>
              </w:rPr>
            </w:pPr>
          </w:p>
        </w:tc>
        <w:tc>
          <w:tcPr>
            <w:tcW w:w="1820" w:type="dxa"/>
            <w:vAlign w:val="bottom"/>
          </w:tcPr>
          <w:p>
            <w:pPr>
              <w:jc w:val="right"/>
              <w:ind w:right="31"/>
              <w:spacing w:after="0"/>
              <w:rPr>
                <w:sz w:val="20"/>
                <w:szCs w:val="20"/>
                <w:color w:val="auto"/>
              </w:rPr>
            </w:pPr>
            <w:r>
              <w:rPr>
                <w:rFonts w:ascii="Arial" w:cs="Arial" w:eastAsia="Arial" w:hAnsi="Arial"/>
                <w:sz w:val="11"/>
                <w:szCs w:val="11"/>
                <w:b w:val="1"/>
                <w:bCs w:val="1"/>
                <w:color w:val="auto"/>
                <w:w w:val="93"/>
              </w:rPr>
              <w:t>Nine Months Ended September 30,</w:t>
            </w:r>
          </w:p>
        </w:tc>
      </w:tr>
      <w:tr>
        <w:trPr>
          <w:trHeight w:val="153"/>
        </w:trPr>
        <w:tc>
          <w:tcPr>
            <w:tcW w:w="74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860" w:type="dxa"/>
            <w:vAlign w:val="bottom"/>
            <w:tcBorders>
              <w:bottom w:val="single" w:sz="8" w:color="auto"/>
            </w:tcBorders>
          </w:tcPr>
          <w:p>
            <w:pPr>
              <w:jc w:val="right"/>
              <w:ind w:right="791"/>
              <w:spacing w:after="0"/>
              <w:rPr>
                <w:sz w:val="20"/>
                <w:szCs w:val="20"/>
                <w:color w:val="auto"/>
              </w:rPr>
            </w:pPr>
            <w:r>
              <w:rPr>
                <w:rFonts w:ascii="Arial" w:cs="Arial" w:eastAsia="Arial" w:hAnsi="Arial"/>
                <w:sz w:val="11"/>
                <w:szCs w:val="11"/>
                <w:b w:val="1"/>
                <w:bCs w:val="1"/>
                <w:color w:val="auto"/>
              </w:rPr>
              <w:t>2019</w:t>
            </w:r>
          </w:p>
        </w:tc>
        <w:tc>
          <w:tcPr>
            <w:tcW w:w="1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820" w:type="dxa"/>
            <w:vAlign w:val="bottom"/>
            <w:tcBorders>
              <w:bottom w:val="single" w:sz="8" w:color="auto"/>
            </w:tcBorders>
          </w:tcPr>
          <w:p>
            <w:pPr>
              <w:jc w:val="right"/>
              <w:ind w:right="711"/>
              <w:spacing w:after="0"/>
              <w:rPr>
                <w:sz w:val="20"/>
                <w:szCs w:val="20"/>
                <w:color w:val="auto"/>
              </w:rPr>
            </w:pPr>
            <w:r>
              <w:rPr>
                <w:rFonts w:ascii="Arial" w:cs="Arial" w:eastAsia="Arial" w:hAnsi="Arial"/>
                <w:sz w:val="11"/>
                <w:szCs w:val="11"/>
                <w:b w:val="1"/>
                <w:bCs w:val="1"/>
                <w:color w:val="auto"/>
              </w:rPr>
              <w:t xml:space="preserve">2019 </w:t>
            </w:r>
            <w:r>
              <w:rPr>
                <w:rFonts w:ascii="Arial" w:cs="Arial" w:eastAsia="Arial" w:hAnsi="Arial"/>
                <w:sz w:val="8"/>
                <w:szCs w:val="8"/>
                <w:b w:val="1"/>
                <w:bCs w:val="1"/>
                <w:color w:val="auto"/>
              </w:rPr>
              <w:t>(1)</w:t>
            </w:r>
          </w:p>
        </w:tc>
      </w:tr>
      <w:tr>
        <w:trPr>
          <w:trHeight w:val="196"/>
        </w:trPr>
        <w:tc>
          <w:tcPr>
            <w:tcW w:w="7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900" w:type="dxa"/>
            <w:vAlign w:val="bottom"/>
            <w:gridSpan w:val="4"/>
          </w:tcPr>
          <w:p>
            <w:pPr>
              <w:jc w:val="right"/>
              <w:ind w:right="1631"/>
              <w:spacing w:after="0"/>
              <w:rPr>
                <w:sz w:val="20"/>
                <w:szCs w:val="20"/>
                <w:color w:val="auto"/>
              </w:rPr>
            </w:pPr>
            <w:r>
              <w:rPr>
                <w:rFonts w:ascii="Arial" w:cs="Arial" w:eastAsia="Arial" w:hAnsi="Arial"/>
                <w:sz w:val="11"/>
                <w:szCs w:val="11"/>
                <w:b w:val="1"/>
                <w:bCs w:val="1"/>
                <w:color w:val="auto"/>
              </w:rPr>
              <w:t>(in millions)</w:t>
            </w:r>
          </w:p>
        </w:tc>
      </w:tr>
      <w:tr>
        <w:trPr>
          <w:trHeight w:val="220"/>
        </w:trPr>
        <w:tc>
          <w:tcPr>
            <w:tcW w:w="7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Revenues</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377</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849</w:t>
            </w:r>
          </w:p>
        </w:tc>
      </w:tr>
      <w:tr>
        <w:trPr>
          <w:trHeight w:val="184"/>
        </w:trPr>
        <w:tc>
          <w:tcPr>
            <w:tcW w:w="7440" w:type="dxa"/>
            <w:vAlign w:val="bottom"/>
          </w:tcPr>
          <w:p>
            <w:pPr>
              <w:ind w:left="20"/>
              <w:spacing w:after="0"/>
              <w:rPr>
                <w:sz w:val="20"/>
                <w:szCs w:val="20"/>
                <w:color w:val="auto"/>
              </w:rPr>
            </w:pPr>
            <w:r>
              <w:rPr>
                <w:rFonts w:ascii="Arial" w:cs="Arial" w:eastAsia="Arial" w:hAnsi="Arial"/>
                <w:sz w:val="14"/>
                <w:szCs w:val="14"/>
                <w:color w:val="auto"/>
              </w:rPr>
              <w:t>Expenses:</w:t>
            </w:r>
          </w:p>
        </w:tc>
        <w:tc>
          <w:tcPr>
            <w:tcW w:w="100" w:type="dxa"/>
            <w:vAlign w:val="bottom"/>
            <w:tcBorders>
              <w:top w:val="single" w:sz="8" w:color="auto"/>
            </w:tcBorders>
          </w:tcPr>
          <w:p>
            <w:pPr>
              <w:spacing w:after="0"/>
              <w:rPr>
                <w:sz w:val="15"/>
                <w:szCs w:val="15"/>
                <w:color w:val="auto"/>
              </w:rPr>
            </w:pPr>
          </w:p>
        </w:tc>
        <w:tc>
          <w:tcPr>
            <w:tcW w:w="18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820" w:type="dxa"/>
            <w:vAlign w:val="bottom"/>
            <w:tcBorders>
              <w:top w:val="single" w:sz="8" w:color="auto"/>
            </w:tcBorders>
          </w:tcPr>
          <w:p>
            <w:pPr>
              <w:spacing w:after="0"/>
              <w:rPr>
                <w:sz w:val="15"/>
                <w:szCs w:val="15"/>
                <w:color w:val="auto"/>
              </w:rPr>
            </w:pPr>
          </w:p>
        </w:tc>
      </w:tr>
      <w:tr>
        <w:trPr>
          <w:trHeight w:val="23"/>
        </w:trPr>
        <w:tc>
          <w:tcPr>
            <w:tcW w:w="7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196"/>
        </w:trPr>
        <w:tc>
          <w:tcPr>
            <w:tcW w:w="74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Non-utility cost of revenues, including natural gas</w:t>
            </w:r>
          </w:p>
        </w:tc>
        <w:tc>
          <w:tcPr>
            <w:tcW w:w="100" w:type="dxa"/>
            <w:vAlign w:val="bottom"/>
            <w:tcBorders>
              <w:bottom w:val="single" w:sz="8" w:color="CCEEFF"/>
            </w:tcBorders>
            <w:shd w:val="clear" w:color="auto" w:fill="CCEEFF"/>
          </w:tcPr>
          <w:p>
            <w:pPr>
              <w:spacing w:after="0"/>
              <w:rPr>
                <w:sz w:val="17"/>
                <w:szCs w:val="17"/>
                <w:color w:val="auto"/>
              </w:rPr>
            </w:pPr>
          </w:p>
        </w:tc>
        <w:tc>
          <w:tcPr>
            <w:tcW w:w="18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96</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228</w:t>
            </w:r>
          </w:p>
        </w:tc>
      </w:tr>
      <w:tr>
        <w:trPr>
          <w:trHeight w:val="193"/>
        </w:trPr>
        <w:tc>
          <w:tcPr>
            <w:tcW w:w="7440" w:type="dxa"/>
            <w:vAlign w:val="bottom"/>
          </w:tcPr>
          <w:p>
            <w:pPr>
              <w:ind w:left="140"/>
              <w:spacing w:after="0"/>
              <w:rPr>
                <w:sz w:val="20"/>
                <w:szCs w:val="20"/>
                <w:color w:val="auto"/>
              </w:rPr>
            </w:pPr>
            <w:r>
              <w:rPr>
                <w:rFonts w:ascii="Arial" w:cs="Arial" w:eastAsia="Arial" w:hAnsi="Arial"/>
                <w:sz w:val="14"/>
                <w:szCs w:val="14"/>
                <w:color w:val="auto"/>
              </w:rPr>
              <w:t>Operation and maintenance</w:t>
            </w:r>
          </w:p>
        </w:tc>
        <w:tc>
          <w:tcPr>
            <w:tcW w:w="100" w:type="dxa"/>
            <w:vAlign w:val="bottom"/>
          </w:tcPr>
          <w:p>
            <w:pPr>
              <w:spacing w:after="0"/>
              <w:rPr>
                <w:sz w:val="16"/>
                <w:szCs w:val="16"/>
                <w:color w:val="auto"/>
              </w:rPr>
            </w:pPr>
          </w:p>
        </w:tc>
        <w:tc>
          <w:tcPr>
            <w:tcW w:w="1860" w:type="dxa"/>
            <w:vAlign w:val="bottom"/>
          </w:tcPr>
          <w:p>
            <w:pPr>
              <w:jc w:val="right"/>
              <w:ind w:right="51"/>
              <w:spacing w:after="0"/>
              <w:rPr>
                <w:sz w:val="20"/>
                <w:szCs w:val="20"/>
                <w:color w:val="auto"/>
              </w:rPr>
            </w:pPr>
            <w:r>
              <w:rPr>
                <w:rFonts w:ascii="Arial" w:cs="Arial" w:eastAsia="Arial" w:hAnsi="Arial"/>
                <w:sz w:val="14"/>
                <w:szCs w:val="14"/>
                <w:color w:val="auto"/>
              </w:rPr>
              <w:t>223</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20" w:type="dxa"/>
            <w:vAlign w:val="bottom"/>
          </w:tcPr>
          <w:p>
            <w:pPr>
              <w:jc w:val="right"/>
              <w:ind w:right="31"/>
              <w:spacing w:after="0"/>
              <w:rPr>
                <w:sz w:val="20"/>
                <w:szCs w:val="20"/>
                <w:color w:val="auto"/>
              </w:rPr>
            </w:pPr>
            <w:r>
              <w:rPr>
                <w:rFonts w:ascii="Arial" w:cs="Arial" w:eastAsia="Arial" w:hAnsi="Arial"/>
                <w:sz w:val="14"/>
                <w:szCs w:val="14"/>
                <w:color w:val="auto"/>
              </w:rPr>
              <w:t>530</w:t>
            </w:r>
          </w:p>
        </w:tc>
      </w:tr>
      <w:tr>
        <w:trPr>
          <w:trHeight w:val="23"/>
        </w:trPr>
        <w:tc>
          <w:tcPr>
            <w:tcW w:w="7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196"/>
        </w:trPr>
        <w:tc>
          <w:tcPr>
            <w:tcW w:w="74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Depreciation and amortization</w:t>
            </w:r>
          </w:p>
        </w:tc>
        <w:tc>
          <w:tcPr>
            <w:tcW w:w="100" w:type="dxa"/>
            <w:vAlign w:val="bottom"/>
            <w:tcBorders>
              <w:bottom w:val="single" w:sz="8" w:color="CCEEFF"/>
            </w:tcBorders>
            <w:shd w:val="clear" w:color="auto" w:fill="CCEEFF"/>
          </w:tcPr>
          <w:p>
            <w:pPr>
              <w:spacing w:after="0"/>
              <w:rPr>
                <w:sz w:val="17"/>
                <w:szCs w:val="17"/>
                <w:color w:val="auto"/>
              </w:rPr>
            </w:pPr>
          </w:p>
        </w:tc>
        <w:tc>
          <w:tcPr>
            <w:tcW w:w="18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15</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39</w:t>
            </w:r>
          </w:p>
        </w:tc>
      </w:tr>
      <w:tr>
        <w:trPr>
          <w:trHeight w:val="193"/>
        </w:trPr>
        <w:tc>
          <w:tcPr>
            <w:tcW w:w="7440" w:type="dxa"/>
            <w:vAlign w:val="bottom"/>
          </w:tcPr>
          <w:p>
            <w:pPr>
              <w:ind w:left="140"/>
              <w:spacing w:after="0"/>
              <w:rPr>
                <w:sz w:val="20"/>
                <w:szCs w:val="20"/>
                <w:color w:val="auto"/>
              </w:rPr>
            </w:pPr>
            <w:r>
              <w:rPr>
                <w:rFonts w:ascii="Arial" w:cs="Arial" w:eastAsia="Arial" w:hAnsi="Arial"/>
                <w:sz w:val="14"/>
                <w:szCs w:val="14"/>
                <w:color w:val="auto"/>
              </w:rPr>
              <w:t>Taxes other than income taxes</w:t>
            </w:r>
          </w:p>
        </w:tc>
        <w:tc>
          <w:tcPr>
            <w:tcW w:w="100" w:type="dxa"/>
            <w:vAlign w:val="bottom"/>
          </w:tcPr>
          <w:p>
            <w:pPr>
              <w:spacing w:after="0"/>
              <w:rPr>
                <w:sz w:val="16"/>
                <w:szCs w:val="16"/>
                <w:color w:val="auto"/>
              </w:rPr>
            </w:pPr>
          </w:p>
        </w:tc>
        <w:tc>
          <w:tcPr>
            <w:tcW w:w="1860" w:type="dxa"/>
            <w:vAlign w:val="bottom"/>
          </w:tcPr>
          <w:p>
            <w:pPr>
              <w:jc w:val="right"/>
              <w:ind w:right="51"/>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20" w:type="dxa"/>
            <w:vAlign w:val="bottom"/>
          </w:tcPr>
          <w:p>
            <w:pPr>
              <w:jc w:val="right"/>
              <w:ind w:right="31"/>
              <w:spacing w:after="0"/>
              <w:rPr>
                <w:sz w:val="20"/>
                <w:szCs w:val="20"/>
                <w:color w:val="auto"/>
              </w:rPr>
            </w:pPr>
            <w:r>
              <w:rPr>
                <w:rFonts w:ascii="Arial" w:cs="Arial" w:eastAsia="Arial" w:hAnsi="Arial"/>
                <w:sz w:val="14"/>
                <w:szCs w:val="14"/>
                <w:color w:val="auto"/>
              </w:rPr>
              <w:t>2</w:t>
            </w:r>
          </w:p>
        </w:tc>
      </w:tr>
      <w:tr>
        <w:trPr>
          <w:trHeight w:val="23"/>
        </w:trPr>
        <w:tc>
          <w:tcPr>
            <w:tcW w:w="74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r>
        <w:trPr>
          <w:trHeight w:val="206"/>
        </w:trPr>
        <w:tc>
          <w:tcPr>
            <w:tcW w:w="744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4"/>
                <w:szCs w:val="14"/>
                <w:color w:val="auto"/>
              </w:rPr>
              <w:t>Total expenses</w:t>
            </w:r>
          </w:p>
        </w:tc>
        <w:tc>
          <w:tcPr>
            <w:tcW w:w="100" w:type="dxa"/>
            <w:vAlign w:val="bottom"/>
            <w:tcBorders>
              <w:bottom w:val="single" w:sz="8" w:color="CCEEFF"/>
            </w:tcBorders>
            <w:shd w:val="clear" w:color="auto" w:fill="CCEEFF"/>
          </w:tcPr>
          <w:p>
            <w:pPr>
              <w:spacing w:after="0"/>
              <w:rPr>
                <w:sz w:val="17"/>
                <w:szCs w:val="17"/>
                <w:color w:val="auto"/>
              </w:rPr>
            </w:pPr>
          </w:p>
        </w:tc>
        <w:tc>
          <w:tcPr>
            <w:tcW w:w="18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335</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799</w:t>
            </w:r>
          </w:p>
        </w:tc>
      </w:tr>
      <w:tr>
        <w:trPr>
          <w:trHeight w:val="240"/>
        </w:trPr>
        <w:tc>
          <w:tcPr>
            <w:tcW w:w="74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Operating Income</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86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4"/>
                <w:szCs w:val="14"/>
                <w:color w:val="auto"/>
              </w:rPr>
              <w:t>42</w:t>
            </w:r>
          </w:p>
        </w:tc>
        <w:tc>
          <w:tcPr>
            <w:tcW w:w="120" w:type="dxa"/>
            <w:vAlign w:val="bottom"/>
            <w:tcBorders>
              <w:bottom w:val="single" w:sz="8" w:color="CCEEFF"/>
            </w:tcBorders>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8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4"/>
                <w:szCs w:val="14"/>
                <w:color w:val="auto"/>
              </w:rPr>
              <w:t>50</w:t>
            </w:r>
          </w:p>
        </w:tc>
      </w:tr>
      <w:tr>
        <w:trPr>
          <w:trHeight w:val="174"/>
        </w:trPr>
        <w:tc>
          <w:tcPr>
            <w:tcW w:w="7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 xml:space="preserve">Backlog at period end </w:t>
            </w:r>
            <w:r>
              <w:rPr>
                <w:rFonts w:ascii="Arial" w:cs="Arial" w:eastAsia="Arial" w:hAnsi="Arial"/>
                <w:sz w:val="11"/>
                <w:szCs w:val="11"/>
                <w:color w:val="auto"/>
              </w:rPr>
              <w:t>(2)</w:t>
            </w: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8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820" w:type="dxa"/>
            <w:vAlign w:val="bottom"/>
            <w:tcBorders>
              <w:bottom w:val="single" w:sz="8" w:color="CCEEFF"/>
            </w:tcBorders>
            <w:shd w:val="clear" w:color="auto" w:fill="CCEEFF"/>
          </w:tcPr>
          <w:p>
            <w:pPr>
              <w:spacing w:after="0"/>
              <w:rPr>
                <w:sz w:val="15"/>
                <w:szCs w:val="15"/>
                <w:color w:val="auto"/>
              </w:rPr>
            </w:pPr>
          </w:p>
        </w:tc>
      </w:tr>
      <w:tr>
        <w:trPr>
          <w:trHeight w:val="193"/>
        </w:trPr>
        <w:tc>
          <w:tcPr>
            <w:tcW w:w="7440" w:type="dxa"/>
            <w:vAlign w:val="bottom"/>
          </w:tcPr>
          <w:p>
            <w:pPr>
              <w:ind w:left="160"/>
              <w:spacing w:after="0"/>
              <w:rPr>
                <w:sz w:val="20"/>
                <w:szCs w:val="20"/>
                <w:color w:val="auto"/>
              </w:rPr>
            </w:pPr>
            <w:r>
              <w:rPr>
                <w:rFonts w:ascii="Arial" w:cs="Arial" w:eastAsia="Arial" w:hAnsi="Arial"/>
                <w:sz w:val="14"/>
                <w:szCs w:val="14"/>
                <w:color w:val="auto"/>
              </w:rPr>
              <w:t xml:space="preserve">Blanket contracts </w:t>
            </w:r>
            <w:r>
              <w:rPr>
                <w:rFonts w:ascii="Arial" w:cs="Arial" w:eastAsia="Arial" w:hAnsi="Arial"/>
                <w:sz w:val="11"/>
                <w:szCs w:val="11"/>
                <w:color w:val="auto"/>
              </w:rPr>
              <w:t>(3)</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860" w:type="dxa"/>
            <w:vAlign w:val="bottom"/>
          </w:tcPr>
          <w:p>
            <w:pPr>
              <w:jc w:val="right"/>
              <w:ind w:right="51"/>
              <w:spacing w:after="0"/>
              <w:rPr>
                <w:sz w:val="20"/>
                <w:szCs w:val="20"/>
                <w:color w:val="auto"/>
              </w:rPr>
            </w:pPr>
            <w:r>
              <w:rPr>
                <w:rFonts w:ascii="Arial" w:cs="Arial" w:eastAsia="Arial" w:hAnsi="Arial"/>
                <w:sz w:val="14"/>
                <w:szCs w:val="14"/>
                <w:color w:val="auto"/>
              </w:rPr>
              <w:t>637</w:t>
            </w: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820" w:type="dxa"/>
            <w:vAlign w:val="bottom"/>
          </w:tcPr>
          <w:p>
            <w:pPr>
              <w:jc w:val="right"/>
              <w:ind w:right="31"/>
              <w:spacing w:after="0"/>
              <w:rPr>
                <w:sz w:val="20"/>
                <w:szCs w:val="20"/>
                <w:color w:val="auto"/>
              </w:rPr>
            </w:pPr>
            <w:r>
              <w:rPr>
                <w:rFonts w:ascii="Arial" w:cs="Arial" w:eastAsia="Arial" w:hAnsi="Arial"/>
                <w:sz w:val="14"/>
                <w:szCs w:val="14"/>
                <w:color w:val="auto"/>
              </w:rPr>
              <w:t>637</w:t>
            </w:r>
          </w:p>
        </w:tc>
      </w:tr>
      <w:tr>
        <w:trPr>
          <w:trHeight w:val="23"/>
        </w:trPr>
        <w:tc>
          <w:tcPr>
            <w:tcW w:w="7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216"/>
        </w:trPr>
        <w:tc>
          <w:tcPr>
            <w:tcW w:w="74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4"/>
                <w:szCs w:val="14"/>
                <w:color w:val="auto"/>
              </w:rPr>
              <w:t xml:space="preserve">Bid contracts </w:t>
            </w:r>
            <w:r>
              <w:rPr>
                <w:rFonts w:ascii="Arial" w:cs="Arial" w:eastAsia="Arial" w:hAnsi="Arial"/>
                <w:sz w:val="11"/>
                <w:szCs w:val="11"/>
                <w:color w:val="auto"/>
              </w:rPr>
              <w:t>(4)</w:t>
            </w:r>
          </w:p>
        </w:tc>
        <w:tc>
          <w:tcPr>
            <w:tcW w:w="100" w:type="dxa"/>
            <w:vAlign w:val="bottom"/>
            <w:tcBorders>
              <w:bottom w:val="single" w:sz="8" w:color="CCEEFF"/>
            </w:tcBorders>
            <w:shd w:val="clear" w:color="auto" w:fill="CCEEFF"/>
          </w:tcPr>
          <w:p>
            <w:pPr>
              <w:spacing w:after="0"/>
              <w:rPr>
                <w:sz w:val="18"/>
                <w:szCs w:val="18"/>
                <w:color w:val="auto"/>
              </w:rPr>
            </w:pPr>
          </w:p>
        </w:tc>
        <w:tc>
          <w:tcPr>
            <w:tcW w:w="18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301</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301</w:t>
            </w:r>
          </w:p>
        </w:tc>
      </w:tr>
      <w:tr>
        <w:trPr>
          <w:trHeight w:val="200"/>
        </w:trPr>
        <w:tc>
          <w:tcPr>
            <w:tcW w:w="7440" w:type="dxa"/>
            <w:vAlign w:val="bottom"/>
          </w:tcPr>
          <w:p>
            <w:pPr>
              <w:ind w:left="280"/>
              <w:spacing w:after="0"/>
              <w:rPr>
                <w:sz w:val="20"/>
                <w:szCs w:val="20"/>
                <w:color w:val="auto"/>
              </w:rPr>
            </w:pPr>
            <w:r>
              <w:rPr>
                <w:rFonts w:ascii="Arial" w:cs="Arial" w:eastAsia="Arial" w:hAnsi="Arial"/>
                <w:sz w:val="14"/>
                <w:szCs w:val="14"/>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86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4"/>
                <w:szCs w:val="14"/>
                <w:color w:val="auto"/>
              </w:rPr>
              <w:t>938</w:t>
            </w:r>
          </w:p>
        </w:tc>
        <w:tc>
          <w:tcPr>
            <w:tcW w:w="12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8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4"/>
                <w:szCs w:val="14"/>
                <w:color w:val="auto"/>
              </w:rPr>
              <w:t>938</w:t>
            </w:r>
          </w:p>
        </w:tc>
      </w:tr>
      <w:tr>
        <w:trPr>
          <w:trHeight w:val="20"/>
        </w:trPr>
        <w:tc>
          <w:tcPr>
            <w:tcW w:w="7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162" w:lineRule="exact"/>
        <w:rPr>
          <w:sz w:val="20"/>
          <w:szCs w:val="20"/>
          <w:color w:val="auto"/>
        </w:rPr>
      </w:pPr>
    </w:p>
    <w:p>
      <w:pPr>
        <w:ind w:left="260"/>
        <w:spacing w:after="0"/>
        <w:rPr>
          <w:sz w:val="20"/>
          <w:szCs w:val="20"/>
          <w:color w:val="auto"/>
        </w:rPr>
      </w:pPr>
      <w:r>
        <w:rPr>
          <w:rFonts w:ascii="Arial" w:cs="Arial" w:eastAsia="Arial" w:hAnsi="Arial"/>
          <w:sz w:val="14"/>
          <w:szCs w:val="14"/>
          <w:color w:val="auto"/>
        </w:rPr>
        <w:t>(1)  Represents February 1, 2019 through September 30, 2019 results only due to the Merger.</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79</w:t>
      </w:r>
    </w:p>
    <w:p>
      <w:pPr>
        <w:sectPr>
          <w:pgSz w:w="11900" w:h="16838" w:orient="portrait"/>
          <w:cols w:equalWidth="0" w:num="1">
            <w:col w:w="11460"/>
          </w:cols>
          <w:pgMar w:left="220" w:top="129" w:right="219" w:bottom="1440" w:gutter="0" w:footer="0" w:header="0"/>
        </w:sectPr>
      </w:pPr>
    </w:p>
    <w:bookmarkStart w:id="89" w:name="page90"/>
    <w:bookmarkEnd w:id="89"/>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378" w:lineRule="exact"/>
        <w:rPr>
          <w:sz w:val="20"/>
          <w:szCs w:val="20"/>
          <w:color w:val="auto"/>
        </w:rPr>
      </w:pPr>
    </w:p>
    <w:p>
      <w:pPr>
        <w:ind w:left="520" w:hanging="255"/>
        <w:spacing w:after="0" w:line="288" w:lineRule="auto"/>
        <w:tabs>
          <w:tab w:leader="none" w:pos="520" w:val="left"/>
        </w:tabs>
        <w:numPr>
          <w:ilvl w:val="0"/>
          <w:numId w:val="84"/>
        </w:numPr>
        <w:rPr>
          <w:rFonts w:ascii="Arial" w:cs="Arial" w:eastAsia="Arial" w:hAnsi="Arial"/>
          <w:sz w:val="14"/>
          <w:szCs w:val="14"/>
          <w:color w:val="auto"/>
        </w:rPr>
      </w:pPr>
      <w:r>
        <w:rPr>
          <w:rFonts w:ascii="Arial" w:cs="Arial" w:eastAsia="Arial" w:hAnsi="Arial"/>
          <w:sz w:val="14"/>
          <w:szCs w:val="14"/>
          <w:color w:val="auto"/>
        </w:rPr>
        <w:t>Backlog represents the amount of revenue Infrastructure Services expects to realize from work to be performed on uncompleted contracts in the next twelve months, including new contractual agreements on which work has not begun. Infrastructure Services operates primarily under two types of contracts, blanket contracts and bid contracts.</w:t>
      </w:r>
    </w:p>
    <w:p>
      <w:pPr>
        <w:spacing w:after="0" w:line="130" w:lineRule="exact"/>
        <w:rPr>
          <w:rFonts w:ascii="Arial" w:cs="Arial" w:eastAsia="Arial" w:hAnsi="Arial"/>
          <w:sz w:val="14"/>
          <w:szCs w:val="14"/>
          <w:color w:val="auto"/>
        </w:rPr>
      </w:pPr>
    </w:p>
    <w:p>
      <w:pPr>
        <w:jc w:val="both"/>
        <w:ind w:left="520" w:hanging="255"/>
        <w:spacing w:after="0" w:line="302" w:lineRule="auto"/>
        <w:tabs>
          <w:tab w:leader="none" w:pos="520" w:val="left"/>
        </w:tabs>
        <w:numPr>
          <w:ilvl w:val="0"/>
          <w:numId w:val="84"/>
        </w:numPr>
        <w:rPr>
          <w:rFonts w:ascii="Arial" w:cs="Arial" w:eastAsia="Arial" w:hAnsi="Arial"/>
          <w:sz w:val="13"/>
          <w:szCs w:val="13"/>
          <w:color w:val="auto"/>
        </w:rPr>
      </w:pPr>
      <w:r>
        <w:rPr>
          <w:rFonts w:ascii="Arial" w:cs="Arial" w:eastAsia="Arial" w:hAnsi="Arial"/>
          <w:sz w:val="13"/>
          <w:szCs w:val="13"/>
          <w:color w:val="auto"/>
        </w:rPr>
        <w:t>Using blanket contracts, customers are not contractually committed to specific volumes of services; however, Infrastructure Services expects to be chosen to perform work needed by a customer in a given time frame. These contracts are typically awarded on an annual or multi-year basis. For blanket work, backlog represents an estimate of the amount of revenue that Infrastructure Services expects to realize from work to be performed in the next twelve months on existing contracts or contracts management expects to be renewed or awarded.</w:t>
      </w:r>
    </w:p>
    <w:p>
      <w:pPr>
        <w:spacing w:after="0" w:line="125" w:lineRule="exact"/>
        <w:rPr>
          <w:rFonts w:ascii="Arial" w:cs="Arial" w:eastAsia="Arial" w:hAnsi="Arial"/>
          <w:sz w:val="13"/>
          <w:szCs w:val="13"/>
          <w:color w:val="auto"/>
        </w:rPr>
      </w:pPr>
    </w:p>
    <w:p>
      <w:pPr>
        <w:ind w:left="520" w:hanging="255"/>
        <w:spacing w:after="0"/>
        <w:tabs>
          <w:tab w:leader="none" w:pos="520" w:val="left"/>
        </w:tabs>
        <w:numPr>
          <w:ilvl w:val="0"/>
          <w:numId w:val="84"/>
        </w:numPr>
        <w:rPr>
          <w:rFonts w:ascii="Arial" w:cs="Arial" w:eastAsia="Arial" w:hAnsi="Arial"/>
          <w:sz w:val="14"/>
          <w:szCs w:val="14"/>
          <w:color w:val="auto"/>
        </w:rPr>
      </w:pPr>
      <w:r>
        <w:rPr>
          <w:rFonts w:ascii="Arial" w:cs="Arial" w:eastAsia="Arial" w:hAnsi="Arial"/>
          <w:sz w:val="14"/>
          <w:szCs w:val="14"/>
          <w:color w:val="auto"/>
        </w:rPr>
        <w:t>Using bid contracts, customers are contractually committed to a specific service to be performed for a specific price, whether in total for a project or on a per unit basis.</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Three months ended September 30, 2019</w:t>
      </w:r>
    </w:p>
    <w:p>
      <w:pPr>
        <w:spacing w:after="0" w:line="184" w:lineRule="exact"/>
        <w:rPr>
          <w:sz w:val="20"/>
          <w:szCs w:val="20"/>
          <w:color w:val="auto"/>
        </w:rPr>
      </w:pPr>
    </w:p>
    <w:p>
      <w:pPr>
        <w:jc w:val="both"/>
        <w:ind w:firstLine="259"/>
        <w:spacing w:after="0" w:line="302" w:lineRule="auto"/>
        <w:rPr>
          <w:sz w:val="20"/>
          <w:szCs w:val="20"/>
          <w:color w:val="auto"/>
        </w:rPr>
      </w:pPr>
      <w:r>
        <w:rPr>
          <w:rFonts w:ascii="Arial" w:cs="Arial" w:eastAsia="Arial" w:hAnsi="Arial"/>
          <w:sz w:val="13"/>
          <w:szCs w:val="13"/>
          <w:color w:val="auto"/>
        </w:rPr>
        <w:t>The Infrastructure Services reportable segment reported operating income of $42 million for the three months ended September 30, 2019, which includes $6 million of Merger-related amortization of intangibles for construction backlog recorded in non-utility cost of revenues, including natural gas, and $3 million of Merger-related intangibles amortization recorded in depreciation and amortization. These results are not comparable to the prior year as this reportable segment was acquired in the Merger as discussed in Note 3 to the Interim Condensed Financial Statements.</w:t>
      </w:r>
    </w:p>
    <w:p>
      <w:pPr>
        <w:spacing w:after="0" w:line="12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Nine months ended September 30, 2019</w:t>
      </w:r>
    </w:p>
    <w:p>
      <w:pPr>
        <w:spacing w:after="0" w:line="184" w:lineRule="exact"/>
        <w:rPr>
          <w:sz w:val="20"/>
          <w:szCs w:val="20"/>
          <w:color w:val="auto"/>
        </w:rPr>
      </w:pPr>
    </w:p>
    <w:p>
      <w:pPr>
        <w:jc w:val="both"/>
        <w:ind w:firstLine="259"/>
        <w:spacing w:after="0" w:line="267" w:lineRule="auto"/>
        <w:rPr>
          <w:sz w:val="20"/>
          <w:szCs w:val="20"/>
          <w:color w:val="auto"/>
        </w:rPr>
      </w:pPr>
      <w:r>
        <w:rPr>
          <w:rFonts w:ascii="Arial" w:cs="Arial" w:eastAsia="Arial" w:hAnsi="Arial"/>
          <w:sz w:val="14"/>
          <w:szCs w:val="14"/>
          <w:color w:val="auto"/>
        </w:rPr>
        <w:t>The Infrastructure Services reportable segment reported operating income of $50 million for the nine months ended September 30, 2019, which includes $13 million for Merger-related severance and incentive compensation costs, $15 million of Merger-related amortization of intangibles for construction backlog recorded in non-utility cost of revenues, including natural gas, and $10 million of Merger-related intangibles amortization recorded in depreciation and amortization. These results are not comparable to the prior year as this reportable segment was acquired in the Merger as discussed in Note 3 to the Interim Condensed Financial Statements.</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Midstream Investments (CenterPoint Energy)</w:t>
      </w:r>
    </w:p>
    <w:p>
      <w:pPr>
        <w:spacing w:after="0" w:line="188" w:lineRule="exact"/>
        <w:rPr>
          <w:sz w:val="20"/>
          <w:szCs w:val="20"/>
          <w:color w:val="auto"/>
        </w:rPr>
      </w:pPr>
    </w:p>
    <w:p>
      <w:pPr>
        <w:jc w:val="both"/>
        <w:ind w:firstLine="259"/>
        <w:spacing w:after="0" w:line="272" w:lineRule="auto"/>
        <w:rPr>
          <w:sz w:val="20"/>
          <w:szCs w:val="20"/>
          <w:color w:val="auto"/>
        </w:rPr>
      </w:pPr>
      <w:r>
        <w:rPr>
          <w:rFonts w:ascii="Arial" w:cs="Arial" w:eastAsia="Arial" w:hAnsi="Arial"/>
          <w:sz w:val="14"/>
          <w:szCs w:val="14"/>
          <w:color w:val="auto"/>
        </w:rPr>
        <w:t>For information regarding factors that may affect the future results of operations of the Midstream Investments reportable segment, please read “Risk Factors — Risk Factors Affecting CenterPoint Energy’s Interests in Enable Midstream Partners, LP” and “— Other Risk Factors Affecting Our Businesses or CenterPoint Energy’s Interests in Enable Midstream Partners, LP” in Item 1A of Part I of the Registrants’ combined 2018 Form 10-K and in Item 1A of Part II of this Form 10-Q.</w:t>
      </w:r>
    </w:p>
    <w:p>
      <w:pPr>
        <w:spacing w:after="0" w:line="142"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following table provides pre-tax equity income of the Midstream Investments reportable segment:</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5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940" w:type="dxa"/>
            <w:vAlign w:val="bottom"/>
            <w:gridSpan w:val="4"/>
          </w:tcPr>
          <w:p>
            <w:pPr>
              <w:ind w:left="380"/>
              <w:spacing w:after="0"/>
              <w:rPr>
                <w:sz w:val="20"/>
                <w:szCs w:val="20"/>
                <w:color w:val="auto"/>
              </w:rPr>
            </w:pPr>
            <w:r>
              <w:rPr>
                <w:rFonts w:ascii="Arial" w:cs="Arial" w:eastAsia="Arial" w:hAnsi="Arial"/>
                <w:sz w:val="11"/>
                <w:szCs w:val="11"/>
                <w:b w:val="1"/>
                <w:bCs w:val="1"/>
                <w:color w:val="auto"/>
              </w:rPr>
              <w:t>Three Months Ended September 30,</w:t>
            </w:r>
          </w:p>
        </w:tc>
        <w:tc>
          <w:tcPr>
            <w:tcW w:w="420" w:type="dxa"/>
            <w:vAlign w:val="bottom"/>
          </w:tcPr>
          <w:p>
            <w:pPr>
              <w:spacing w:after="0"/>
              <w:rPr>
                <w:sz w:val="13"/>
                <w:szCs w:val="13"/>
                <w:color w:val="auto"/>
              </w:rPr>
            </w:pPr>
          </w:p>
        </w:tc>
        <w:tc>
          <w:tcPr>
            <w:tcW w:w="2640" w:type="dxa"/>
            <w:vAlign w:val="bottom"/>
            <w:gridSpan w:val="3"/>
          </w:tcPr>
          <w:p>
            <w:pPr>
              <w:jc w:val="right"/>
              <w:ind w:right="595"/>
              <w:spacing w:after="0"/>
              <w:rPr>
                <w:sz w:val="20"/>
                <w:szCs w:val="20"/>
                <w:color w:val="auto"/>
              </w:rPr>
            </w:pPr>
            <w:r>
              <w:rPr>
                <w:rFonts w:ascii="Arial" w:cs="Arial" w:eastAsia="Arial" w:hAnsi="Arial"/>
                <w:sz w:val="11"/>
                <w:szCs w:val="11"/>
                <w:b w:val="1"/>
                <w:bCs w:val="1"/>
                <w:color w:val="auto"/>
              </w:rPr>
              <w:t>Nine Months Ended September 30,</w:t>
            </w:r>
          </w:p>
        </w:tc>
      </w:tr>
      <w:tr>
        <w:trPr>
          <w:trHeight w:val="206"/>
        </w:trPr>
        <w:tc>
          <w:tcPr>
            <w:tcW w:w="5160" w:type="dxa"/>
            <w:vAlign w:val="bottom"/>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575"/>
              <w:spacing w:after="0"/>
              <w:rPr>
                <w:sz w:val="20"/>
                <w:szCs w:val="20"/>
                <w:color w:val="auto"/>
              </w:rPr>
            </w:pPr>
            <w:r>
              <w:rPr>
                <w:rFonts w:ascii="Arial" w:cs="Arial" w:eastAsia="Arial" w:hAnsi="Arial"/>
                <w:sz w:val="11"/>
                <w:szCs w:val="11"/>
                <w:b w:val="1"/>
                <w:bCs w:val="1"/>
                <w:color w:val="auto"/>
              </w:rPr>
              <w:t>2019</w:t>
            </w:r>
          </w:p>
        </w:tc>
        <w:tc>
          <w:tcPr>
            <w:tcW w:w="46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578"/>
              <w:spacing w:after="0"/>
              <w:rPr>
                <w:sz w:val="20"/>
                <w:szCs w:val="20"/>
                <w:color w:val="auto"/>
              </w:rPr>
            </w:pPr>
            <w:r>
              <w:rPr>
                <w:rFonts w:ascii="Arial" w:cs="Arial" w:eastAsia="Arial" w:hAnsi="Arial"/>
                <w:sz w:val="11"/>
                <w:szCs w:val="11"/>
                <w:b w:val="1"/>
                <w:bCs w:val="1"/>
                <w:color w:val="auto"/>
              </w:rPr>
              <w:t>2018</w:t>
            </w:r>
          </w:p>
        </w:tc>
        <w:tc>
          <w:tcPr>
            <w:tcW w:w="120" w:type="dxa"/>
            <w:vAlign w:val="bottom"/>
            <w:tcBorders>
              <w:bottom w:val="single" w:sz="8" w:color="auto"/>
            </w:tcBorders>
          </w:tcPr>
          <w:p>
            <w:pPr>
              <w:spacing w:after="0"/>
              <w:rPr>
                <w:sz w:val="17"/>
                <w:szCs w:val="17"/>
                <w:color w:val="auto"/>
              </w:rPr>
            </w:pPr>
          </w:p>
        </w:tc>
        <w:tc>
          <w:tcPr>
            <w:tcW w:w="42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578"/>
              <w:spacing w:after="0"/>
              <w:rPr>
                <w:sz w:val="20"/>
                <w:szCs w:val="20"/>
                <w:color w:val="auto"/>
              </w:rPr>
            </w:pPr>
            <w:r>
              <w:rPr>
                <w:rFonts w:ascii="Arial" w:cs="Arial" w:eastAsia="Arial" w:hAnsi="Arial"/>
                <w:sz w:val="11"/>
                <w:szCs w:val="11"/>
                <w:b w:val="1"/>
                <w:bCs w:val="1"/>
                <w:color w:val="auto"/>
              </w:rPr>
              <w:t>2019</w:t>
            </w:r>
          </w:p>
        </w:tc>
        <w:tc>
          <w:tcPr>
            <w:tcW w:w="46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555"/>
              <w:spacing w:after="0"/>
              <w:rPr>
                <w:sz w:val="20"/>
                <w:szCs w:val="20"/>
                <w:color w:val="auto"/>
              </w:rPr>
            </w:pPr>
            <w:r>
              <w:rPr>
                <w:rFonts w:ascii="Arial" w:cs="Arial" w:eastAsia="Arial" w:hAnsi="Arial"/>
                <w:sz w:val="11"/>
                <w:szCs w:val="11"/>
                <w:b w:val="1"/>
                <w:bCs w:val="1"/>
                <w:color w:val="auto"/>
              </w:rPr>
              <w:t>2018</w:t>
            </w:r>
          </w:p>
        </w:tc>
      </w:tr>
      <w:tr>
        <w:trPr>
          <w:trHeight w:val="196"/>
        </w:trPr>
        <w:tc>
          <w:tcPr>
            <w:tcW w:w="5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80" w:type="dxa"/>
            <w:vAlign w:val="bottom"/>
            <w:gridSpan w:val="3"/>
          </w:tcPr>
          <w:p>
            <w:pPr>
              <w:ind w:left="900"/>
              <w:spacing w:after="0"/>
              <w:rPr>
                <w:sz w:val="20"/>
                <w:szCs w:val="20"/>
                <w:color w:val="auto"/>
              </w:rPr>
            </w:pPr>
            <w:r>
              <w:rPr>
                <w:rFonts w:ascii="Arial" w:cs="Arial" w:eastAsia="Arial" w:hAnsi="Arial"/>
                <w:sz w:val="11"/>
                <w:szCs w:val="11"/>
                <w:b w:val="1"/>
                <w:bCs w:val="1"/>
                <w:color w:val="auto"/>
              </w:rPr>
              <w:t>(in millions)</w:t>
            </w:r>
          </w:p>
        </w:tc>
        <w:tc>
          <w:tcPr>
            <w:tcW w:w="10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0"/>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Equity in earnings from Enable, net</w:t>
            </w:r>
          </w:p>
        </w:tc>
        <w:tc>
          <w:tcPr>
            <w:tcW w:w="30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4"/>
                <w:szCs w:val="14"/>
                <w:color w:val="auto"/>
              </w:rPr>
              <w:t>77</w:t>
            </w:r>
          </w:p>
        </w:tc>
        <w:tc>
          <w:tcPr>
            <w:tcW w:w="460" w:type="dxa"/>
            <w:vAlign w:val="bottom"/>
            <w:tcBorders>
              <w:bottom w:val="single" w:sz="8" w:color="CCEEFF"/>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CCEEFF"/>
            </w:tcBorders>
            <w:shd w:val="clear" w:color="auto" w:fill="CCEEFF"/>
          </w:tcPr>
          <w:p>
            <w:pPr>
              <w:ind w:left="880"/>
              <w:spacing w:after="0"/>
              <w:rPr>
                <w:sz w:val="20"/>
                <w:szCs w:val="20"/>
                <w:color w:val="auto"/>
              </w:rPr>
            </w:pPr>
            <w:r>
              <w:rPr>
                <w:rFonts w:ascii="Arial" w:cs="Arial" w:eastAsia="Arial" w:hAnsi="Arial"/>
                <w:sz w:val="14"/>
                <w:szCs w:val="14"/>
                <w:color w:val="auto"/>
              </w:rPr>
              <w:t>81</w:t>
            </w:r>
          </w:p>
        </w:tc>
        <w:tc>
          <w:tcPr>
            <w:tcW w:w="12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4"/>
                <w:szCs w:val="14"/>
                <w:color w:val="auto"/>
              </w:rPr>
              <w:t>213</w:t>
            </w:r>
          </w:p>
        </w:tc>
        <w:tc>
          <w:tcPr>
            <w:tcW w:w="460" w:type="dxa"/>
            <w:vAlign w:val="bottom"/>
            <w:tcBorders>
              <w:bottom w:val="single" w:sz="8" w:color="CCEEFF"/>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4"/>
                <w:szCs w:val="14"/>
                <w:color w:val="auto"/>
              </w:rPr>
              <w:t>208</w:t>
            </w:r>
          </w:p>
        </w:tc>
      </w:tr>
      <w:tr>
        <w:trPr>
          <w:trHeight w:val="538"/>
        </w:trPr>
        <w:tc>
          <w:tcPr>
            <w:tcW w:w="5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jc w:val="right"/>
              <w:ind w:right="815"/>
              <w:spacing w:after="0"/>
              <w:rPr>
                <w:sz w:val="20"/>
                <w:szCs w:val="20"/>
                <w:color w:val="auto"/>
              </w:rPr>
            </w:pPr>
            <w:r>
              <w:rPr>
                <w:rFonts w:ascii="Arial" w:cs="Arial" w:eastAsia="Arial" w:hAnsi="Arial"/>
                <w:sz w:val="14"/>
                <w:szCs w:val="14"/>
                <w:color w:val="auto"/>
              </w:rPr>
              <w:t>80</w:t>
            </w:r>
          </w:p>
        </w:tc>
        <w:tc>
          <w:tcPr>
            <w:tcW w:w="4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00" w:type="dxa"/>
            <w:vAlign w:val="bottom"/>
          </w:tcPr>
          <w:p>
            <w:pPr>
              <w:spacing w:after="0"/>
              <w:rPr>
                <w:sz w:val="24"/>
                <w:szCs w:val="24"/>
                <w:color w:val="auto"/>
              </w:rPr>
            </w:pPr>
          </w:p>
        </w:tc>
      </w:tr>
    </w:tbl>
    <w:p>
      <w:pPr>
        <w:sectPr>
          <w:pgSz w:w="11900" w:h="16838" w:orient="portrait"/>
          <w:cols w:equalWidth="0" w:num="1">
            <w:col w:w="11460"/>
          </w:cols>
          <w:pgMar w:left="220" w:top="129" w:right="219" w:bottom="1440" w:gutter="0" w:footer="0" w:header="0"/>
        </w:sectPr>
      </w:pPr>
    </w:p>
    <w:bookmarkStart w:id="90" w:name="page91"/>
    <w:bookmarkEnd w:id="90"/>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Corporate and Other (CenterPoint Energy)</w:t>
      </w:r>
    </w:p>
    <w:p>
      <w:pPr>
        <w:spacing w:after="0" w:line="188"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following table shows the operating income (loss) of CenterPoint Energy’s Corporate and Other reportable segment:</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5160" w:type="dxa"/>
            <w:vAlign w:val="bottom"/>
          </w:tcPr>
          <w:p>
            <w:pPr>
              <w:spacing w:after="0"/>
              <w:rPr>
                <w:sz w:val="13"/>
                <w:szCs w:val="13"/>
                <w:color w:val="auto"/>
              </w:rPr>
            </w:pPr>
          </w:p>
        </w:tc>
        <w:tc>
          <w:tcPr>
            <w:tcW w:w="2660" w:type="dxa"/>
            <w:vAlign w:val="bottom"/>
            <w:tcBorders>
              <w:bottom w:val="single" w:sz="8" w:color="auto"/>
            </w:tcBorders>
            <w:gridSpan w:val="4"/>
          </w:tcPr>
          <w:p>
            <w:pPr>
              <w:jc w:val="right"/>
              <w:ind w:right="133"/>
              <w:spacing w:after="0"/>
              <w:rPr>
                <w:sz w:val="20"/>
                <w:szCs w:val="20"/>
                <w:color w:val="auto"/>
              </w:rPr>
            </w:pPr>
            <w:r>
              <w:rPr>
                <w:rFonts w:ascii="Arial" w:cs="Arial" w:eastAsia="Arial" w:hAnsi="Arial"/>
                <w:sz w:val="11"/>
                <w:szCs w:val="11"/>
                <w:b w:val="1"/>
                <w:bCs w:val="1"/>
                <w:color w:val="auto"/>
              </w:rPr>
              <w:t>Three Months Ended September 30,</w:t>
            </w:r>
          </w:p>
        </w:tc>
        <w:tc>
          <w:tcPr>
            <w:tcW w:w="4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2640" w:type="dxa"/>
            <w:vAlign w:val="bottom"/>
            <w:tcBorders>
              <w:bottom w:val="single" w:sz="8" w:color="auto"/>
            </w:tcBorders>
            <w:gridSpan w:val="4"/>
          </w:tcPr>
          <w:p>
            <w:pPr>
              <w:jc w:val="right"/>
              <w:ind w:right="590"/>
              <w:spacing w:after="0"/>
              <w:rPr>
                <w:sz w:val="20"/>
                <w:szCs w:val="20"/>
                <w:color w:val="auto"/>
              </w:rPr>
            </w:pPr>
            <w:r>
              <w:rPr>
                <w:rFonts w:ascii="Arial" w:cs="Arial" w:eastAsia="Arial" w:hAnsi="Arial"/>
                <w:sz w:val="11"/>
                <w:szCs w:val="11"/>
                <w:b w:val="1"/>
                <w:bCs w:val="1"/>
                <w:color w:val="auto"/>
              </w:rPr>
              <w:t>Nine Months Ended September 30,</w:t>
            </w:r>
          </w:p>
        </w:tc>
      </w:tr>
      <w:tr>
        <w:trPr>
          <w:trHeight w:val="206"/>
        </w:trPr>
        <w:tc>
          <w:tcPr>
            <w:tcW w:w="5160" w:type="dxa"/>
            <w:vAlign w:val="bottom"/>
          </w:tcPr>
          <w:p>
            <w:pPr>
              <w:spacing w:after="0"/>
              <w:rPr>
                <w:sz w:val="17"/>
                <w:szCs w:val="17"/>
                <w:color w:val="auto"/>
              </w:rPr>
            </w:pPr>
          </w:p>
        </w:tc>
        <w:tc>
          <w:tcPr>
            <w:tcW w:w="1060" w:type="dxa"/>
            <w:vAlign w:val="bottom"/>
            <w:tcBorders>
              <w:bottom w:val="single" w:sz="8" w:color="auto"/>
            </w:tcBorders>
          </w:tcPr>
          <w:p>
            <w:pPr>
              <w:jc w:val="right"/>
              <w:ind w:right="115"/>
              <w:spacing w:after="0"/>
              <w:rPr>
                <w:sz w:val="20"/>
                <w:szCs w:val="20"/>
                <w:color w:val="auto"/>
              </w:rPr>
            </w:pPr>
            <w:r>
              <w:rPr>
                <w:rFonts w:ascii="Arial" w:cs="Arial" w:eastAsia="Arial" w:hAnsi="Arial"/>
                <w:sz w:val="11"/>
                <w:szCs w:val="11"/>
                <w:b w:val="1"/>
                <w:bCs w:val="1"/>
                <w:color w:val="auto"/>
              </w:rPr>
              <w:t>2019</w:t>
            </w:r>
          </w:p>
        </w:tc>
        <w:tc>
          <w:tcPr>
            <w:tcW w:w="4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13"/>
              <w:spacing w:after="0"/>
              <w:rPr>
                <w:sz w:val="20"/>
                <w:szCs w:val="20"/>
                <w:color w:val="auto"/>
              </w:rPr>
            </w:pPr>
            <w:r>
              <w:rPr>
                <w:rFonts w:ascii="Arial" w:cs="Arial" w:eastAsia="Arial" w:hAnsi="Arial"/>
                <w:sz w:val="11"/>
                <w:szCs w:val="11"/>
                <w:b w:val="1"/>
                <w:bCs w:val="1"/>
                <w:color w:val="auto"/>
              </w:rPr>
              <w:t>2018</w:t>
            </w:r>
          </w:p>
        </w:tc>
        <w:tc>
          <w:tcPr>
            <w:tcW w:w="4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551"/>
              <w:spacing w:after="0"/>
              <w:rPr>
                <w:sz w:val="20"/>
                <w:szCs w:val="20"/>
                <w:color w:val="auto"/>
              </w:rPr>
            </w:pPr>
            <w:r>
              <w:rPr>
                <w:rFonts w:ascii="Arial" w:cs="Arial" w:eastAsia="Arial" w:hAnsi="Arial"/>
                <w:sz w:val="11"/>
                <w:szCs w:val="11"/>
                <w:b w:val="1"/>
                <w:bCs w:val="1"/>
                <w:color w:val="auto"/>
              </w:rPr>
              <w:t>2019</w:t>
            </w:r>
          </w:p>
        </w:tc>
        <w:tc>
          <w:tcPr>
            <w:tcW w:w="1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550"/>
              <w:spacing w:after="0"/>
              <w:rPr>
                <w:sz w:val="20"/>
                <w:szCs w:val="20"/>
                <w:color w:val="auto"/>
              </w:rPr>
            </w:pPr>
            <w:r>
              <w:rPr>
                <w:rFonts w:ascii="Arial" w:cs="Arial" w:eastAsia="Arial" w:hAnsi="Arial"/>
                <w:sz w:val="11"/>
                <w:szCs w:val="11"/>
                <w:b w:val="1"/>
                <w:bCs w:val="1"/>
                <w:color w:val="auto"/>
              </w:rPr>
              <w:t>2018</w:t>
            </w:r>
          </w:p>
        </w:tc>
      </w:tr>
      <w:tr>
        <w:trPr>
          <w:trHeight w:val="196"/>
        </w:trPr>
        <w:tc>
          <w:tcPr>
            <w:tcW w:w="5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0" w:type="dxa"/>
            <w:vAlign w:val="bottom"/>
            <w:gridSpan w:val="3"/>
          </w:tcPr>
          <w:p>
            <w:pPr>
              <w:jc w:val="right"/>
              <w:ind w:right="128"/>
              <w:spacing w:after="0"/>
              <w:rPr>
                <w:sz w:val="20"/>
                <w:szCs w:val="20"/>
                <w:color w:val="auto"/>
              </w:rPr>
            </w:pPr>
            <w:r>
              <w:rPr>
                <w:rFonts w:ascii="Arial" w:cs="Arial" w:eastAsia="Arial" w:hAnsi="Arial"/>
                <w:sz w:val="11"/>
                <w:szCs w:val="11"/>
                <w:b w:val="1"/>
                <w:bCs w:val="1"/>
                <w:color w:val="auto"/>
              </w:rPr>
              <w:t>(in millions)</w:t>
            </w: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0"/>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Revenues</w:t>
            </w:r>
          </w:p>
        </w:tc>
        <w:tc>
          <w:tcPr>
            <w:tcW w:w="1060" w:type="dxa"/>
            <w:vAlign w:val="bottom"/>
            <w:tcBorders>
              <w:bottom w:val="single" w:sz="8" w:color="CCEEFF"/>
            </w:tcBorders>
            <w:shd w:val="clear" w:color="auto" w:fill="CCEEFF"/>
          </w:tcPr>
          <w:p>
            <w:pPr>
              <w:jc w:val="right"/>
              <w:ind w:right="895"/>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93</w:t>
            </w:r>
          </w:p>
        </w:tc>
        <w:tc>
          <w:tcPr>
            <w:tcW w:w="1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ind w:right="873"/>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3</w:t>
            </w:r>
          </w:p>
        </w:tc>
        <w:tc>
          <w:tcPr>
            <w:tcW w:w="12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215</w:t>
            </w:r>
          </w:p>
        </w:tc>
        <w:tc>
          <w:tcPr>
            <w:tcW w:w="1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jc w:val="right"/>
              <w:ind w:right="208"/>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11</w:t>
            </w:r>
          </w:p>
        </w:tc>
      </w:tr>
      <w:tr>
        <w:trPr>
          <w:trHeight w:val="193"/>
        </w:trPr>
        <w:tc>
          <w:tcPr>
            <w:tcW w:w="5160" w:type="dxa"/>
            <w:vAlign w:val="bottom"/>
          </w:tcPr>
          <w:p>
            <w:pPr>
              <w:ind w:left="20"/>
              <w:spacing w:after="0"/>
              <w:rPr>
                <w:sz w:val="20"/>
                <w:szCs w:val="20"/>
                <w:color w:val="auto"/>
              </w:rPr>
            </w:pPr>
            <w:r>
              <w:rPr>
                <w:rFonts w:ascii="Arial" w:cs="Arial" w:eastAsia="Arial" w:hAnsi="Arial"/>
                <w:sz w:val="14"/>
                <w:szCs w:val="14"/>
                <w:color w:val="auto"/>
              </w:rPr>
              <w:t>Expenses:</w:t>
            </w:r>
          </w:p>
        </w:tc>
        <w:tc>
          <w:tcPr>
            <w:tcW w:w="10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3"/>
        </w:trPr>
        <w:tc>
          <w:tcPr>
            <w:tcW w:w="5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96"/>
        </w:trPr>
        <w:tc>
          <w:tcPr>
            <w:tcW w:w="51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Non-utility cost of revenues, including natural gas</w:t>
            </w:r>
          </w:p>
        </w:tc>
        <w:tc>
          <w:tcPr>
            <w:tcW w:w="106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68</w:t>
            </w:r>
          </w:p>
        </w:tc>
        <w:tc>
          <w:tcPr>
            <w:tcW w:w="1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158</w:t>
            </w:r>
          </w:p>
        </w:tc>
        <w:tc>
          <w:tcPr>
            <w:tcW w:w="1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r>
      <w:tr>
        <w:trPr>
          <w:trHeight w:val="193"/>
        </w:trPr>
        <w:tc>
          <w:tcPr>
            <w:tcW w:w="5160" w:type="dxa"/>
            <w:vAlign w:val="bottom"/>
          </w:tcPr>
          <w:p>
            <w:pPr>
              <w:ind w:left="140"/>
              <w:spacing w:after="0"/>
              <w:rPr>
                <w:sz w:val="20"/>
                <w:szCs w:val="20"/>
                <w:color w:val="auto"/>
              </w:rPr>
            </w:pPr>
            <w:r>
              <w:rPr>
                <w:rFonts w:ascii="Arial" w:cs="Arial" w:eastAsia="Arial" w:hAnsi="Arial"/>
                <w:sz w:val="14"/>
                <w:szCs w:val="14"/>
                <w:color w:val="auto"/>
              </w:rPr>
              <w:t>Operation and maintenance</w:t>
            </w:r>
          </w:p>
        </w:tc>
        <w:tc>
          <w:tcPr>
            <w:tcW w:w="1060" w:type="dxa"/>
            <w:vAlign w:val="bottom"/>
          </w:tcPr>
          <w:p>
            <w:pPr>
              <w:spacing w:after="0"/>
              <w:rPr>
                <w:sz w:val="16"/>
                <w:szCs w:val="16"/>
                <w:color w:val="auto"/>
              </w:rPr>
            </w:pPr>
          </w:p>
        </w:tc>
        <w:tc>
          <w:tcPr>
            <w:tcW w:w="440" w:type="dxa"/>
            <w:vAlign w:val="bottom"/>
          </w:tcPr>
          <w:p>
            <w:pPr>
              <w:jc w:val="right"/>
              <w:ind w:right="4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(13)</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60" w:type="dxa"/>
            <w:vAlign w:val="bottom"/>
          </w:tcPr>
          <w:p>
            <w:pPr>
              <w:jc w:val="right"/>
              <w:ind w:right="31"/>
              <w:spacing w:after="0"/>
              <w:rPr>
                <w:sz w:val="20"/>
                <w:szCs w:val="20"/>
                <w:color w:val="auto"/>
              </w:rPr>
            </w:pPr>
            <w:r>
              <w:rPr>
                <w:rFonts w:ascii="Arial" w:cs="Arial" w:eastAsia="Arial" w:hAnsi="Arial"/>
                <w:sz w:val="14"/>
                <w:szCs w:val="14"/>
                <w:color w:val="auto"/>
              </w:rPr>
              <w:t>25</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(14)</w:t>
            </w:r>
          </w:p>
        </w:tc>
      </w:tr>
      <w:tr>
        <w:trPr>
          <w:trHeight w:val="23"/>
        </w:trPr>
        <w:tc>
          <w:tcPr>
            <w:tcW w:w="5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96"/>
        </w:trPr>
        <w:tc>
          <w:tcPr>
            <w:tcW w:w="51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Depreciation and amortization</w:t>
            </w:r>
          </w:p>
        </w:tc>
        <w:tc>
          <w:tcPr>
            <w:tcW w:w="106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16</w:t>
            </w:r>
          </w:p>
        </w:tc>
        <w:tc>
          <w:tcPr>
            <w:tcW w:w="1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9</w:t>
            </w:r>
          </w:p>
        </w:tc>
        <w:tc>
          <w:tcPr>
            <w:tcW w:w="12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44</w:t>
            </w:r>
          </w:p>
        </w:tc>
        <w:tc>
          <w:tcPr>
            <w:tcW w:w="1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24</w:t>
            </w:r>
          </w:p>
        </w:tc>
      </w:tr>
      <w:tr>
        <w:trPr>
          <w:trHeight w:val="193"/>
        </w:trPr>
        <w:tc>
          <w:tcPr>
            <w:tcW w:w="5160" w:type="dxa"/>
            <w:vAlign w:val="bottom"/>
          </w:tcPr>
          <w:p>
            <w:pPr>
              <w:ind w:left="140"/>
              <w:spacing w:after="0"/>
              <w:rPr>
                <w:sz w:val="20"/>
                <w:szCs w:val="20"/>
                <w:color w:val="auto"/>
              </w:rPr>
            </w:pPr>
            <w:r>
              <w:rPr>
                <w:rFonts w:ascii="Arial" w:cs="Arial" w:eastAsia="Arial" w:hAnsi="Arial"/>
                <w:sz w:val="14"/>
                <w:szCs w:val="14"/>
                <w:color w:val="auto"/>
              </w:rPr>
              <w:t>Taxes other than income taxes</w:t>
            </w:r>
          </w:p>
        </w:tc>
        <w:tc>
          <w:tcPr>
            <w:tcW w:w="1060" w:type="dxa"/>
            <w:vAlign w:val="bottom"/>
          </w:tcPr>
          <w:p>
            <w:pPr>
              <w:spacing w:after="0"/>
              <w:rPr>
                <w:sz w:val="16"/>
                <w:szCs w:val="16"/>
                <w:color w:val="auto"/>
              </w:rPr>
            </w:pPr>
          </w:p>
        </w:tc>
        <w:tc>
          <w:tcPr>
            <w:tcW w:w="440" w:type="dxa"/>
            <w:vAlign w:val="bottom"/>
          </w:tcPr>
          <w:p>
            <w:pPr>
              <w:jc w:val="right"/>
              <w:ind w:right="4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60" w:type="dxa"/>
            <w:vAlign w:val="bottom"/>
          </w:tcPr>
          <w:p>
            <w:pPr>
              <w:jc w:val="right"/>
              <w:ind w:right="50"/>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60" w:type="dxa"/>
            <w:vAlign w:val="bottom"/>
          </w:tcPr>
          <w:p>
            <w:pPr>
              <w:jc w:val="right"/>
              <w:ind w:right="31"/>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jc w:val="right"/>
              <w:ind w:right="30"/>
              <w:spacing w:after="0"/>
              <w:rPr>
                <w:sz w:val="20"/>
                <w:szCs w:val="20"/>
                <w:color w:val="auto"/>
              </w:rPr>
            </w:pPr>
            <w:r>
              <w:rPr>
                <w:rFonts w:ascii="Arial" w:cs="Arial" w:eastAsia="Arial" w:hAnsi="Arial"/>
                <w:sz w:val="14"/>
                <w:szCs w:val="14"/>
                <w:color w:val="auto"/>
              </w:rPr>
              <w:t>6</w:t>
            </w:r>
          </w:p>
        </w:tc>
      </w:tr>
      <w:tr>
        <w:trPr>
          <w:trHeight w:val="23"/>
        </w:trPr>
        <w:tc>
          <w:tcPr>
            <w:tcW w:w="516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06"/>
        </w:trPr>
        <w:tc>
          <w:tcPr>
            <w:tcW w:w="51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4"/>
                <w:szCs w:val="14"/>
                <w:color w:val="auto"/>
              </w:rPr>
              <w:t>Total</w:t>
            </w:r>
          </w:p>
        </w:tc>
        <w:tc>
          <w:tcPr>
            <w:tcW w:w="106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89</w:t>
            </w:r>
          </w:p>
        </w:tc>
        <w:tc>
          <w:tcPr>
            <w:tcW w:w="1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2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232</w:t>
            </w:r>
          </w:p>
        </w:tc>
        <w:tc>
          <w:tcPr>
            <w:tcW w:w="1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16</w:t>
            </w:r>
          </w:p>
        </w:tc>
      </w:tr>
      <w:tr>
        <w:trPr>
          <w:trHeight w:val="200"/>
        </w:trPr>
        <w:tc>
          <w:tcPr>
            <w:tcW w:w="5160" w:type="dxa"/>
            <w:vAlign w:val="bottom"/>
          </w:tcPr>
          <w:p>
            <w:pPr>
              <w:ind w:left="20"/>
              <w:spacing w:after="0"/>
              <w:rPr>
                <w:sz w:val="20"/>
                <w:szCs w:val="20"/>
                <w:color w:val="auto"/>
              </w:rPr>
            </w:pPr>
            <w:r>
              <w:rPr>
                <w:rFonts w:ascii="Arial" w:cs="Arial" w:eastAsia="Arial" w:hAnsi="Arial"/>
                <w:sz w:val="14"/>
                <w:szCs w:val="14"/>
                <w:color w:val="auto"/>
              </w:rPr>
              <w:t>Operating Income (Loss)</w:t>
            </w:r>
          </w:p>
        </w:tc>
        <w:tc>
          <w:tcPr>
            <w:tcW w:w="1060" w:type="dxa"/>
            <w:vAlign w:val="bottom"/>
            <w:tcBorders>
              <w:top w:val="single" w:sz="8" w:color="auto"/>
              <w:bottom w:val="single" w:sz="8" w:color="auto"/>
            </w:tcBorders>
          </w:tcPr>
          <w:p>
            <w:pPr>
              <w:jc w:val="right"/>
              <w:ind w:right="895"/>
              <w:spacing w:after="0"/>
              <w:rPr>
                <w:sz w:val="20"/>
                <w:szCs w:val="20"/>
                <w:color w:val="auto"/>
              </w:rPr>
            </w:pPr>
            <w:r>
              <w:rPr>
                <w:rFonts w:ascii="Arial" w:cs="Arial" w:eastAsia="Arial" w:hAnsi="Arial"/>
                <w:sz w:val="14"/>
                <w:szCs w:val="14"/>
                <w:color w:val="auto"/>
              </w:rPr>
              <w:t>$</w:t>
            </w:r>
          </w:p>
        </w:tc>
        <w:tc>
          <w:tcPr>
            <w:tcW w:w="4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7"/>
                <w:szCs w:val="17"/>
                <w:color w:val="auto"/>
              </w:rPr>
            </w:pPr>
          </w:p>
        </w:tc>
        <w:tc>
          <w:tcPr>
            <w:tcW w:w="1040" w:type="dxa"/>
            <w:vAlign w:val="bottom"/>
            <w:tcBorders>
              <w:top w:val="single" w:sz="8" w:color="auto"/>
              <w:bottom w:val="single" w:sz="8" w:color="auto"/>
            </w:tcBorders>
          </w:tcPr>
          <w:p>
            <w:pPr>
              <w:jc w:val="right"/>
              <w:ind w:right="873"/>
              <w:spacing w:after="0"/>
              <w:rPr>
                <w:sz w:val="20"/>
                <w:szCs w:val="20"/>
                <w:color w:val="auto"/>
              </w:rPr>
            </w:pPr>
            <w:r>
              <w:rPr>
                <w:rFonts w:ascii="Arial" w:cs="Arial" w:eastAsia="Arial" w:hAnsi="Arial"/>
                <w:sz w:val="14"/>
                <w:szCs w:val="14"/>
                <w:color w:val="auto"/>
              </w:rPr>
              <w:t>$</w:t>
            </w:r>
          </w:p>
        </w:tc>
        <w:tc>
          <w:tcPr>
            <w:tcW w:w="4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17"/>
                <w:szCs w:val="17"/>
                <w:color w:val="auto"/>
              </w:rPr>
            </w:pPr>
          </w:p>
        </w:tc>
        <w:tc>
          <w:tcPr>
            <w:tcW w:w="420" w:type="dxa"/>
            <w:vAlign w:val="bottom"/>
            <w:tcBorders>
              <w:top w:val="single" w:sz="8" w:color="auto"/>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(17)</w:t>
            </w:r>
          </w:p>
        </w:tc>
        <w:tc>
          <w:tcPr>
            <w:tcW w:w="120" w:type="dxa"/>
            <w:vAlign w:val="bottom"/>
          </w:tcPr>
          <w:p>
            <w:pPr>
              <w:spacing w:after="0"/>
              <w:rPr>
                <w:sz w:val="17"/>
                <w:szCs w:val="17"/>
                <w:color w:val="auto"/>
              </w:rPr>
            </w:pPr>
          </w:p>
        </w:tc>
        <w:tc>
          <w:tcPr>
            <w:tcW w:w="360" w:type="dxa"/>
            <w:vAlign w:val="bottom"/>
            <w:tcBorders>
              <w:top w:val="single" w:sz="8" w:color="auto"/>
              <w:bottom w:val="single" w:sz="8" w:color="auto"/>
            </w:tcBorders>
          </w:tcPr>
          <w:p>
            <w:pPr>
              <w:jc w:val="right"/>
              <w:ind w:right="208"/>
              <w:spacing w:after="0"/>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w:t>
            </w:r>
          </w:p>
        </w:tc>
      </w:tr>
      <w:tr>
        <w:trPr>
          <w:trHeight w:val="20"/>
        </w:trPr>
        <w:tc>
          <w:tcPr>
            <w:tcW w:w="51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62" w:lineRule="exact"/>
        <w:rPr>
          <w:sz w:val="20"/>
          <w:szCs w:val="20"/>
          <w:color w:val="auto"/>
        </w:rPr>
      </w:pPr>
    </w:p>
    <w:p>
      <w:pPr>
        <w:ind w:left="40"/>
        <w:spacing w:after="0"/>
        <w:rPr>
          <w:sz w:val="20"/>
          <w:szCs w:val="20"/>
          <w:color w:val="auto"/>
        </w:rPr>
      </w:pPr>
      <w:r>
        <w:rPr>
          <w:rFonts w:ascii="Arial" w:cs="Arial" w:eastAsia="Arial" w:hAnsi="Arial"/>
          <w:sz w:val="14"/>
          <w:szCs w:val="14"/>
          <w:b w:val="1"/>
          <w:bCs w:val="1"/>
          <w:i w:val="1"/>
          <w:iCs w:val="1"/>
          <w:color w:val="auto"/>
        </w:rPr>
        <w:t>Three months ended September 30, 2019 compared to three months ended September 30, 2018</w:t>
      </w:r>
    </w:p>
    <w:p>
      <w:pPr>
        <w:spacing w:after="0" w:line="184" w:lineRule="exact"/>
        <w:rPr>
          <w:sz w:val="20"/>
          <w:szCs w:val="20"/>
          <w:color w:val="auto"/>
        </w:rPr>
      </w:pPr>
    </w:p>
    <w:p>
      <w:pPr>
        <w:jc w:val="both"/>
        <w:ind w:firstLine="259"/>
        <w:spacing w:after="0" w:line="288" w:lineRule="auto"/>
        <w:rPr>
          <w:sz w:val="20"/>
          <w:szCs w:val="20"/>
          <w:color w:val="auto"/>
        </w:rPr>
      </w:pPr>
      <w:r>
        <w:rPr>
          <w:rFonts w:ascii="Arial" w:cs="Arial" w:eastAsia="Arial" w:hAnsi="Arial"/>
          <w:sz w:val="14"/>
          <w:szCs w:val="14"/>
          <w:color w:val="auto"/>
        </w:rPr>
        <w:t>CenterPoint Energy’s Corporate and Other reportable segment reported operating income of $4 million for the three months ended September 30, 2019 compared to operating income of $5 million for the three months ended September 30, 2018.</w:t>
      </w:r>
    </w:p>
    <w:p>
      <w:pPr>
        <w:spacing w:after="0" w:line="131" w:lineRule="exact"/>
        <w:rPr>
          <w:sz w:val="20"/>
          <w:szCs w:val="20"/>
          <w:color w:val="auto"/>
        </w:rPr>
      </w:pPr>
    </w:p>
    <w:p>
      <w:pPr>
        <w:jc w:val="both"/>
        <w:ind w:firstLine="259"/>
        <w:spacing w:after="0" w:line="272" w:lineRule="auto"/>
        <w:rPr>
          <w:sz w:val="20"/>
          <w:szCs w:val="20"/>
          <w:color w:val="auto"/>
        </w:rPr>
      </w:pPr>
      <w:r>
        <w:rPr>
          <w:rFonts w:ascii="Arial" w:cs="Arial" w:eastAsia="Arial" w:hAnsi="Arial"/>
          <w:sz w:val="14"/>
          <w:szCs w:val="14"/>
          <w:color w:val="auto"/>
        </w:rPr>
        <w:t>The operating income decreased $1 million due to a $9 million increase in operation and maintenance expenses primarily for Merger-related transaction and integration costs, which was offset by $8 million in operating income associated with ESG, which was acquired in the Merger, including Merger-related amortization of intangibles for operation and maintenance agreements and construction backlog recorded in non-utility cost of revenues, including natural gas of $2 million.</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Nine months ended September 30, 2019 compared to nine months ended September 30, 2018</w:t>
      </w:r>
    </w:p>
    <w:p>
      <w:pPr>
        <w:spacing w:after="0" w:line="184" w:lineRule="exact"/>
        <w:rPr>
          <w:sz w:val="20"/>
          <w:szCs w:val="20"/>
          <w:color w:val="auto"/>
        </w:rPr>
      </w:pPr>
    </w:p>
    <w:p>
      <w:pPr>
        <w:jc w:val="both"/>
        <w:ind w:firstLine="259"/>
        <w:spacing w:after="0" w:line="288" w:lineRule="auto"/>
        <w:rPr>
          <w:sz w:val="20"/>
          <w:szCs w:val="20"/>
          <w:color w:val="auto"/>
        </w:rPr>
      </w:pPr>
      <w:r>
        <w:rPr>
          <w:rFonts w:ascii="Arial" w:cs="Arial" w:eastAsia="Arial" w:hAnsi="Arial"/>
          <w:sz w:val="14"/>
          <w:szCs w:val="14"/>
          <w:color w:val="auto"/>
        </w:rPr>
        <w:t>CenterPoint Energy’s Corporate and Other reportable segment reported an operating loss of $17 million for the nine months ended September 30, 2019 compared to an operating loss of $5 million for the nine months ended September 30, 2018.</w:t>
      </w:r>
    </w:p>
    <w:p>
      <w:pPr>
        <w:spacing w:after="0" w:line="131" w:lineRule="exact"/>
        <w:rPr>
          <w:sz w:val="20"/>
          <w:szCs w:val="20"/>
          <w:color w:val="auto"/>
        </w:rPr>
      </w:pPr>
    </w:p>
    <w:p>
      <w:pPr>
        <w:jc w:val="both"/>
        <w:ind w:firstLine="259"/>
        <w:spacing w:after="0" w:line="288" w:lineRule="auto"/>
        <w:rPr>
          <w:sz w:val="20"/>
          <w:szCs w:val="20"/>
          <w:color w:val="auto"/>
        </w:rPr>
      </w:pPr>
      <w:r>
        <w:rPr>
          <w:rFonts w:ascii="Arial" w:cs="Arial" w:eastAsia="Arial" w:hAnsi="Arial"/>
          <w:sz w:val="14"/>
          <w:szCs w:val="14"/>
          <w:color w:val="auto"/>
        </w:rPr>
        <w:t>The operating loss increased $12 million due to a $20 million increase in operation and maintenance expenses primarily for Merger-related transaction and integration costs, which was partially offset by:</w:t>
      </w:r>
    </w:p>
    <w:p>
      <w:pPr>
        <w:spacing w:after="0" w:line="131" w:lineRule="exact"/>
        <w:rPr>
          <w:sz w:val="20"/>
          <w:szCs w:val="20"/>
          <w:color w:val="auto"/>
        </w:rPr>
      </w:pPr>
    </w:p>
    <w:p>
      <w:pPr>
        <w:jc w:val="both"/>
        <w:ind w:left="520" w:hanging="255"/>
        <w:spacing w:after="0" w:line="267" w:lineRule="auto"/>
        <w:tabs>
          <w:tab w:leader="none" w:pos="520" w:val="left"/>
        </w:tabs>
        <w:numPr>
          <w:ilvl w:val="0"/>
          <w:numId w:val="85"/>
        </w:numPr>
        <w:rPr>
          <w:rFonts w:ascii="Arial" w:cs="Arial" w:eastAsia="Arial" w:hAnsi="Arial"/>
          <w:sz w:val="14"/>
          <w:szCs w:val="14"/>
          <w:color w:val="auto"/>
        </w:rPr>
      </w:pPr>
      <w:r>
        <w:rPr>
          <w:rFonts w:ascii="Arial" w:cs="Arial" w:eastAsia="Arial" w:hAnsi="Arial"/>
          <w:sz w:val="14"/>
          <w:szCs w:val="14"/>
          <w:color w:val="auto"/>
        </w:rPr>
        <w:t>a $5 million operating income associated with ESG, which was acquired in the Merger, for the period February 1, 2019 through September 30, 2019, including operation and maintenance expenses of $2 million for Merger-related severance and incentive compensation costs, Merger-related amortization of intangibles for operation and maintenance agreements and construction backlog recorded in non-utility cost of revenues, including natural gas of $4 million and Merger-related intangibles amortization recorded in depreciation and amortization of $1 million; and</w:t>
      </w:r>
    </w:p>
    <w:p>
      <w:pPr>
        <w:spacing w:after="0" w:line="145" w:lineRule="exact"/>
        <w:rPr>
          <w:rFonts w:ascii="Arial" w:cs="Arial" w:eastAsia="Arial" w:hAnsi="Arial"/>
          <w:sz w:val="14"/>
          <w:szCs w:val="14"/>
          <w:color w:val="auto"/>
        </w:rPr>
      </w:pPr>
    </w:p>
    <w:p>
      <w:pPr>
        <w:ind w:left="520" w:hanging="255"/>
        <w:spacing w:after="0"/>
        <w:tabs>
          <w:tab w:leader="none" w:pos="520" w:val="left"/>
        </w:tabs>
        <w:numPr>
          <w:ilvl w:val="0"/>
          <w:numId w:val="85"/>
        </w:numPr>
        <w:rPr>
          <w:rFonts w:ascii="Arial" w:cs="Arial" w:eastAsia="Arial" w:hAnsi="Arial"/>
          <w:sz w:val="14"/>
          <w:szCs w:val="14"/>
          <w:color w:val="auto"/>
        </w:rPr>
      </w:pPr>
      <w:r>
        <w:rPr>
          <w:rFonts w:ascii="Arial" w:cs="Arial" w:eastAsia="Arial" w:hAnsi="Arial"/>
          <w:sz w:val="14"/>
          <w:szCs w:val="14"/>
          <w:color w:val="auto"/>
        </w:rPr>
        <w:t>a $3 million property tax refund.</w:t>
      </w:r>
    </w:p>
    <w:p>
      <w:pPr>
        <w:spacing w:after="0" w:line="18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Corporate and Other (CERC)</w:t>
      </w:r>
    </w:p>
    <w:p>
      <w:pPr>
        <w:spacing w:after="0" w:line="188"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following table shows the operating income (loss) of CERC’s Corporate and Other reportable segment:</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5280" w:type="dxa"/>
            <w:vAlign w:val="bottom"/>
          </w:tcPr>
          <w:p>
            <w:pPr>
              <w:spacing w:after="0"/>
              <w:rPr>
                <w:sz w:val="13"/>
                <w:szCs w:val="13"/>
                <w:color w:val="auto"/>
              </w:rPr>
            </w:pPr>
          </w:p>
        </w:tc>
        <w:tc>
          <w:tcPr>
            <w:tcW w:w="2580" w:type="dxa"/>
            <w:vAlign w:val="bottom"/>
            <w:tcBorders>
              <w:bottom w:val="single" w:sz="8" w:color="auto"/>
            </w:tcBorders>
            <w:gridSpan w:val="4"/>
          </w:tcPr>
          <w:p>
            <w:pPr>
              <w:jc w:val="right"/>
              <w:ind w:right="113"/>
              <w:spacing w:after="0"/>
              <w:rPr>
                <w:sz w:val="20"/>
                <w:szCs w:val="20"/>
                <w:color w:val="auto"/>
              </w:rPr>
            </w:pPr>
            <w:r>
              <w:rPr>
                <w:rFonts w:ascii="Arial" w:cs="Arial" w:eastAsia="Arial" w:hAnsi="Arial"/>
                <w:sz w:val="11"/>
                <w:szCs w:val="11"/>
                <w:b w:val="1"/>
                <w:bCs w:val="1"/>
                <w:color w:val="auto"/>
              </w:rPr>
              <w:t>Three Months Ended September 30,</w:t>
            </w:r>
          </w:p>
        </w:tc>
        <w:tc>
          <w:tcPr>
            <w:tcW w:w="4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2600" w:type="dxa"/>
            <w:vAlign w:val="bottom"/>
            <w:tcBorders>
              <w:bottom w:val="single" w:sz="8" w:color="auto"/>
            </w:tcBorders>
            <w:gridSpan w:val="4"/>
          </w:tcPr>
          <w:p>
            <w:pPr>
              <w:jc w:val="right"/>
              <w:ind w:right="592"/>
              <w:spacing w:after="0"/>
              <w:rPr>
                <w:sz w:val="20"/>
                <w:szCs w:val="20"/>
                <w:color w:val="auto"/>
              </w:rPr>
            </w:pPr>
            <w:r>
              <w:rPr>
                <w:rFonts w:ascii="Arial" w:cs="Arial" w:eastAsia="Arial" w:hAnsi="Arial"/>
                <w:sz w:val="11"/>
                <w:szCs w:val="11"/>
                <w:b w:val="1"/>
                <w:bCs w:val="1"/>
                <w:color w:val="auto"/>
              </w:rPr>
              <w:t>Nine Months Ended September 30,</w:t>
            </w:r>
          </w:p>
        </w:tc>
      </w:tr>
      <w:tr>
        <w:trPr>
          <w:trHeight w:val="206"/>
        </w:trPr>
        <w:tc>
          <w:tcPr>
            <w:tcW w:w="5280" w:type="dxa"/>
            <w:vAlign w:val="bottom"/>
          </w:tcPr>
          <w:p>
            <w:pPr>
              <w:spacing w:after="0"/>
              <w:rPr>
                <w:sz w:val="17"/>
                <w:szCs w:val="17"/>
                <w:color w:val="auto"/>
              </w:rPr>
            </w:pPr>
          </w:p>
        </w:tc>
        <w:tc>
          <w:tcPr>
            <w:tcW w:w="1080" w:type="dxa"/>
            <w:vAlign w:val="bottom"/>
            <w:tcBorders>
              <w:bottom w:val="single" w:sz="8" w:color="auto"/>
            </w:tcBorders>
          </w:tcPr>
          <w:p>
            <w:pPr>
              <w:jc w:val="right"/>
              <w:ind w:right="154"/>
              <w:spacing w:after="0"/>
              <w:rPr>
                <w:sz w:val="20"/>
                <w:szCs w:val="20"/>
                <w:color w:val="auto"/>
              </w:rPr>
            </w:pPr>
            <w:r>
              <w:rPr>
                <w:rFonts w:ascii="Arial" w:cs="Arial" w:eastAsia="Arial" w:hAnsi="Arial"/>
                <w:sz w:val="11"/>
                <w:szCs w:val="11"/>
                <w:b w:val="1"/>
                <w:bCs w:val="1"/>
                <w:color w:val="auto"/>
              </w:rPr>
              <w:t>2019</w:t>
            </w:r>
          </w:p>
        </w:tc>
        <w:tc>
          <w:tcPr>
            <w:tcW w:w="4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93"/>
              <w:spacing w:after="0"/>
              <w:rPr>
                <w:sz w:val="20"/>
                <w:szCs w:val="20"/>
                <w:color w:val="auto"/>
              </w:rPr>
            </w:pPr>
            <w:r>
              <w:rPr>
                <w:rFonts w:ascii="Arial" w:cs="Arial" w:eastAsia="Arial" w:hAnsi="Arial"/>
                <w:sz w:val="11"/>
                <w:szCs w:val="11"/>
                <w:b w:val="1"/>
                <w:bCs w:val="1"/>
                <w:color w:val="auto"/>
              </w:rPr>
              <w:t>2018</w:t>
            </w:r>
          </w:p>
        </w:tc>
        <w:tc>
          <w:tcPr>
            <w:tcW w:w="4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554"/>
              <w:spacing w:after="0"/>
              <w:rPr>
                <w:sz w:val="20"/>
                <w:szCs w:val="20"/>
                <w:color w:val="auto"/>
              </w:rPr>
            </w:pPr>
            <w:r>
              <w:rPr>
                <w:rFonts w:ascii="Arial" w:cs="Arial" w:eastAsia="Arial" w:hAnsi="Arial"/>
                <w:sz w:val="11"/>
                <w:szCs w:val="11"/>
                <w:b w:val="1"/>
                <w:bCs w:val="1"/>
                <w:color w:val="auto"/>
              </w:rPr>
              <w:t>2019</w:t>
            </w:r>
          </w:p>
        </w:tc>
        <w:tc>
          <w:tcPr>
            <w:tcW w:w="1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552"/>
              <w:spacing w:after="0"/>
              <w:rPr>
                <w:sz w:val="20"/>
                <w:szCs w:val="20"/>
                <w:color w:val="auto"/>
              </w:rPr>
            </w:pPr>
            <w:r>
              <w:rPr>
                <w:rFonts w:ascii="Arial" w:cs="Arial" w:eastAsia="Arial" w:hAnsi="Arial"/>
                <w:sz w:val="11"/>
                <w:szCs w:val="11"/>
                <w:b w:val="1"/>
                <w:bCs w:val="1"/>
                <w:color w:val="auto"/>
              </w:rPr>
              <w:t>2018</w:t>
            </w:r>
          </w:p>
        </w:tc>
      </w:tr>
      <w:tr>
        <w:trPr>
          <w:trHeight w:val="196"/>
        </w:trPr>
        <w:tc>
          <w:tcPr>
            <w:tcW w:w="5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0" w:type="dxa"/>
            <w:vAlign w:val="bottom"/>
            <w:gridSpan w:val="3"/>
          </w:tcPr>
          <w:p>
            <w:pPr>
              <w:jc w:val="right"/>
              <w:ind w:right="108"/>
              <w:spacing w:after="0"/>
              <w:rPr>
                <w:sz w:val="20"/>
                <w:szCs w:val="20"/>
                <w:color w:val="auto"/>
              </w:rPr>
            </w:pPr>
            <w:r>
              <w:rPr>
                <w:rFonts w:ascii="Arial" w:cs="Arial" w:eastAsia="Arial" w:hAnsi="Arial"/>
                <w:sz w:val="11"/>
                <w:szCs w:val="11"/>
                <w:b w:val="1"/>
                <w:bCs w:val="1"/>
                <w:color w:val="auto"/>
              </w:rPr>
              <w:t>(in millions)</w:t>
            </w: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0"/>
        </w:trPr>
        <w:tc>
          <w:tcPr>
            <w:tcW w:w="5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Revenues</w:t>
            </w:r>
          </w:p>
        </w:tc>
        <w:tc>
          <w:tcPr>
            <w:tcW w:w="1080" w:type="dxa"/>
            <w:vAlign w:val="bottom"/>
            <w:tcBorders>
              <w:bottom w:val="single" w:sz="8" w:color="CCEEFF"/>
            </w:tcBorders>
            <w:shd w:val="clear" w:color="auto" w:fill="CCEEFF"/>
          </w:tcPr>
          <w:p>
            <w:pPr>
              <w:jc w:val="right"/>
              <w:ind w:right="934"/>
              <w:spacing w:after="0"/>
              <w:rPr>
                <w:sz w:val="20"/>
                <w:szCs w:val="20"/>
                <w:color w:val="auto"/>
              </w:rPr>
            </w:pPr>
            <w:r>
              <w:rPr>
                <w:rFonts w:ascii="Arial" w:cs="Arial" w:eastAsia="Arial" w:hAnsi="Arial"/>
                <w:sz w:val="14"/>
                <w:szCs w:val="14"/>
                <w:color w:val="auto"/>
                <w:w w:val="76"/>
              </w:rPr>
              <w:t>$</w:t>
            </w:r>
          </w:p>
        </w:tc>
        <w:tc>
          <w:tcPr>
            <w:tcW w:w="4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3</w:t>
            </w:r>
          </w:p>
        </w:tc>
        <w:tc>
          <w:tcPr>
            <w:tcW w:w="12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ind w:right="813"/>
              <w:spacing w:after="0"/>
              <w:rPr>
                <w:sz w:val="20"/>
                <w:szCs w:val="20"/>
                <w:color w:val="auto"/>
              </w:rPr>
            </w:pPr>
            <w:r>
              <w:rPr>
                <w:rFonts w:ascii="Arial" w:cs="Arial" w:eastAsia="Arial" w:hAnsi="Arial"/>
                <w:sz w:val="14"/>
                <w:szCs w:val="14"/>
                <w:color w:val="auto"/>
                <w:w w:val="76"/>
              </w:rPr>
              <w:t>$</w:t>
            </w:r>
          </w:p>
        </w:tc>
        <w:tc>
          <w:tcPr>
            <w:tcW w:w="5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CCEEFF"/>
            </w:tcBorders>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4"/>
                <w:szCs w:val="14"/>
                <w:color w:val="auto"/>
              </w:rPr>
              <w:t>4</w:t>
            </w:r>
          </w:p>
        </w:tc>
        <w:tc>
          <w:tcPr>
            <w:tcW w:w="1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jc w:val="right"/>
              <w:ind w:right="208"/>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4"/>
                <w:szCs w:val="14"/>
                <w:color w:val="auto"/>
              </w:rPr>
              <w:t>—</w:t>
            </w:r>
          </w:p>
        </w:tc>
      </w:tr>
      <w:tr>
        <w:trPr>
          <w:trHeight w:val="193"/>
        </w:trPr>
        <w:tc>
          <w:tcPr>
            <w:tcW w:w="5280" w:type="dxa"/>
            <w:vAlign w:val="bottom"/>
          </w:tcPr>
          <w:p>
            <w:pPr>
              <w:ind w:left="20"/>
              <w:spacing w:after="0"/>
              <w:rPr>
                <w:sz w:val="20"/>
                <w:szCs w:val="20"/>
                <w:color w:val="auto"/>
              </w:rPr>
            </w:pPr>
            <w:r>
              <w:rPr>
                <w:rFonts w:ascii="Arial" w:cs="Arial" w:eastAsia="Arial" w:hAnsi="Arial"/>
                <w:sz w:val="14"/>
                <w:szCs w:val="14"/>
                <w:color w:val="auto"/>
              </w:rPr>
              <w:t>Expenses</w:t>
            </w:r>
          </w:p>
        </w:tc>
        <w:tc>
          <w:tcPr>
            <w:tcW w:w="1080" w:type="dxa"/>
            <w:vAlign w:val="bottom"/>
          </w:tcPr>
          <w:p>
            <w:pPr>
              <w:spacing w:after="0"/>
              <w:rPr>
                <w:sz w:val="16"/>
                <w:szCs w:val="16"/>
                <w:color w:val="auto"/>
              </w:rPr>
            </w:pPr>
          </w:p>
        </w:tc>
        <w:tc>
          <w:tcPr>
            <w:tcW w:w="420" w:type="dxa"/>
            <w:vAlign w:val="bottom"/>
          </w:tcPr>
          <w:p>
            <w:pPr>
              <w:jc w:val="right"/>
              <w:ind w:right="4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20" w:type="dxa"/>
            <w:vAlign w:val="bottom"/>
          </w:tcPr>
          <w:p>
            <w:pPr>
              <w:jc w:val="right"/>
              <w:ind w:right="52"/>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20" w:type="dxa"/>
            <w:vAlign w:val="bottom"/>
          </w:tcPr>
          <w:p>
            <w:pPr>
              <w:jc w:val="right"/>
              <w:ind w:right="34"/>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ind w:left="860"/>
              <w:spacing w:after="0"/>
              <w:rPr>
                <w:sz w:val="20"/>
                <w:szCs w:val="20"/>
                <w:color w:val="auto"/>
              </w:rPr>
            </w:pPr>
            <w:r>
              <w:rPr>
                <w:rFonts w:ascii="Arial" w:cs="Arial" w:eastAsia="Arial" w:hAnsi="Arial"/>
                <w:sz w:val="14"/>
                <w:szCs w:val="14"/>
                <w:color w:val="auto"/>
              </w:rPr>
              <w:t>—</w:t>
            </w:r>
          </w:p>
        </w:tc>
      </w:tr>
      <w:tr>
        <w:trPr>
          <w:trHeight w:val="23"/>
        </w:trPr>
        <w:tc>
          <w:tcPr>
            <w:tcW w:w="528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00"/>
        </w:trPr>
        <w:tc>
          <w:tcPr>
            <w:tcW w:w="5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Operating Income (Loss)</w:t>
            </w:r>
          </w:p>
        </w:tc>
        <w:tc>
          <w:tcPr>
            <w:tcW w:w="1080" w:type="dxa"/>
            <w:vAlign w:val="bottom"/>
            <w:tcBorders>
              <w:bottom w:val="single" w:sz="8" w:color="auto"/>
            </w:tcBorders>
            <w:shd w:val="clear" w:color="auto" w:fill="CCEEFF"/>
          </w:tcPr>
          <w:p>
            <w:pPr>
              <w:jc w:val="right"/>
              <w:ind w:right="934"/>
              <w:spacing w:after="0"/>
              <w:rPr>
                <w:sz w:val="20"/>
                <w:szCs w:val="20"/>
                <w:color w:val="auto"/>
              </w:rPr>
            </w:pPr>
            <w:r>
              <w:rPr>
                <w:rFonts w:ascii="Arial" w:cs="Arial" w:eastAsia="Arial" w:hAnsi="Arial"/>
                <w:sz w:val="14"/>
                <w:szCs w:val="14"/>
                <w:color w:val="auto"/>
                <w:w w:val="76"/>
              </w:rPr>
              <w:t>$</w:t>
            </w:r>
          </w:p>
        </w:tc>
        <w:tc>
          <w:tcPr>
            <w:tcW w:w="4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813"/>
              <w:spacing w:after="0"/>
              <w:rPr>
                <w:sz w:val="20"/>
                <w:szCs w:val="20"/>
                <w:color w:val="auto"/>
              </w:rPr>
            </w:pPr>
            <w:r>
              <w:rPr>
                <w:rFonts w:ascii="Arial" w:cs="Arial" w:eastAsia="Arial" w:hAnsi="Arial"/>
                <w:sz w:val="14"/>
                <w:szCs w:val="14"/>
                <w:color w:val="auto"/>
                <w:w w:val="76"/>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4"/>
                <w:szCs w:val="14"/>
                <w:color w:val="auto"/>
              </w:rPr>
              <w:t>1</w:t>
            </w:r>
          </w:p>
        </w:tc>
        <w:tc>
          <w:tcPr>
            <w:tcW w:w="1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shd w:val="clear" w:color="auto" w:fill="CCEEFF"/>
          </w:tcPr>
          <w:p>
            <w:pPr>
              <w:ind w:left="860"/>
              <w:spacing w:after="0"/>
              <w:rPr>
                <w:sz w:val="20"/>
                <w:szCs w:val="20"/>
                <w:color w:val="auto"/>
              </w:rPr>
            </w:pPr>
            <w:r>
              <w:rPr>
                <w:rFonts w:ascii="Arial" w:cs="Arial" w:eastAsia="Arial" w:hAnsi="Arial"/>
                <w:sz w:val="14"/>
                <w:szCs w:val="14"/>
                <w:color w:val="auto"/>
              </w:rPr>
              <w:t>—</w:t>
            </w:r>
          </w:p>
        </w:tc>
      </w:tr>
      <w:tr>
        <w:trPr>
          <w:trHeight w:val="20"/>
        </w:trPr>
        <w:tc>
          <w:tcPr>
            <w:tcW w:w="52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516"/>
        </w:trPr>
        <w:tc>
          <w:tcPr>
            <w:tcW w:w="5280" w:type="dxa"/>
            <w:vAlign w:val="bottom"/>
          </w:tcPr>
          <w:p>
            <w:pPr>
              <w:spacing w:after="0"/>
              <w:rPr>
                <w:sz w:val="24"/>
                <w:szCs w:val="24"/>
                <w:color w:val="auto"/>
              </w:rPr>
            </w:pPr>
          </w:p>
        </w:tc>
        <w:tc>
          <w:tcPr>
            <w:tcW w:w="1080" w:type="dxa"/>
            <w:vAlign w:val="bottom"/>
          </w:tcPr>
          <w:p>
            <w:pPr>
              <w:jc w:val="right"/>
              <w:ind w:right="494"/>
              <w:spacing w:after="0"/>
              <w:rPr>
                <w:sz w:val="20"/>
                <w:szCs w:val="20"/>
                <w:color w:val="auto"/>
              </w:rPr>
            </w:pPr>
            <w:r>
              <w:rPr>
                <w:rFonts w:ascii="Arial" w:cs="Arial" w:eastAsia="Arial" w:hAnsi="Arial"/>
                <w:sz w:val="14"/>
                <w:szCs w:val="14"/>
                <w:color w:val="auto"/>
              </w:rPr>
              <w:t>81</w:t>
            </w: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r>
    </w:tbl>
    <w:p>
      <w:pPr>
        <w:sectPr>
          <w:pgSz w:w="11900" w:h="16838" w:orient="portrait"/>
          <w:cols w:equalWidth="0" w:num="1">
            <w:col w:w="11460"/>
          </w:cols>
          <w:pgMar w:left="220" w:top="129" w:right="219" w:bottom="1440" w:gutter="0" w:footer="0" w:header="0"/>
        </w:sectPr>
      </w:pPr>
    </w:p>
    <w:bookmarkStart w:id="91" w:name="page92"/>
    <w:bookmarkEnd w:id="91"/>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2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CERTAIN FACTORS AFFECTING FUTURE EARNINGS</w:t>
      </w:r>
    </w:p>
    <w:p>
      <w:pPr>
        <w:spacing w:after="0" w:line="188" w:lineRule="exact"/>
        <w:rPr>
          <w:sz w:val="20"/>
          <w:szCs w:val="20"/>
          <w:color w:val="auto"/>
        </w:rPr>
      </w:pPr>
    </w:p>
    <w:p>
      <w:pPr>
        <w:jc w:val="both"/>
        <w:ind w:firstLine="259"/>
        <w:spacing w:after="0" w:line="272" w:lineRule="auto"/>
        <w:rPr>
          <w:sz w:val="20"/>
          <w:szCs w:val="20"/>
          <w:color w:val="auto"/>
        </w:rPr>
      </w:pPr>
      <w:r>
        <w:rPr>
          <w:rFonts w:ascii="Arial" w:cs="Arial" w:eastAsia="Arial" w:hAnsi="Arial"/>
          <w:sz w:val="14"/>
          <w:szCs w:val="14"/>
          <w:color w:val="auto"/>
        </w:rPr>
        <w:t>For information on other developments, factors and trends that may have an impact on the Registrants’ future earnings, please read “Management’s Discussion and Analysis of Financial Condition and Results of Operations — Certain Factors Affecting Future Earnings” in Item 7 of Part II and “Risk Factors” in Item 1A of Part I of the Registrants’ combined 2018 Form 10-K, in Item 1A of Part II of this Form 10-Q and “Cautionary Statement Regarding Forward-Looking Information” in this Form 10-Q.</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LIQUIDITY AND CAPITAL RESOURCES</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Historical Cash Flows</w:t>
      </w:r>
    </w:p>
    <w:p>
      <w:pPr>
        <w:spacing w:after="0" w:line="188"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following table summarizes the net cash provided by (used in) operating, investing and financing activities: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6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2580" w:type="dxa"/>
            <w:vAlign w:val="bottom"/>
            <w:tcBorders>
              <w:bottom w:val="single" w:sz="8" w:color="auto"/>
            </w:tcBorders>
            <w:gridSpan w:val="4"/>
          </w:tcPr>
          <w:p>
            <w:pPr>
              <w:ind w:left="220"/>
              <w:spacing w:after="0"/>
              <w:rPr>
                <w:sz w:val="20"/>
                <w:szCs w:val="20"/>
                <w:color w:val="auto"/>
              </w:rPr>
            </w:pPr>
            <w:r>
              <w:rPr>
                <w:rFonts w:ascii="Arial" w:cs="Arial" w:eastAsia="Arial" w:hAnsi="Arial"/>
                <w:sz w:val="11"/>
                <w:szCs w:val="11"/>
                <w:b w:val="1"/>
                <w:bCs w:val="1"/>
                <w:color w:val="auto"/>
              </w:rPr>
              <w:t>Nine Months Ended September 30,</w:t>
            </w:r>
          </w:p>
        </w:tc>
        <w:tc>
          <w:tcPr>
            <w:tcW w:w="2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r>
      <w:tr>
        <w:trPr>
          <w:trHeight w:val="206"/>
        </w:trPr>
        <w:tc>
          <w:tcPr>
            <w:tcW w:w="26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34"/>
              <w:spacing w:after="0"/>
              <w:rPr>
                <w:sz w:val="20"/>
                <w:szCs w:val="20"/>
                <w:color w:val="auto"/>
              </w:rPr>
            </w:pPr>
            <w:r>
              <w:rPr>
                <w:rFonts w:ascii="Arial" w:cs="Arial" w:eastAsia="Arial" w:hAnsi="Arial"/>
                <w:sz w:val="11"/>
                <w:szCs w:val="11"/>
                <w:b w:val="1"/>
                <w:bCs w:val="1"/>
                <w:color w:val="auto"/>
              </w:rPr>
              <w:t>2019</w:t>
            </w:r>
          </w:p>
        </w:tc>
        <w:tc>
          <w:tcPr>
            <w:tcW w:w="4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34"/>
              <w:spacing w:after="0"/>
              <w:rPr>
                <w:sz w:val="20"/>
                <w:szCs w:val="20"/>
                <w:color w:val="auto"/>
              </w:rPr>
            </w:pPr>
            <w:r>
              <w:rPr>
                <w:rFonts w:ascii="Arial" w:cs="Arial" w:eastAsia="Arial" w:hAnsi="Arial"/>
                <w:sz w:val="11"/>
                <w:szCs w:val="11"/>
                <w:b w:val="1"/>
                <w:bCs w:val="1"/>
                <w:color w:val="auto"/>
              </w:rPr>
              <w:t>2018</w:t>
            </w:r>
          </w:p>
        </w:tc>
        <w:tc>
          <w:tcPr>
            <w:tcW w:w="3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r>
      <w:tr>
        <w:trPr>
          <w:trHeight w:val="206"/>
        </w:trPr>
        <w:tc>
          <w:tcPr>
            <w:tcW w:w="26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172"/>
              <w:spacing w:after="0"/>
              <w:rPr>
                <w:sz w:val="20"/>
                <w:szCs w:val="20"/>
                <w:color w:val="auto"/>
              </w:rPr>
            </w:pPr>
            <w:r>
              <w:rPr>
                <w:rFonts w:ascii="Arial" w:cs="Arial" w:eastAsia="Arial" w:hAnsi="Arial"/>
                <w:sz w:val="11"/>
                <w:szCs w:val="11"/>
                <w:b w:val="1"/>
                <w:bCs w:val="1"/>
                <w:color w:val="auto"/>
                <w:w w:val="99"/>
              </w:rPr>
              <w:t>CenterPoint Energy</w:t>
            </w:r>
          </w:p>
        </w:tc>
        <w:tc>
          <w:tcPr>
            <w:tcW w:w="2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254"/>
              <w:spacing w:after="0"/>
              <w:rPr>
                <w:sz w:val="20"/>
                <w:szCs w:val="20"/>
                <w:color w:val="auto"/>
              </w:rPr>
            </w:pPr>
            <w:r>
              <w:rPr>
                <w:rFonts w:ascii="Arial" w:cs="Arial" w:eastAsia="Arial" w:hAnsi="Arial"/>
                <w:sz w:val="11"/>
                <w:szCs w:val="11"/>
                <w:b w:val="1"/>
                <w:bCs w:val="1"/>
                <w:color w:val="auto"/>
              </w:rPr>
              <w:t>Houston Electric</w:t>
            </w:r>
          </w:p>
        </w:tc>
        <w:tc>
          <w:tcPr>
            <w:tcW w:w="4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2"/>
          </w:tcPr>
          <w:p>
            <w:pPr>
              <w:ind w:left="220"/>
              <w:spacing w:after="0"/>
              <w:rPr>
                <w:sz w:val="20"/>
                <w:szCs w:val="20"/>
                <w:color w:val="auto"/>
              </w:rPr>
            </w:pPr>
            <w:r>
              <w:rPr>
                <w:rFonts w:ascii="Arial" w:cs="Arial" w:eastAsia="Arial" w:hAnsi="Arial"/>
                <w:sz w:val="11"/>
                <w:szCs w:val="11"/>
                <w:b w:val="1"/>
                <w:bCs w:val="1"/>
                <w:color w:val="auto"/>
              </w:rPr>
              <w:t>CERC</w:t>
            </w:r>
          </w:p>
        </w:tc>
        <w:tc>
          <w:tcPr>
            <w:tcW w:w="1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152"/>
              <w:spacing w:after="0"/>
              <w:rPr>
                <w:sz w:val="20"/>
                <w:szCs w:val="20"/>
                <w:color w:val="auto"/>
              </w:rPr>
            </w:pPr>
            <w:r>
              <w:rPr>
                <w:rFonts w:ascii="Arial" w:cs="Arial" w:eastAsia="Arial" w:hAnsi="Arial"/>
                <w:sz w:val="11"/>
                <w:szCs w:val="11"/>
                <w:b w:val="1"/>
                <w:bCs w:val="1"/>
                <w:color w:val="auto"/>
                <w:w w:val="93"/>
              </w:rPr>
              <w:t>CenterPoint Energy</w:t>
            </w:r>
          </w:p>
        </w:tc>
        <w:tc>
          <w:tcPr>
            <w:tcW w:w="2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234"/>
              <w:spacing w:after="0"/>
              <w:rPr>
                <w:sz w:val="20"/>
                <w:szCs w:val="20"/>
                <w:color w:val="auto"/>
              </w:rPr>
            </w:pPr>
            <w:r>
              <w:rPr>
                <w:rFonts w:ascii="Arial" w:cs="Arial" w:eastAsia="Arial" w:hAnsi="Arial"/>
                <w:sz w:val="11"/>
                <w:szCs w:val="11"/>
                <w:b w:val="1"/>
                <w:bCs w:val="1"/>
                <w:color w:val="auto"/>
              </w:rPr>
              <w:t>Houston Electric</w:t>
            </w:r>
          </w:p>
        </w:tc>
        <w:tc>
          <w:tcPr>
            <w:tcW w:w="3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2"/>
              <w:spacing w:after="0"/>
              <w:rPr>
                <w:sz w:val="20"/>
                <w:szCs w:val="20"/>
                <w:color w:val="auto"/>
              </w:rPr>
            </w:pPr>
            <w:r>
              <w:rPr>
                <w:rFonts w:ascii="Arial" w:cs="Arial" w:eastAsia="Arial" w:hAnsi="Arial"/>
                <w:sz w:val="11"/>
                <w:szCs w:val="11"/>
                <w:b w:val="1"/>
                <w:bCs w:val="1"/>
                <w:color w:val="auto"/>
              </w:rPr>
              <w:t>CERC</w:t>
            </w:r>
          </w:p>
        </w:tc>
      </w:tr>
      <w:tr>
        <w:trPr>
          <w:trHeight w:val="148"/>
        </w:trPr>
        <w:tc>
          <w:tcPr>
            <w:tcW w:w="2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380" w:type="dxa"/>
            <w:vAlign w:val="bottom"/>
            <w:gridSpan w:val="3"/>
          </w:tcPr>
          <w:p>
            <w:pPr>
              <w:ind w:left="780"/>
              <w:spacing w:after="0"/>
              <w:rPr>
                <w:sz w:val="20"/>
                <w:szCs w:val="20"/>
                <w:color w:val="auto"/>
              </w:rPr>
            </w:pPr>
            <w:r>
              <w:rPr>
                <w:rFonts w:ascii="Arial" w:cs="Arial" w:eastAsia="Arial" w:hAnsi="Arial"/>
                <w:sz w:val="11"/>
                <w:szCs w:val="11"/>
                <w:b w:val="1"/>
                <w:bCs w:val="1"/>
                <w:color w:val="auto"/>
                <w:w w:val="93"/>
              </w:rPr>
              <w:t>(in millions)</w:t>
            </w:r>
          </w:p>
        </w:tc>
        <w:tc>
          <w:tcPr>
            <w:tcW w:w="1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60" w:type="dxa"/>
            <w:vAlign w:val="bottom"/>
          </w:tcPr>
          <w:p>
            <w:pPr>
              <w:spacing w:after="0"/>
              <w:rPr>
                <w:sz w:val="12"/>
                <w:szCs w:val="12"/>
                <w:color w:val="auto"/>
              </w:rPr>
            </w:pPr>
          </w:p>
        </w:tc>
      </w:tr>
      <w:tr>
        <w:trPr>
          <w:trHeight w:val="202"/>
        </w:trPr>
        <w:tc>
          <w:tcPr>
            <w:tcW w:w="2640" w:type="dxa"/>
            <w:vAlign w:val="bottom"/>
          </w:tcPr>
          <w:p>
            <w:pPr>
              <w:ind w:left="20"/>
              <w:spacing w:after="0"/>
              <w:rPr>
                <w:sz w:val="20"/>
                <w:szCs w:val="20"/>
                <w:color w:val="auto"/>
              </w:rPr>
            </w:pPr>
            <w:r>
              <w:rPr>
                <w:rFonts w:ascii="Arial" w:cs="Arial" w:eastAsia="Arial" w:hAnsi="Arial"/>
                <w:sz w:val="14"/>
                <w:szCs w:val="14"/>
                <w:color w:val="auto"/>
              </w:rPr>
              <w:t>Cash provided by (used in):</w:t>
            </w: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3"/>
        </w:trPr>
        <w:tc>
          <w:tcPr>
            <w:tcW w:w="2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196"/>
        </w:trPr>
        <w:tc>
          <w:tcPr>
            <w:tcW w:w="26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Operating activities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4"/>
                <w:szCs w:val="14"/>
                <w:color w:val="auto"/>
              </w:rPr>
              <w:t>1,086</w:t>
            </w:r>
          </w:p>
        </w:tc>
        <w:tc>
          <w:tcPr>
            <w:tcW w:w="26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4"/>
                <w:szCs w:val="14"/>
                <w:color w:val="auto"/>
              </w:rPr>
              <w:t>595</w:t>
            </w:r>
          </w:p>
        </w:tc>
        <w:tc>
          <w:tcPr>
            <w:tcW w:w="400" w:type="dxa"/>
            <w:vAlign w:val="bottom"/>
            <w:tcBorders>
              <w:bottom w:val="single" w:sz="8" w:color="CCEEFF"/>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4"/>
                <w:szCs w:val="14"/>
                <w:color w:val="auto"/>
              </w:rPr>
              <w:t>513</w:t>
            </w: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4"/>
                <w:szCs w:val="14"/>
                <w:color w:val="auto"/>
              </w:rPr>
              <w:t>1,679</w:t>
            </w:r>
          </w:p>
        </w:tc>
        <w:tc>
          <w:tcPr>
            <w:tcW w:w="2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4"/>
                <w:szCs w:val="14"/>
                <w:color w:val="auto"/>
              </w:rPr>
              <w:t>788</w:t>
            </w:r>
          </w:p>
        </w:tc>
        <w:tc>
          <w:tcPr>
            <w:tcW w:w="36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850</w:t>
            </w:r>
          </w:p>
        </w:tc>
      </w:tr>
      <w:tr>
        <w:trPr>
          <w:trHeight w:val="193"/>
        </w:trPr>
        <w:tc>
          <w:tcPr>
            <w:tcW w:w="2640" w:type="dxa"/>
            <w:vAlign w:val="bottom"/>
          </w:tcPr>
          <w:p>
            <w:pPr>
              <w:ind w:left="140"/>
              <w:spacing w:after="0"/>
              <w:rPr>
                <w:sz w:val="20"/>
                <w:szCs w:val="20"/>
                <w:color w:val="auto"/>
              </w:rPr>
            </w:pPr>
            <w:r>
              <w:rPr>
                <w:rFonts w:ascii="Arial" w:cs="Arial" w:eastAsia="Arial" w:hAnsi="Arial"/>
                <w:sz w:val="14"/>
                <w:szCs w:val="14"/>
                <w:color w:val="auto"/>
              </w:rPr>
              <w:t>Investing activities</w:t>
            </w:r>
          </w:p>
        </w:tc>
        <w:tc>
          <w:tcPr>
            <w:tcW w:w="160" w:type="dxa"/>
            <w:vAlign w:val="bottom"/>
          </w:tcPr>
          <w:p>
            <w:pPr>
              <w:spacing w:after="0"/>
              <w:rPr>
                <w:sz w:val="16"/>
                <w:szCs w:val="16"/>
                <w:color w:val="auto"/>
              </w:rPr>
            </w:pPr>
          </w:p>
        </w:tc>
        <w:tc>
          <w:tcPr>
            <w:tcW w:w="1280" w:type="dxa"/>
            <w:vAlign w:val="bottom"/>
          </w:tcPr>
          <w:p>
            <w:pPr>
              <w:jc w:val="right"/>
              <w:ind w:right="52"/>
              <w:spacing w:after="0"/>
              <w:rPr>
                <w:sz w:val="20"/>
                <w:szCs w:val="20"/>
                <w:color w:val="auto"/>
              </w:rPr>
            </w:pPr>
            <w:r>
              <w:rPr>
                <w:rFonts w:ascii="Arial" w:cs="Arial" w:eastAsia="Arial" w:hAnsi="Arial"/>
                <w:sz w:val="14"/>
                <w:szCs w:val="14"/>
                <w:color w:val="auto"/>
              </w:rPr>
              <w:t>(7,775)</w:t>
            </w:r>
          </w:p>
        </w:tc>
        <w:tc>
          <w:tcPr>
            <w:tcW w:w="260" w:type="dxa"/>
            <w:vAlign w:val="bottom"/>
          </w:tcPr>
          <w:p>
            <w:pPr>
              <w:spacing w:after="0"/>
              <w:rPr>
                <w:sz w:val="16"/>
                <w:szCs w:val="16"/>
                <w:color w:val="auto"/>
              </w:rPr>
            </w:pPr>
          </w:p>
        </w:tc>
        <w:tc>
          <w:tcPr>
            <w:tcW w:w="1240" w:type="dxa"/>
            <w:vAlign w:val="bottom"/>
          </w:tcPr>
          <w:p>
            <w:pPr>
              <w:jc w:val="right"/>
              <w:ind w:right="34"/>
              <w:spacing w:after="0"/>
              <w:rPr>
                <w:sz w:val="20"/>
                <w:szCs w:val="20"/>
                <w:color w:val="auto"/>
              </w:rPr>
            </w:pPr>
            <w:r>
              <w:rPr>
                <w:rFonts w:ascii="Arial" w:cs="Arial" w:eastAsia="Arial" w:hAnsi="Arial"/>
                <w:sz w:val="14"/>
                <w:szCs w:val="14"/>
                <w:color w:val="auto"/>
              </w:rPr>
              <w:t>(1,504)</w:t>
            </w:r>
          </w:p>
        </w:tc>
        <w:tc>
          <w:tcPr>
            <w:tcW w:w="400" w:type="dxa"/>
            <w:vAlign w:val="bottom"/>
          </w:tcPr>
          <w:p>
            <w:pPr>
              <w:spacing w:after="0"/>
              <w:rPr>
                <w:sz w:val="16"/>
                <w:szCs w:val="16"/>
                <w:color w:val="auto"/>
              </w:rPr>
            </w:pPr>
          </w:p>
        </w:tc>
        <w:tc>
          <w:tcPr>
            <w:tcW w:w="1080" w:type="dxa"/>
            <w:vAlign w:val="bottom"/>
          </w:tcPr>
          <w:p>
            <w:pPr>
              <w:jc w:val="right"/>
              <w:ind w:right="15"/>
              <w:spacing w:after="0"/>
              <w:rPr>
                <w:sz w:val="20"/>
                <w:szCs w:val="20"/>
                <w:color w:val="auto"/>
              </w:rPr>
            </w:pPr>
            <w:r>
              <w:rPr>
                <w:rFonts w:ascii="Arial" w:cs="Arial" w:eastAsia="Arial" w:hAnsi="Arial"/>
                <w:sz w:val="14"/>
                <w:szCs w:val="14"/>
                <w:color w:val="auto"/>
              </w:rPr>
              <w:t>(515)</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jc w:val="right"/>
              <w:ind w:right="12"/>
              <w:spacing w:after="0"/>
              <w:rPr>
                <w:sz w:val="20"/>
                <w:szCs w:val="20"/>
                <w:color w:val="auto"/>
              </w:rPr>
            </w:pPr>
            <w:r>
              <w:rPr>
                <w:rFonts w:ascii="Arial" w:cs="Arial" w:eastAsia="Arial" w:hAnsi="Arial"/>
                <w:sz w:val="14"/>
                <w:szCs w:val="14"/>
                <w:color w:val="auto"/>
              </w:rPr>
              <w:t>(674)</w:t>
            </w:r>
          </w:p>
        </w:tc>
        <w:tc>
          <w:tcPr>
            <w:tcW w:w="260" w:type="dxa"/>
            <w:vAlign w:val="bottom"/>
          </w:tcPr>
          <w:p>
            <w:pPr>
              <w:spacing w:after="0"/>
              <w:rPr>
                <w:sz w:val="16"/>
                <w:szCs w:val="16"/>
                <w:color w:val="auto"/>
              </w:rPr>
            </w:pPr>
          </w:p>
        </w:tc>
        <w:tc>
          <w:tcPr>
            <w:tcW w:w="1220" w:type="dxa"/>
            <w:vAlign w:val="bottom"/>
          </w:tcPr>
          <w:p>
            <w:pPr>
              <w:jc w:val="right"/>
              <w:ind w:right="34"/>
              <w:spacing w:after="0"/>
              <w:rPr>
                <w:sz w:val="20"/>
                <w:szCs w:val="20"/>
                <w:color w:val="auto"/>
              </w:rPr>
            </w:pPr>
            <w:r>
              <w:rPr>
                <w:rFonts w:ascii="Arial" w:cs="Arial" w:eastAsia="Arial" w:hAnsi="Arial"/>
                <w:sz w:val="14"/>
                <w:szCs w:val="14"/>
                <w:color w:val="auto"/>
              </w:rPr>
              <w:t>(663)</w:t>
            </w:r>
          </w:p>
        </w:tc>
        <w:tc>
          <w:tcPr>
            <w:tcW w:w="3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(359)</w:t>
            </w:r>
          </w:p>
        </w:tc>
      </w:tr>
      <w:tr>
        <w:trPr>
          <w:trHeight w:val="23"/>
        </w:trPr>
        <w:tc>
          <w:tcPr>
            <w:tcW w:w="2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193"/>
        </w:trPr>
        <w:tc>
          <w:tcPr>
            <w:tcW w:w="26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Financing activities</w:t>
            </w:r>
          </w:p>
        </w:tc>
        <w:tc>
          <w:tcPr>
            <w:tcW w:w="160" w:type="dxa"/>
            <w:vAlign w:val="bottom"/>
            <w:shd w:val="clear" w:color="auto" w:fill="CCEEFF"/>
          </w:tcPr>
          <w:p>
            <w:pPr>
              <w:spacing w:after="0"/>
              <w:rPr>
                <w:sz w:val="16"/>
                <w:szCs w:val="16"/>
                <w:color w:val="auto"/>
              </w:rPr>
            </w:pPr>
          </w:p>
        </w:tc>
        <w:tc>
          <w:tcPr>
            <w:tcW w:w="1280" w:type="dxa"/>
            <w:vAlign w:val="bottom"/>
            <w:shd w:val="clear" w:color="auto" w:fill="CCEEFF"/>
          </w:tcPr>
          <w:p>
            <w:pPr>
              <w:jc w:val="right"/>
              <w:ind w:right="92"/>
              <w:spacing w:after="0"/>
              <w:rPr>
                <w:sz w:val="20"/>
                <w:szCs w:val="20"/>
                <w:color w:val="auto"/>
              </w:rPr>
            </w:pPr>
            <w:r>
              <w:rPr>
                <w:rFonts w:ascii="Arial" w:cs="Arial" w:eastAsia="Arial" w:hAnsi="Arial"/>
                <w:sz w:val="14"/>
                <w:szCs w:val="14"/>
                <w:color w:val="auto"/>
              </w:rPr>
              <w:t>2,708</w:t>
            </w:r>
          </w:p>
        </w:tc>
        <w:tc>
          <w:tcPr>
            <w:tcW w:w="26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94"/>
              <w:spacing w:after="0"/>
              <w:rPr>
                <w:sz w:val="20"/>
                <w:szCs w:val="20"/>
                <w:color w:val="auto"/>
              </w:rPr>
            </w:pPr>
            <w:r>
              <w:rPr>
                <w:rFonts w:ascii="Arial" w:cs="Arial" w:eastAsia="Arial" w:hAnsi="Arial"/>
                <w:sz w:val="14"/>
                <w:szCs w:val="14"/>
                <w:color w:val="auto"/>
              </w:rPr>
              <w:t>786</w:t>
            </w:r>
          </w:p>
        </w:tc>
        <w:tc>
          <w:tcPr>
            <w:tcW w:w="40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15"/>
              <w:spacing w:after="0"/>
              <w:rPr>
                <w:sz w:val="20"/>
                <w:szCs w:val="20"/>
                <w:color w:val="auto"/>
              </w:rPr>
            </w:pPr>
            <w:r>
              <w:rPr>
                <w:rFonts w:ascii="Arial" w:cs="Arial" w:eastAsia="Arial" w:hAnsi="Arial"/>
                <w:sz w:val="14"/>
                <w:szCs w:val="14"/>
                <w:color w:val="auto"/>
              </w:rPr>
              <w:t>(21)</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(970)</w:t>
            </w:r>
          </w:p>
        </w:tc>
        <w:tc>
          <w:tcPr>
            <w:tcW w:w="26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34"/>
              <w:spacing w:after="0"/>
              <w:rPr>
                <w:sz w:val="20"/>
                <w:szCs w:val="20"/>
                <w:color w:val="auto"/>
              </w:rPr>
            </w:pPr>
            <w:r>
              <w:rPr>
                <w:rFonts w:ascii="Arial" w:cs="Arial" w:eastAsia="Arial" w:hAnsi="Arial"/>
                <w:sz w:val="14"/>
                <w:szCs w:val="14"/>
                <w:color w:val="auto"/>
              </w:rPr>
              <w:t>(82)</w:t>
            </w:r>
          </w:p>
        </w:tc>
        <w:tc>
          <w:tcPr>
            <w:tcW w:w="36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(502)</w:t>
            </w:r>
          </w:p>
        </w:tc>
      </w:tr>
      <w:tr>
        <w:trPr>
          <w:trHeight w:val="23"/>
        </w:trPr>
        <w:tc>
          <w:tcPr>
            <w:tcW w:w="26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4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0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2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060" w:type="dxa"/>
            <w:vAlign w:val="bottom"/>
            <w:shd w:val="clear" w:color="auto" w:fill="CCEEFF"/>
          </w:tcPr>
          <w:p>
            <w:pPr>
              <w:spacing w:after="0" w:line="20" w:lineRule="exact"/>
              <w:rPr>
                <w:sz w:val="1"/>
                <w:szCs w:val="1"/>
                <w:color w:val="auto"/>
              </w:rPr>
            </w:pPr>
          </w:p>
        </w:tc>
      </w:tr>
    </w:tbl>
    <w:p>
      <w:pPr>
        <w:spacing w:after="0" w:line="158" w:lineRule="exact"/>
        <w:rPr>
          <w:sz w:val="20"/>
          <w:szCs w:val="20"/>
          <w:color w:val="auto"/>
        </w:rPr>
      </w:pPr>
    </w:p>
    <w:p>
      <w:pPr>
        <w:jc w:val="both"/>
        <w:ind w:firstLine="259"/>
        <w:spacing w:after="0" w:line="294" w:lineRule="auto"/>
        <w:rPr>
          <w:sz w:val="20"/>
          <w:szCs w:val="20"/>
          <w:color w:val="auto"/>
        </w:rPr>
      </w:pPr>
      <w:r>
        <w:rPr>
          <w:rFonts w:ascii="Arial" w:cs="Arial" w:eastAsia="Arial" w:hAnsi="Arial"/>
          <w:sz w:val="14"/>
          <w:szCs w:val="14"/>
          <w:b w:val="1"/>
          <w:bCs w:val="1"/>
          <w:color w:val="auto"/>
        </w:rPr>
        <w:t xml:space="preserve">Operating Activities. </w:t>
      </w:r>
      <w:r>
        <w:rPr>
          <w:rFonts w:ascii="Arial" w:cs="Arial" w:eastAsia="Arial" w:hAnsi="Arial"/>
          <w:sz w:val="14"/>
          <w:szCs w:val="14"/>
          <w:color w:val="auto"/>
        </w:rPr>
        <w:t>The following items contributed to increased (decreased) net cash provided by operating activities for the nine months ended September 30, 2019 compared to the same</w:t>
      </w:r>
      <w:r>
        <w:rPr>
          <w:rFonts w:ascii="Arial" w:cs="Arial" w:eastAsia="Arial" w:hAnsi="Arial"/>
          <w:sz w:val="14"/>
          <w:szCs w:val="14"/>
          <w:b w:val="1"/>
          <w:bCs w:val="1"/>
          <w:color w:val="auto"/>
        </w:rPr>
        <w:t xml:space="preserve"> </w:t>
      </w:r>
      <w:r>
        <w:rPr>
          <w:rFonts w:ascii="Arial" w:cs="Arial" w:eastAsia="Arial" w:hAnsi="Arial"/>
          <w:sz w:val="14"/>
          <w:szCs w:val="14"/>
          <w:color w:val="auto"/>
        </w:rPr>
        <w:t>period of 2018:</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6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60" w:type="dxa"/>
            <w:vAlign w:val="bottom"/>
            <w:gridSpan w:val="2"/>
            <w:vMerge w:val="restart"/>
          </w:tcPr>
          <w:p>
            <w:pPr>
              <w:ind w:left="100"/>
              <w:spacing w:after="0"/>
              <w:rPr>
                <w:sz w:val="20"/>
                <w:szCs w:val="20"/>
                <w:color w:val="auto"/>
              </w:rPr>
            </w:pPr>
            <w:r>
              <w:rPr>
                <w:rFonts w:ascii="Arial" w:cs="Arial" w:eastAsia="Arial" w:hAnsi="Arial"/>
                <w:sz w:val="11"/>
                <w:szCs w:val="11"/>
                <w:b w:val="1"/>
                <w:bCs w:val="1"/>
                <w:color w:val="auto"/>
              </w:rPr>
              <w:t>CenterPoint Energy</w:t>
            </w:r>
          </w:p>
        </w:tc>
        <w:tc>
          <w:tcPr>
            <w:tcW w:w="260" w:type="dxa"/>
            <w:vAlign w:val="bottom"/>
          </w:tcPr>
          <w:p>
            <w:pPr>
              <w:spacing w:after="0"/>
              <w:rPr>
                <w:sz w:val="10"/>
                <w:szCs w:val="10"/>
                <w:color w:val="auto"/>
              </w:rPr>
            </w:pPr>
          </w:p>
        </w:tc>
        <w:tc>
          <w:tcPr>
            <w:tcW w:w="1340" w:type="dxa"/>
            <w:vAlign w:val="bottom"/>
            <w:gridSpan w:val="2"/>
          </w:tcPr>
          <w:p>
            <w:pPr>
              <w:jc w:val="center"/>
              <w:ind w:right="380"/>
              <w:spacing w:after="0"/>
              <w:rPr>
                <w:sz w:val="20"/>
                <w:szCs w:val="20"/>
                <w:color w:val="auto"/>
              </w:rPr>
            </w:pPr>
            <w:r>
              <w:rPr>
                <w:rFonts w:ascii="Arial" w:cs="Arial" w:eastAsia="Arial" w:hAnsi="Arial"/>
                <w:sz w:val="11"/>
                <w:szCs w:val="11"/>
                <w:b w:val="1"/>
                <w:bCs w:val="1"/>
                <w:color w:val="auto"/>
                <w:w w:val="89"/>
              </w:rPr>
              <w:t>Houston</w:t>
            </w:r>
          </w:p>
        </w:tc>
        <w:tc>
          <w:tcPr>
            <w:tcW w:w="320" w:type="dxa"/>
            <w:vAlign w:val="bottom"/>
          </w:tcPr>
          <w:p>
            <w:pPr>
              <w:spacing w:after="0"/>
              <w:rPr>
                <w:sz w:val="10"/>
                <w:szCs w:val="10"/>
                <w:color w:val="auto"/>
              </w:rPr>
            </w:pPr>
          </w:p>
        </w:tc>
        <w:tc>
          <w:tcPr>
            <w:tcW w:w="1140" w:type="dxa"/>
            <w:vAlign w:val="bottom"/>
            <w:vMerge w:val="restart"/>
          </w:tcPr>
          <w:p>
            <w:pPr>
              <w:jc w:val="right"/>
              <w:ind w:right="490"/>
              <w:spacing w:after="0"/>
              <w:rPr>
                <w:sz w:val="20"/>
                <w:szCs w:val="20"/>
                <w:color w:val="auto"/>
              </w:rPr>
            </w:pPr>
            <w:r>
              <w:rPr>
                <w:rFonts w:ascii="Arial" w:cs="Arial" w:eastAsia="Arial" w:hAnsi="Arial"/>
                <w:sz w:val="11"/>
                <w:szCs w:val="11"/>
                <w:b w:val="1"/>
                <w:bCs w:val="1"/>
                <w:color w:val="auto"/>
              </w:rPr>
              <w:t>CERC</w:t>
            </w:r>
          </w:p>
        </w:tc>
        <w:tc>
          <w:tcPr>
            <w:tcW w:w="0" w:type="dxa"/>
            <w:vAlign w:val="bottom"/>
          </w:tcPr>
          <w:p>
            <w:pPr>
              <w:spacing w:after="0"/>
              <w:rPr>
                <w:sz w:val="1"/>
                <w:szCs w:val="1"/>
                <w:color w:val="auto"/>
              </w:rPr>
            </w:pPr>
          </w:p>
        </w:tc>
      </w:tr>
      <w:tr>
        <w:trPr>
          <w:trHeight w:val="153"/>
        </w:trPr>
        <w:tc>
          <w:tcPr>
            <w:tcW w:w="67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gridSpan w:val="2"/>
            <w:vMerge w:val="continue"/>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1"/>
                <w:szCs w:val="11"/>
                <w:b w:val="1"/>
                <w:bCs w:val="1"/>
                <w:color w:val="auto"/>
                <w:w w:val="95"/>
              </w:rPr>
              <w:t>Electric</w:t>
            </w:r>
          </w:p>
        </w:tc>
        <w:tc>
          <w:tcPr>
            <w:tcW w:w="3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6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gridSpan w:val="2"/>
          </w:tcPr>
          <w:p>
            <w:pPr>
              <w:jc w:val="center"/>
              <w:ind w:right="400"/>
              <w:spacing w:after="0"/>
              <w:rPr>
                <w:sz w:val="20"/>
                <w:szCs w:val="20"/>
                <w:color w:val="auto"/>
              </w:rPr>
            </w:pPr>
            <w:r>
              <w:rPr>
                <w:rFonts w:ascii="Arial" w:cs="Arial" w:eastAsia="Arial" w:hAnsi="Arial"/>
                <w:sz w:val="11"/>
                <w:szCs w:val="11"/>
                <w:b w:val="1"/>
                <w:bCs w:val="1"/>
                <w:color w:val="auto"/>
                <w:w w:val="93"/>
              </w:rPr>
              <w:t>(in millions)</w:t>
            </w: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6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Changes in net income after adjusting for non-cash items</w:t>
            </w: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136</w:t>
            </w: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(217)</w:t>
            </w:r>
          </w:p>
        </w:tc>
        <w:tc>
          <w:tcPr>
            <w:tcW w:w="1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154</w:t>
            </w:r>
          </w:p>
        </w:tc>
        <w:tc>
          <w:tcPr>
            <w:tcW w:w="0" w:type="dxa"/>
            <w:vAlign w:val="bottom"/>
          </w:tcPr>
          <w:p>
            <w:pPr>
              <w:spacing w:after="0"/>
              <w:rPr>
                <w:sz w:val="1"/>
                <w:szCs w:val="1"/>
                <w:color w:val="auto"/>
              </w:rPr>
            </w:pPr>
          </w:p>
        </w:tc>
      </w:tr>
      <w:tr>
        <w:trPr>
          <w:trHeight w:val="193"/>
        </w:trPr>
        <w:tc>
          <w:tcPr>
            <w:tcW w:w="6780" w:type="dxa"/>
            <w:vAlign w:val="bottom"/>
          </w:tcPr>
          <w:p>
            <w:pPr>
              <w:ind w:left="20"/>
              <w:spacing w:after="0"/>
              <w:rPr>
                <w:sz w:val="20"/>
                <w:szCs w:val="20"/>
                <w:color w:val="auto"/>
              </w:rPr>
            </w:pPr>
            <w:r>
              <w:rPr>
                <w:rFonts w:ascii="Arial" w:cs="Arial" w:eastAsia="Arial" w:hAnsi="Arial"/>
                <w:sz w:val="14"/>
                <w:szCs w:val="14"/>
                <w:color w:val="auto"/>
              </w:rPr>
              <w:t>Changes in working capital</w:t>
            </w:r>
          </w:p>
        </w:tc>
        <w:tc>
          <w:tcPr>
            <w:tcW w:w="160" w:type="dxa"/>
            <w:vAlign w:val="bottom"/>
          </w:tcPr>
          <w:p>
            <w:pPr>
              <w:spacing w:after="0"/>
              <w:rPr>
                <w:sz w:val="16"/>
                <w:szCs w:val="16"/>
                <w:color w:val="auto"/>
              </w:rPr>
            </w:pPr>
          </w:p>
        </w:tc>
        <w:tc>
          <w:tcPr>
            <w:tcW w:w="1340" w:type="dxa"/>
            <w:vAlign w:val="bottom"/>
          </w:tcPr>
          <w:p>
            <w:pPr>
              <w:jc w:val="right"/>
              <w:ind w:right="10"/>
              <w:spacing w:after="0"/>
              <w:rPr>
                <w:sz w:val="20"/>
                <w:szCs w:val="20"/>
                <w:color w:val="auto"/>
              </w:rPr>
            </w:pPr>
            <w:r>
              <w:rPr>
                <w:rFonts w:ascii="Arial" w:cs="Arial" w:eastAsia="Arial" w:hAnsi="Arial"/>
                <w:sz w:val="14"/>
                <w:szCs w:val="14"/>
                <w:color w:val="auto"/>
              </w:rPr>
              <w:t>(768)</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ind w:right="52"/>
              <w:spacing w:after="0"/>
              <w:rPr>
                <w:sz w:val="20"/>
                <w:szCs w:val="20"/>
                <w:color w:val="auto"/>
              </w:rPr>
            </w:pPr>
            <w:r>
              <w:rPr>
                <w:rFonts w:ascii="Arial" w:cs="Arial" w:eastAsia="Arial" w:hAnsi="Arial"/>
                <w:sz w:val="14"/>
                <w:szCs w:val="14"/>
                <w:color w:val="auto"/>
              </w:rPr>
              <w:t>53</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(311)</w:t>
            </w:r>
          </w:p>
        </w:tc>
        <w:tc>
          <w:tcPr>
            <w:tcW w:w="0" w:type="dxa"/>
            <w:vAlign w:val="bottom"/>
          </w:tcPr>
          <w:p>
            <w:pPr>
              <w:spacing w:after="0"/>
              <w:rPr>
                <w:sz w:val="1"/>
                <w:szCs w:val="1"/>
                <w:color w:val="auto"/>
              </w:rPr>
            </w:pPr>
          </w:p>
        </w:tc>
      </w:tr>
      <w:tr>
        <w:trPr>
          <w:trHeight w:val="23"/>
        </w:trPr>
        <w:tc>
          <w:tcPr>
            <w:tcW w:w="6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 xml:space="preserve">Change in equity in earnings from Enable, net of distributions </w:t>
            </w:r>
            <w:r>
              <w:rPr>
                <w:rFonts w:ascii="Arial" w:cs="Arial" w:eastAsia="Arial" w:hAnsi="Arial"/>
                <w:sz w:val="11"/>
                <w:szCs w:val="11"/>
                <w:color w:val="auto"/>
              </w:rPr>
              <w:t>(1)</w:t>
            </w:r>
          </w:p>
        </w:tc>
        <w:tc>
          <w:tcPr>
            <w:tcW w:w="16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28</w:t>
            </w: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3"/>
        </w:trPr>
        <w:tc>
          <w:tcPr>
            <w:tcW w:w="6780" w:type="dxa"/>
            <w:vAlign w:val="bottom"/>
          </w:tcPr>
          <w:p>
            <w:pPr>
              <w:ind w:left="20"/>
              <w:spacing w:after="0"/>
              <w:rPr>
                <w:sz w:val="20"/>
                <w:szCs w:val="20"/>
                <w:color w:val="auto"/>
              </w:rPr>
            </w:pPr>
            <w:r>
              <w:rPr>
                <w:rFonts w:ascii="Arial" w:cs="Arial" w:eastAsia="Arial" w:hAnsi="Arial"/>
                <w:sz w:val="14"/>
                <w:szCs w:val="14"/>
                <w:color w:val="auto"/>
              </w:rPr>
              <w:t>Changes related to discontinued operations</w:t>
            </w:r>
          </w:p>
        </w:tc>
        <w:tc>
          <w:tcPr>
            <w:tcW w:w="160" w:type="dxa"/>
            <w:vAlign w:val="bottom"/>
          </w:tcPr>
          <w:p>
            <w:pPr>
              <w:spacing w:after="0"/>
              <w:rPr>
                <w:sz w:val="16"/>
                <w:szCs w:val="16"/>
                <w:color w:val="auto"/>
              </w:rPr>
            </w:pPr>
          </w:p>
        </w:tc>
        <w:tc>
          <w:tcPr>
            <w:tcW w:w="14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(176)</w:t>
            </w:r>
          </w:p>
        </w:tc>
        <w:tc>
          <w:tcPr>
            <w:tcW w:w="0" w:type="dxa"/>
            <w:vAlign w:val="bottom"/>
          </w:tcPr>
          <w:p>
            <w:pPr>
              <w:spacing w:after="0"/>
              <w:rPr>
                <w:sz w:val="1"/>
                <w:szCs w:val="1"/>
                <w:color w:val="auto"/>
              </w:rPr>
            </w:pPr>
          </w:p>
        </w:tc>
      </w:tr>
      <w:tr>
        <w:trPr>
          <w:trHeight w:val="23"/>
        </w:trPr>
        <w:tc>
          <w:tcPr>
            <w:tcW w:w="6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Lower pension contribution</w:t>
            </w:r>
          </w:p>
        </w:tc>
        <w:tc>
          <w:tcPr>
            <w:tcW w:w="16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(27)</w:t>
            </w: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3"/>
        </w:trPr>
        <w:tc>
          <w:tcPr>
            <w:tcW w:w="6780" w:type="dxa"/>
            <w:vAlign w:val="bottom"/>
          </w:tcPr>
          <w:p>
            <w:pPr>
              <w:ind w:left="20"/>
              <w:spacing w:after="0"/>
              <w:rPr>
                <w:sz w:val="20"/>
                <w:szCs w:val="20"/>
                <w:color w:val="auto"/>
              </w:rPr>
            </w:pPr>
            <w:r>
              <w:rPr>
                <w:rFonts w:ascii="Arial" w:cs="Arial" w:eastAsia="Arial" w:hAnsi="Arial"/>
                <w:sz w:val="14"/>
                <w:szCs w:val="14"/>
                <w:color w:val="auto"/>
              </w:rPr>
              <w:t>Other</w:t>
            </w:r>
          </w:p>
        </w:tc>
        <w:tc>
          <w:tcPr>
            <w:tcW w:w="160" w:type="dxa"/>
            <w:vAlign w:val="bottom"/>
          </w:tcPr>
          <w:p>
            <w:pPr>
              <w:spacing w:after="0"/>
              <w:rPr>
                <w:sz w:val="16"/>
                <w:szCs w:val="16"/>
                <w:color w:val="auto"/>
              </w:rPr>
            </w:pPr>
          </w:p>
        </w:tc>
        <w:tc>
          <w:tcPr>
            <w:tcW w:w="1340" w:type="dxa"/>
            <w:vAlign w:val="bottom"/>
          </w:tcPr>
          <w:p>
            <w:pPr>
              <w:jc w:val="right"/>
              <w:ind w:right="50"/>
              <w:spacing w:after="0"/>
              <w:rPr>
                <w:sz w:val="20"/>
                <w:szCs w:val="20"/>
                <w:color w:val="auto"/>
              </w:rPr>
            </w:pPr>
            <w:r>
              <w:rPr>
                <w:rFonts w:ascii="Arial" w:cs="Arial" w:eastAsia="Arial" w:hAnsi="Arial"/>
                <w:sz w:val="14"/>
                <w:szCs w:val="14"/>
                <w:color w:val="auto"/>
              </w:rPr>
              <w:t>38</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(29)</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3"/>
        </w:trPr>
        <w:tc>
          <w:tcPr>
            <w:tcW w:w="67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1"/>
        </w:trPr>
        <w:tc>
          <w:tcPr>
            <w:tcW w:w="67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(593)</w:t>
            </w: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(193)</w:t>
            </w:r>
          </w:p>
        </w:tc>
        <w:tc>
          <w:tcPr>
            <w:tcW w:w="1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(337)</w:t>
            </w:r>
          </w:p>
        </w:tc>
        <w:tc>
          <w:tcPr>
            <w:tcW w:w="0" w:type="dxa"/>
            <w:vAlign w:val="bottom"/>
          </w:tcPr>
          <w:p>
            <w:pPr>
              <w:spacing w:after="0"/>
              <w:rPr>
                <w:sz w:val="1"/>
                <w:szCs w:val="1"/>
                <w:color w:val="auto"/>
              </w:rPr>
            </w:pP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2" w:lineRule="exact"/>
        <w:rPr>
          <w:sz w:val="20"/>
          <w:szCs w:val="20"/>
          <w:color w:val="auto"/>
        </w:rPr>
      </w:pPr>
    </w:p>
    <w:p>
      <w:pPr>
        <w:ind w:left="260"/>
        <w:spacing w:after="0"/>
        <w:rPr>
          <w:sz w:val="20"/>
          <w:szCs w:val="20"/>
          <w:color w:val="auto"/>
        </w:rPr>
      </w:pPr>
      <w:r>
        <w:rPr>
          <w:rFonts w:ascii="Arial" w:cs="Arial" w:eastAsia="Arial" w:hAnsi="Arial"/>
          <w:sz w:val="14"/>
          <w:szCs w:val="14"/>
          <w:color w:val="auto"/>
        </w:rPr>
        <w:t>(1)  This change is partially offset by the change in distributions from Enable in excess of cumulative earnings in investing activities noted in the table below.</w:t>
      </w:r>
    </w:p>
    <w:p>
      <w:pPr>
        <w:spacing w:after="0" w:line="180" w:lineRule="exact"/>
        <w:rPr>
          <w:sz w:val="20"/>
          <w:szCs w:val="20"/>
          <w:color w:val="auto"/>
        </w:rPr>
      </w:pPr>
    </w:p>
    <w:p>
      <w:pPr>
        <w:jc w:val="both"/>
        <w:ind w:firstLine="259"/>
        <w:spacing w:after="0" w:line="294" w:lineRule="auto"/>
        <w:rPr>
          <w:sz w:val="20"/>
          <w:szCs w:val="20"/>
          <w:color w:val="auto"/>
        </w:rPr>
      </w:pPr>
      <w:r>
        <w:rPr>
          <w:rFonts w:ascii="Arial" w:cs="Arial" w:eastAsia="Arial" w:hAnsi="Arial"/>
          <w:sz w:val="14"/>
          <w:szCs w:val="14"/>
          <w:b w:val="1"/>
          <w:bCs w:val="1"/>
          <w:color w:val="auto"/>
        </w:rPr>
        <w:t xml:space="preserve">Investing Activities. </w:t>
      </w:r>
      <w:r>
        <w:rPr>
          <w:rFonts w:ascii="Arial" w:cs="Arial" w:eastAsia="Arial" w:hAnsi="Arial"/>
          <w:sz w:val="14"/>
          <w:szCs w:val="14"/>
          <w:color w:val="auto"/>
        </w:rPr>
        <w:t>The following items contributed to (increased) decreased net cash used in investing activities for the nine months ended September 30, 2019 compared to the same period of</w:t>
      </w:r>
      <w:r>
        <w:rPr>
          <w:rFonts w:ascii="Arial" w:cs="Arial" w:eastAsia="Arial" w:hAnsi="Arial"/>
          <w:sz w:val="14"/>
          <w:szCs w:val="14"/>
          <w:b w:val="1"/>
          <w:bCs w:val="1"/>
          <w:color w:val="auto"/>
        </w:rPr>
        <w:t xml:space="preserve"> </w:t>
      </w:r>
      <w:r>
        <w:rPr>
          <w:rFonts w:ascii="Arial" w:cs="Arial" w:eastAsia="Arial" w:hAnsi="Arial"/>
          <w:sz w:val="14"/>
          <w:szCs w:val="14"/>
          <w:color w:val="auto"/>
        </w:rPr>
        <w:t>2018:</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6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60" w:type="dxa"/>
            <w:vAlign w:val="bottom"/>
            <w:gridSpan w:val="2"/>
            <w:vMerge w:val="restart"/>
          </w:tcPr>
          <w:p>
            <w:pPr>
              <w:ind w:left="100"/>
              <w:spacing w:after="0"/>
              <w:rPr>
                <w:sz w:val="20"/>
                <w:szCs w:val="20"/>
                <w:color w:val="auto"/>
              </w:rPr>
            </w:pPr>
            <w:r>
              <w:rPr>
                <w:rFonts w:ascii="Arial" w:cs="Arial" w:eastAsia="Arial" w:hAnsi="Arial"/>
                <w:sz w:val="11"/>
                <w:szCs w:val="11"/>
                <w:b w:val="1"/>
                <w:bCs w:val="1"/>
                <w:color w:val="auto"/>
              </w:rPr>
              <w:t>CenterPoint Energy</w:t>
            </w:r>
          </w:p>
        </w:tc>
        <w:tc>
          <w:tcPr>
            <w:tcW w:w="260" w:type="dxa"/>
            <w:vAlign w:val="bottom"/>
          </w:tcPr>
          <w:p>
            <w:pPr>
              <w:spacing w:after="0"/>
              <w:rPr>
                <w:sz w:val="10"/>
                <w:szCs w:val="10"/>
                <w:color w:val="auto"/>
              </w:rPr>
            </w:pPr>
          </w:p>
        </w:tc>
        <w:tc>
          <w:tcPr>
            <w:tcW w:w="1340" w:type="dxa"/>
            <w:vAlign w:val="bottom"/>
            <w:gridSpan w:val="2"/>
          </w:tcPr>
          <w:p>
            <w:pPr>
              <w:jc w:val="center"/>
              <w:ind w:right="380"/>
              <w:spacing w:after="0"/>
              <w:rPr>
                <w:sz w:val="20"/>
                <w:szCs w:val="20"/>
                <w:color w:val="auto"/>
              </w:rPr>
            </w:pPr>
            <w:r>
              <w:rPr>
                <w:rFonts w:ascii="Arial" w:cs="Arial" w:eastAsia="Arial" w:hAnsi="Arial"/>
                <w:sz w:val="11"/>
                <w:szCs w:val="11"/>
                <w:b w:val="1"/>
                <w:bCs w:val="1"/>
                <w:color w:val="auto"/>
                <w:w w:val="89"/>
              </w:rPr>
              <w:t>Houston</w:t>
            </w:r>
          </w:p>
        </w:tc>
        <w:tc>
          <w:tcPr>
            <w:tcW w:w="320" w:type="dxa"/>
            <w:vAlign w:val="bottom"/>
          </w:tcPr>
          <w:p>
            <w:pPr>
              <w:spacing w:after="0"/>
              <w:rPr>
                <w:sz w:val="10"/>
                <w:szCs w:val="10"/>
                <w:color w:val="auto"/>
              </w:rPr>
            </w:pPr>
          </w:p>
        </w:tc>
        <w:tc>
          <w:tcPr>
            <w:tcW w:w="1140" w:type="dxa"/>
            <w:vAlign w:val="bottom"/>
            <w:vMerge w:val="restart"/>
          </w:tcPr>
          <w:p>
            <w:pPr>
              <w:jc w:val="right"/>
              <w:ind w:right="490"/>
              <w:spacing w:after="0"/>
              <w:rPr>
                <w:sz w:val="20"/>
                <w:szCs w:val="20"/>
                <w:color w:val="auto"/>
              </w:rPr>
            </w:pPr>
            <w:r>
              <w:rPr>
                <w:rFonts w:ascii="Arial" w:cs="Arial" w:eastAsia="Arial" w:hAnsi="Arial"/>
                <w:sz w:val="11"/>
                <w:szCs w:val="11"/>
                <w:b w:val="1"/>
                <w:bCs w:val="1"/>
                <w:color w:val="auto"/>
              </w:rPr>
              <w:t>CERC</w:t>
            </w:r>
          </w:p>
        </w:tc>
        <w:tc>
          <w:tcPr>
            <w:tcW w:w="0" w:type="dxa"/>
            <w:vAlign w:val="bottom"/>
          </w:tcPr>
          <w:p>
            <w:pPr>
              <w:spacing w:after="0"/>
              <w:rPr>
                <w:sz w:val="1"/>
                <w:szCs w:val="1"/>
                <w:color w:val="auto"/>
              </w:rPr>
            </w:pPr>
          </w:p>
        </w:tc>
      </w:tr>
      <w:tr>
        <w:trPr>
          <w:trHeight w:val="153"/>
        </w:trPr>
        <w:tc>
          <w:tcPr>
            <w:tcW w:w="67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gridSpan w:val="2"/>
            <w:vMerge w:val="continue"/>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1"/>
                <w:szCs w:val="11"/>
                <w:b w:val="1"/>
                <w:bCs w:val="1"/>
                <w:color w:val="auto"/>
                <w:w w:val="95"/>
              </w:rPr>
              <w:t>Electric</w:t>
            </w:r>
          </w:p>
        </w:tc>
        <w:tc>
          <w:tcPr>
            <w:tcW w:w="3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6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gridSpan w:val="2"/>
          </w:tcPr>
          <w:p>
            <w:pPr>
              <w:jc w:val="center"/>
              <w:ind w:right="400"/>
              <w:spacing w:after="0"/>
              <w:rPr>
                <w:sz w:val="20"/>
                <w:szCs w:val="20"/>
                <w:color w:val="auto"/>
              </w:rPr>
            </w:pPr>
            <w:r>
              <w:rPr>
                <w:rFonts w:ascii="Arial" w:cs="Arial" w:eastAsia="Arial" w:hAnsi="Arial"/>
                <w:sz w:val="11"/>
                <w:szCs w:val="11"/>
                <w:b w:val="1"/>
                <w:bCs w:val="1"/>
                <w:color w:val="auto"/>
                <w:w w:val="93"/>
              </w:rPr>
              <w:t>(in millions)</w:t>
            </w: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6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Proceeds from the sale of marketable securities in 2018</w:t>
            </w: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(398)</w:t>
            </w: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CCEEFF"/>
            </w:tcBorders>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3"/>
        </w:trPr>
        <w:tc>
          <w:tcPr>
            <w:tcW w:w="6780" w:type="dxa"/>
            <w:vAlign w:val="bottom"/>
          </w:tcPr>
          <w:p>
            <w:pPr>
              <w:ind w:left="20"/>
              <w:spacing w:after="0"/>
              <w:rPr>
                <w:sz w:val="20"/>
                <w:szCs w:val="20"/>
                <w:color w:val="auto"/>
              </w:rPr>
            </w:pPr>
            <w:r>
              <w:rPr>
                <w:rFonts w:ascii="Arial" w:cs="Arial" w:eastAsia="Arial" w:hAnsi="Arial"/>
                <w:sz w:val="14"/>
                <w:szCs w:val="14"/>
                <w:color w:val="auto"/>
                <w:w w:val="95"/>
              </w:rPr>
              <w:t>2019 mergers and acquisitions, net of cash acquired (See Note 3 to the Interim Condensed Financial Statements)</w:t>
            </w:r>
          </w:p>
        </w:tc>
        <w:tc>
          <w:tcPr>
            <w:tcW w:w="160" w:type="dxa"/>
            <w:vAlign w:val="bottom"/>
          </w:tcPr>
          <w:p>
            <w:pPr>
              <w:spacing w:after="0"/>
              <w:rPr>
                <w:sz w:val="16"/>
                <w:szCs w:val="16"/>
                <w:color w:val="auto"/>
              </w:rPr>
            </w:pPr>
          </w:p>
        </w:tc>
        <w:tc>
          <w:tcPr>
            <w:tcW w:w="1340" w:type="dxa"/>
            <w:vAlign w:val="bottom"/>
          </w:tcPr>
          <w:p>
            <w:pPr>
              <w:jc w:val="right"/>
              <w:ind w:right="10"/>
              <w:spacing w:after="0"/>
              <w:rPr>
                <w:sz w:val="20"/>
                <w:szCs w:val="20"/>
                <w:color w:val="auto"/>
              </w:rPr>
            </w:pPr>
            <w:r>
              <w:rPr>
                <w:rFonts w:ascii="Arial" w:cs="Arial" w:eastAsia="Arial" w:hAnsi="Arial"/>
                <w:sz w:val="14"/>
                <w:szCs w:val="14"/>
                <w:color w:val="auto"/>
              </w:rPr>
              <w:t>(5,991)</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114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
        </w:trPr>
        <w:tc>
          <w:tcPr>
            <w:tcW w:w="6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Higher capital expenditures</w:t>
            </w:r>
          </w:p>
        </w:tc>
        <w:tc>
          <w:tcPr>
            <w:tcW w:w="16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(701)</w:t>
            </w: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(66)</w:t>
            </w:r>
          </w:p>
        </w:tc>
        <w:tc>
          <w:tcPr>
            <w:tcW w:w="1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(135)</w:t>
            </w:r>
          </w:p>
        </w:tc>
        <w:tc>
          <w:tcPr>
            <w:tcW w:w="0" w:type="dxa"/>
            <w:vAlign w:val="bottom"/>
          </w:tcPr>
          <w:p>
            <w:pPr>
              <w:spacing w:after="0"/>
              <w:rPr>
                <w:sz w:val="1"/>
                <w:szCs w:val="1"/>
                <w:color w:val="auto"/>
              </w:rPr>
            </w:pPr>
          </w:p>
        </w:tc>
      </w:tr>
      <w:tr>
        <w:trPr>
          <w:trHeight w:val="193"/>
        </w:trPr>
        <w:tc>
          <w:tcPr>
            <w:tcW w:w="6780" w:type="dxa"/>
            <w:vAlign w:val="bottom"/>
          </w:tcPr>
          <w:p>
            <w:pPr>
              <w:ind w:left="20"/>
              <w:spacing w:after="0"/>
              <w:rPr>
                <w:sz w:val="20"/>
                <w:szCs w:val="20"/>
                <w:color w:val="auto"/>
              </w:rPr>
            </w:pPr>
            <w:r>
              <w:rPr>
                <w:rFonts w:ascii="Arial" w:cs="Arial" w:eastAsia="Arial" w:hAnsi="Arial"/>
                <w:sz w:val="14"/>
                <w:szCs w:val="14"/>
                <w:color w:val="auto"/>
              </w:rPr>
              <w:t>Net change in notes receivable from affiliated companies</w:t>
            </w:r>
          </w:p>
        </w:tc>
        <w:tc>
          <w:tcPr>
            <w:tcW w:w="160" w:type="dxa"/>
            <w:vAlign w:val="bottom"/>
          </w:tcPr>
          <w:p>
            <w:pPr>
              <w:spacing w:after="0"/>
              <w:rPr>
                <w:sz w:val="16"/>
                <w:szCs w:val="16"/>
                <w:color w:val="auto"/>
              </w:rPr>
            </w:pPr>
          </w:p>
        </w:tc>
        <w:tc>
          <w:tcPr>
            <w:tcW w:w="14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(772)</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jc w:val="right"/>
              <w:ind w:right="30"/>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23"/>
        </w:trPr>
        <w:tc>
          <w:tcPr>
            <w:tcW w:w="6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Change in distributions from Enable in excess of cumulative earnings</w:t>
            </w:r>
          </w:p>
        </w:tc>
        <w:tc>
          <w:tcPr>
            <w:tcW w:w="16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(30)</w:t>
            </w: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3"/>
        </w:trPr>
        <w:tc>
          <w:tcPr>
            <w:tcW w:w="6780" w:type="dxa"/>
            <w:vAlign w:val="bottom"/>
          </w:tcPr>
          <w:p>
            <w:pPr>
              <w:ind w:left="20"/>
              <w:spacing w:after="0"/>
              <w:rPr>
                <w:sz w:val="20"/>
                <w:szCs w:val="20"/>
                <w:color w:val="auto"/>
              </w:rPr>
            </w:pPr>
            <w:r>
              <w:rPr>
                <w:rFonts w:ascii="Arial" w:cs="Arial" w:eastAsia="Arial" w:hAnsi="Arial"/>
                <w:sz w:val="14"/>
                <w:szCs w:val="14"/>
                <w:color w:val="auto"/>
              </w:rPr>
              <w:t>Changes related to discontinued operations</w:t>
            </w:r>
          </w:p>
        </w:tc>
        <w:tc>
          <w:tcPr>
            <w:tcW w:w="160" w:type="dxa"/>
            <w:vAlign w:val="bottom"/>
          </w:tcPr>
          <w:p>
            <w:pPr>
              <w:spacing w:after="0"/>
              <w:rPr>
                <w:sz w:val="16"/>
                <w:szCs w:val="16"/>
                <w:color w:val="auto"/>
              </w:rPr>
            </w:pPr>
          </w:p>
        </w:tc>
        <w:tc>
          <w:tcPr>
            <w:tcW w:w="14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23"/>
        </w:trPr>
        <w:tc>
          <w:tcPr>
            <w:tcW w:w="6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6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Other</w:t>
            </w:r>
          </w:p>
        </w:tc>
        <w:tc>
          <w:tcPr>
            <w:tcW w:w="16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19</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84"/>
        </w:trPr>
        <w:tc>
          <w:tcPr>
            <w:tcW w:w="6780" w:type="dxa"/>
            <w:vAlign w:val="bottom"/>
          </w:tcPr>
          <w:p>
            <w:pPr>
              <w:spacing w:after="0"/>
              <w:rPr>
                <w:sz w:val="15"/>
                <w:szCs w:val="15"/>
                <w:color w:val="auto"/>
              </w:rPr>
            </w:pPr>
          </w:p>
        </w:tc>
        <w:tc>
          <w:tcPr>
            <w:tcW w:w="1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4"/>
                <w:szCs w:val="14"/>
                <w:color w:val="auto"/>
              </w:rPr>
              <w:t>(7,101)</w:t>
            </w:r>
          </w:p>
        </w:tc>
        <w:tc>
          <w:tcPr>
            <w:tcW w:w="120" w:type="dxa"/>
            <w:vAlign w:val="bottom"/>
          </w:tcPr>
          <w:p>
            <w:pPr>
              <w:spacing w:after="0"/>
              <w:rPr>
                <w:sz w:val="15"/>
                <w:szCs w:val="15"/>
                <w:color w:val="auto"/>
              </w:rPr>
            </w:pPr>
          </w:p>
        </w:tc>
        <w:tc>
          <w:tcPr>
            <w:tcW w:w="26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(841)</w:t>
            </w:r>
          </w:p>
        </w:tc>
        <w:tc>
          <w:tcPr>
            <w:tcW w:w="120" w:type="dxa"/>
            <w:vAlign w:val="bottom"/>
          </w:tcPr>
          <w:p>
            <w:pPr>
              <w:spacing w:after="0"/>
              <w:rPr>
                <w:sz w:val="15"/>
                <w:szCs w:val="15"/>
                <w:color w:val="auto"/>
              </w:rPr>
            </w:pPr>
          </w:p>
        </w:tc>
        <w:tc>
          <w:tcPr>
            <w:tcW w:w="320" w:type="dxa"/>
            <w:vAlign w:val="bottom"/>
            <w:tcBorders>
              <w:top w:val="single" w:sz="8" w:color="auto"/>
            </w:tcBorders>
          </w:tcPr>
          <w:p>
            <w:pPr>
              <w:jc w:val="right"/>
              <w:ind w:right="168"/>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(156)</w:t>
            </w:r>
          </w:p>
        </w:tc>
        <w:tc>
          <w:tcPr>
            <w:tcW w:w="0" w:type="dxa"/>
            <w:vAlign w:val="bottom"/>
          </w:tcPr>
          <w:p>
            <w:pPr>
              <w:spacing w:after="0"/>
              <w:rPr>
                <w:sz w:val="1"/>
                <w:szCs w:val="1"/>
                <w:color w:val="auto"/>
              </w:rPr>
            </w:pPr>
          </w:p>
        </w:tc>
      </w:tr>
      <w:tr>
        <w:trPr>
          <w:trHeight w:val="23"/>
        </w:trPr>
        <w:tc>
          <w:tcPr>
            <w:tcW w:w="6780" w:type="dxa"/>
            <w:vAlign w:val="bottom"/>
            <w:vMerge w:val="restart"/>
          </w:tcPr>
          <w:p>
            <w:pPr>
              <w:ind w:left="5660"/>
              <w:spacing w:after="0"/>
              <w:rPr>
                <w:sz w:val="20"/>
                <w:szCs w:val="20"/>
                <w:color w:val="auto"/>
              </w:rPr>
            </w:pPr>
            <w:r>
              <w:rPr>
                <w:rFonts w:ascii="Arial" w:cs="Arial" w:eastAsia="Arial" w:hAnsi="Arial"/>
                <w:sz w:val="14"/>
                <w:szCs w:val="14"/>
                <w:color w:val="auto"/>
              </w:rPr>
              <w:t>82</w:t>
            </w: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6780" w:type="dxa"/>
            <w:vAlign w:val="bottom"/>
            <w:vMerge w:val="continue"/>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0"/>
        </w:trPr>
        <w:tc>
          <w:tcPr>
            <w:tcW w:w="67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20" w:top="129" w:right="219" w:bottom="1440" w:gutter="0" w:footer="0" w:header="0"/>
        </w:sectPr>
      </w:pPr>
    </w:p>
    <w:bookmarkStart w:id="92" w:name="page93"/>
    <w:bookmarkEnd w:id="92"/>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201" w:lineRule="exact"/>
        <w:rPr>
          <w:sz w:val="20"/>
          <w:szCs w:val="20"/>
          <w:color w:val="auto"/>
        </w:rPr>
      </w:pPr>
    </w:p>
    <w:p>
      <w:pPr>
        <w:jc w:val="both"/>
        <w:ind w:firstLine="259"/>
        <w:spacing w:after="0" w:line="294" w:lineRule="auto"/>
        <w:rPr>
          <w:sz w:val="20"/>
          <w:szCs w:val="20"/>
          <w:color w:val="auto"/>
        </w:rPr>
      </w:pPr>
      <w:r>
        <w:rPr>
          <w:rFonts w:ascii="Arial" w:cs="Arial" w:eastAsia="Arial" w:hAnsi="Arial"/>
          <w:sz w:val="14"/>
          <w:szCs w:val="14"/>
          <w:b w:val="1"/>
          <w:bCs w:val="1"/>
          <w:color w:val="auto"/>
        </w:rPr>
        <w:t xml:space="preserve">Financing Activities. </w:t>
      </w:r>
      <w:r>
        <w:rPr>
          <w:rFonts w:ascii="Arial" w:cs="Arial" w:eastAsia="Arial" w:hAnsi="Arial"/>
          <w:sz w:val="14"/>
          <w:szCs w:val="14"/>
          <w:color w:val="auto"/>
        </w:rPr>
        <w:t>The following items contributed to (increased) decreased net cash used in financing activities for the nine months ended September 30, 2019 compared to the same period</w:t>
      </w:r>
      <w:r>
        <w:rPr>
          <w:rFonts w:ascii="Arial" w:cs="Arial" w:eastAsia="Arial" w:hAnsi="Arial"/>
          <w:sz w:val="14"/>
          <w:szCs w:val="14"/>
          <w:b w:val="1"/>
          <w:bCs w:val="1"/>
          <w:color w:val="auto"/>
        </w:rPr>
        <w:t xml:space="preserve"> </w:t>
      </w:r>
      <w:r>
        <w:rPr>
          <w:rFonts w:ascii="Arial" w:cs="Arial" w:eastAsia="Arial" w:hAnsi="Arial"/>
          <w:sz w:val="14"/>
          <w:szCs w:val="14"/>
          <w:color w:val="auto"/>
        </w:rPr>
        <w:t>of 2018:</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6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60" w:type="dxa"/>
            <w:vAlign w:val="bottom"/>
            <w:gridSpan w:val="2"/>
            <w:vMerge w:val="restart"/>
          </w:tcPr>
          <w:p>
            <w:pPr>
              <w:ind w:left="100"/>
              <w:spacing w:after="0"/>
              <w:rPr>
                <w:sz w:val="20"/>
                <w:szCs w:val="20"/>
                <w:color w:val="auto"/>
              </w:rPr>
            </w:pPr>
            <w:r>
              <w:rPr>
                <w:rFonts w:ascii="Arial" w:cs="Arial" w:eastAsia="Arial" w:hAnsi="Arial"/>
                <w:sz w:val="11"/>
                <w:szCs w:val="11"/>
                <w:b w:val="1"/>
                <w:bCs w:val="1"/>
                <w:color w:val="auto"/>
              </w:rPr>
              <w:t>CenterPoint Energy</w:t>
            </w:r>
          </w:p>
        </w:tc>
        <w:tc>
          <w:tcPr>
            <w:tcW w:w="260" w:type="dxa"/>
            <w:vAlign w:val="bottom"/>
          </w:tcPr>
          <w:p>
            <w:pPr>
              <w:spacing w:after="0"/>
              <w:rPr>
                <w:sz w:val="10"/>
                <w:szCs w:val="10"/>
                <w:color w:val="auto"/>
              </w:rPr>
            </w:pPr>
          </w:p>
        </w:tc>
        <w:tc>
          <w:tcPr>
            <w:tcW w:w="1340" w:type="dxa"/>
            <w:vAlign w:val="bottom"/>
            <w:gridSpan w:val="2"/>
          </w:tcPr>
          <w:p>
            <w:pPr>
              <w:jc w:val="center"/>
              <w:ind w:right="380"/>
              <w:spacing w:after="0"/>
              <w:rPr>
                <w:sz w:val="20"/>
                <w:szCs w:val="20"/>
                <w:color w:val="auto"/>
              </w:rPr>
            </w:pPr>
            <w:r>
              <w:rPr>
                <w:rFonts w:ascii="Arial" w:cs="Arial" w:eastAsia="Arial" w:hAnsi="Arial"/>
                <w:sz w:val="11"/>
                <w:szCs w:val="11"/>
                <w:b w:val="1"/>
                <w:bCs w:val="1"/>
                <w:color w:val="auto"/>
                <w:w w:val="89"/>
              </w:rPr>
              <w:t>Houston</w:t>
            </w:r>
          </w:p>
        </w:tc>
        <w:tc>
          <w:tcPr>
            <w:tcW w:w="320" w:type="dxa"/>
            <w:vAlign w:val="bottom"/>
          </w:tcPr>
          <w:p>
            <w:pPr>
              <w:spacing w:after="0"/>
              <w:rPr>
                <w:sz w:val="10"/>
                <w:szCs w:val="10"/>
                <w:color w:val="auto"/>
              </w:rPr>
            </w:pPr>
          </w:p>
        </w:tc>
        <w:tc>
          <w:tcPr>
            <w:tcW w:w="1140" w:type="dxa"/>
            <w:vAlign w:val="bottom"/>
            <w:vMerge w:val="restart"/>
          </w:tcPr>
          <w:p>
            <w:pPr>
              <w:jc w:val="right"/>
              <w:ind w:right="489"/>
              <w:spacing w:after="0"/>
              <w:rPr>
                <w:sz w:val="20"/>
                <w:szCs w:val="20"/>
                <w:color w:val="auto"/>
              </w:rPr>
            </w:pPr>
            <w:r>
              <w:rPr>
                <w:rFonts w:ascii="Arial" w:cs="Arial" w:eastAsia="Arial" w:hAnsi="Arial"/>
                <w:sz w:val="11"/>
                <w:szCs w:val="11"/>
                <w:b w:val="1"/>
                <w:bCs w:val="1"/>
                <w:color w:val="auto"/>
              </w:rPr>
              <w:t>CERC</w:t>
            </w:r>
          </w:p>
        </w:tc>
        <w:tc>
          <w:tcPr>
            <w:tcW w:w="0" w:type="dxa"/>
            <w:vAlign w:val="bottom"/>
          </w:tcPr>
          <w:p>
            <w:pPr>
              <w:spacing w:after="0"/>
              <w:rPr>
                <w:sz w:val="1"/>
                <w:szCs w:val="1"/>
                <w:color w:val="auto"/>
              </w:rPr>
            </w:pPr>
          </w:p>
        </w:tc>
      </w:tr>
      <w:tr>
        <w:trPr>
          <w:trHeight w:val="153"/>
        </w:trPr>
        <w:tc>
          <w:tcPr>
            <w:tcW w:w="67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gridSpan w:val="2"/>
            <w:vMerge w:val="continue"/>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1"/>
                <w:szCs w:val="11"/>
                <w:b w:val="1"/>
                <w:bCs w:val="1"/>
                <w:color w:val="auto"/>
                <w:w w:val="95"/>
              </w:rPr>
              <w:t>Electric</w:t>
            </w:r>
          </w:p>
        </w:tc>
        <w:tc>
          <w:tcPr>
            <w:tcW w:w="3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6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gridSpan w:val="2"/>
          </w:tcPr>
          <w:p>
            <w:pPr>
              <w:jc w:val="center"/>
              <w:ind w:right="400"/>
              <w:spacing w:after="0"/>
              <w:rPr>
                <w:sz w:val="20"/>
                <w:szCs w:val="20"/>
                <w:color w:val="auto"/>
              </w:rPr>
            </w:pPr>
            <w:r>
              <w:rPr>
                <w:rFonts w:ascii="Arial" w:cs="Arial" w:eastAsia="Arial" w:hAnsi="Arial"/>
                <w:sz w:val="11"/>
                <w:szCs w:val="11"/>
                <w:b w:val="1"/>
                <w:bCs w:val="1"/>
                <w:color w:val="auto"/>
                <w:w w:val="93"/>
              </w:rPr>
              <w:t>(in millions)</w:t>
            </w: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6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changes in commercial paper outstanding</w:t>
            </w: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34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3,135</w:t>
            </w: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CCEEFF"/>
            </w:tcBorders>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900</w:t>
            </w:r>
          </w:p>
        </w:tc>
        <w:tc>
          <w:tcPr>
            <w:tcW w:w="0" w:type="dxa"/>
            <w:vAlign w:val="bottom"/>
          </w:tcPr>
          <w:p>
            <w:pPr>
              <w:spacing w:after="0"/>
              <w:rPr>
                <w:sz w:val="1"/>
                <w:szCs w:val="1"/>
                <w:color w:val="auto"/>
              </w:rPr>
            </w:pPr>
          </w:p>
        </w:tc>
      </w:tr>
      <w:tr>
        <w:trPr>
          <w:trHeight w:val="193"/>
        </w:trPr>
        <w:tc>
          <w:tcPr>
            <w:tcW w:w="6780" w:type="dxa"/>
            <w:vAlign w:val="bottom"/>
          </w:tcPr>
          <w:p>
            <w:pPr>
              <w:ind w:left="20"/>
              <w:spacing w:after="0"/>
              <w:rPr>
                <w:sz w:val="20"/>
                <w:szCs w:val="20"/>
                <w:color w:val="auto"/>
              </w:rPr>
            </w:pPr>
            <w:r>
              <w:rPr>
                <w:rFonts w:ascii="Arial" w:cs="Arial" w:eastAsia="Arial" w:hAnsi="Arial"/>
                <w:sz w:val="14"/>
                <w:szCs w:val="14"/>
                <w:color w:val="auto"/>
              </w:rPr>
              <w:t>Decreased proceeds from issuances of preferred stock</w:t>
            </w:r>
          </w:p>
        </w:tc>
        <w:tc>
          <w:tcPr>
            <w:tcW w:w="160" w:type="dxa"/>
            <w:vAlign w:val="bottom"/>
          </w:tcPr>
          <w:p>
            <w:pPr>
              <w:spacing w:after="0"/>
              <w:rPr>
                <w:sz w:val="16"/>
                <w:szCs w:val="16"/>
                <w:color w:val="auto"/>
              </w:rPr>
            </w:pPr>
          </w:p>
        </w:tc>
        <w:tc>
          <w:tcPr>
            <w:tcW w:w="1340" w:type="dxa"/>
            <w:vAlign w:val="bottom"/>
          </w:tcPr>
          <w:p>
            <w:pPr>
              <w:jc w:val="right"/>
              <w:ind w:right="9"/>
              <w:spacing w:after="0"/>
              <w:rPr>
                <w:sz w:val="20"/>
                <w:szCs w:val="20"/>
                <w:color w:val="auto"/>
              </w:rPr>
            </w:pPr>
            <w:r>
              <w:rPr>
                <w:rFonts w:ascii="Arial" w:cs="Arial" w:eastAsia="Arial" w:hAnsi="Arial"/>
                <w:sz w:val="14"/>
                <w:szCs w:val="14"/>
                <w:color w:val="auto"/>
              </w:rPr>
              <w:t>(790)</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114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
        </w:trPr>
        <w:tc>
          <w:tcPr>
            <w:tcW w:w="6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changes in long-term debt outstanding, excluding commercial paper</w:t>
            </w:r>
          </w:p>
        </w:tc>
        <w:tc>
          <w:tcPr>
            <w:tcW w:w="16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1,062</w:t>
            </w: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276</w:t>
            </w:r>
          </w:p>
        </w:tc>
        <w:tc>
          <w:tcPr>
            <w:tcW w:w="1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(599)</w:t>
            </w:r>
          </w:p>
        </w:tc>
        <w:tc>
          <w:tcPr>
            <w:tcW w:w="0" w:type="dxa"/>
            <w:vAlign w:val="bottom"/>
          </w:tcPr>
          <w:p>
            <w:pPr>
              <w:spacing w:after="0"/>
              <w:rPr>
                <w:sz w:val="1"/>
                <w:szCs w:val="1"/>
                <w:color w:val="auto"/>
              </w:rPr>
            </w:pPr>
          </w:p>
        </w:tc>
      </w:tr>
      <w:tr>
        <w:trPr>
          <w:trHeight w:val="193"/>
        </w:trPr>
        <w:tc>
          <w:tcPr>
            <w:tcW w:w="6780" w:type="dxa"/>
            <w:vAlign w:val="bottom"/>
          </w:tcPr>
          <w:p>
            <w:pPr>
              <w:ind w:left="20"/>
              <w:spacing w:after="0"/>
              <w:rPr>
                <w:sz w:val="20"/>
                <w:szCs w:val="20"/>
                <w:color w:val="auto"/>
              </w:rPr>
            </w:pPr>
            <w:r>
              <w:rPr>
                <w:rFonts w:ascii="Arial" w:cs="Arial" w:eastAsia="Arial" w:hAnsi="Arial"/>
                <w:sz w:val="14"/>
                <w:szCs w:val="14"/>
                <w:color w:val="auto"/>
              </w:rPr>
              <w:t>Net changes in debt issuance costs</w:t>
            </w:r>
          </w:p>
        </w:tc>
        <w:tc>
          <w:tcPr>
            <w:tcW w:w="160" w:type="dxa"/>
            <w:vAlign w:val="bottom"/>
          </w:tcPr>
          <w:p>
            <w:pPr>
              <w:spacing w:after="0"/>
              <w:rPr>
                <w:sz w:val="16"/>
                <w:szCs w:val="16"/>
                <w:color w:val="auto"/>
              </w:rPr>
            </w:pPr>
          </w:p>
        </w:tc>
        <w:tc>
          <w:tcPr>
            <w:tcW w:w="1340" w:type="dxa"/>
            <w:vAlign w:val="bottom"/>
          </w:tcPr>
          <w:p>
            <w:pPr>
              <w:jc w:val="right"/>
              <w:ind w:right="49"/>
              <w:spacing w:after="0"/>
              <w:rPr>
                <w:sz w:val="20"/>
                <w:szCs w:val="20"/>
                <w:color w:val="auto"/>
              </w:rPr>
            </w:pPr>
            <w:r>
              <w:rPr>
                <w:rFonts w:ascii="Arial" w:cs="Arial" w:eastAsia="Arial" w:hAnsi="Arial"/>
                <w:sz w:val="14"/>
                <w:szCs w:val="14"/>
                <w:color w:val="auto"/>
              </w:rPr>
              <w:t>17</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jc w:val="right"/>
              <w:ind w:right="29"/>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3"/>
        </w:trPr>
        <w:tc>
          <w:tcPr>
            <w:tcW w:w="6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changes in short-term borrowings</w:t>
            </w:r>
          </w:p>
        </w:tc>
        <w:tc>
          <w:tcPr>
            <w:tcW w:w="16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39</w:t>
            </w: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193"/>
        </w:trPr>
        <w:tc>
          <w:tcPr>
            <w:tcW w:w="6780" w:type="dxa"/>
            <w:vAlign w:val="bottom"/>
          </w:tcPr>
          <w:p>
            <w:pPr>
              <w:ind w:left="20"/>
              <w:spacing w:after="0"/>
              <w:rPr>
                <w:sz w:val="20"/>
                <w:szCs w:val="20"/>
                <w:color w:val="auto"/>
              </w:rPr>
            </w:pPr>
            <w:r>
              <w:rPr>
                <w:rFonts w:ascii="Arial" w:cs="Arial" w:eastAsia="Arial" w:hAnsi="Arial"/>
                <w:sz w:val="14"/>
                <w:szCs w:val="14"/>
                <w:color w:val="auto"/>
              </w:rPr>
              <w:t>Distributions to ZENS note holders in 2018</w:t>
            </w:r>
          </w:p>
        </w:tc>
        <w:tc>
          <w:tcPr>
            <w:tcW w:w="160" w:type="dxa"/>
            <w:vAlign w:val="bottom"/>
          </w:tcPr>
          <w:p>
            <w:pPr>
              <w:spacing w:after="0"/>
              <w:rPr>
                <w:sz w:val="16"/>
                <w:szCs w:val="16"/>
                <w:color w:val="auto"/>
              </w:rPr>
            </w:pPr>
          </w:p>
        </w:tc>
        <w:tc>
          <w:tcPr>
            <w:tcW w:w="1340" w:type="dxa"/>
            <w:vAlign w:val="bottom"/>
          </w:tcPr>
          <w:p>
            <w:pPr>
              <w:jc w:val="right"/>
              <w:ind w:right="49"/>
              <w:spacing w:after="0"/>
              <w:rPr>
                <w:sz w:val="20"/>
                <w:szCs w:val="20"/>
                <w:color w:val="auto"/>
              </w:rPr>
            </w:pPr>
            <w:r>
              <w:rPr>
                <w:rFonts w:ascii="Arial" w:cs="Arial" w:eastAsia="Arial" w:hAnsi="Arial"/>
                <w:sz w:val="14"/>
                <w:szCs w:val="14"/>
                <w:color w:val="auto"/>
              </w:rPr>
              <w:t>398</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114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
        </w:trPr>
        <w:tc>
          <w:tcPr>
            <w:tcW w:w="6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Increased payment of Common Stock dividends</w:t>
            </w:r>
          </w:p>
        </w:tc>
        <w:tc>
          <w:tcPr>
            <w:tcW w:w="16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(73)</w:t>
            </w: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3"/>
        </w:trPr>
        <w:tc>
          <w:tcPr>
            <w:tcW w:w="6780" w:type="dxa"/>
            <w:vAlign w:val="bottom"/>
          </w:tcPr>
          <w:p>
            <w:pPr>
              <w:ind w:left="20"/>
              <w:spacing w:after="0"/>
              <w:rPr>
                <w:sz w:val="20"/>
                <w:szCs w:val="20"/>
                <w:color w:val="auto"/>
              </w:rPr>
            </w:pPr>
            <w:r>
              <w:rPr>
                <w:rFonts w:ascii="Arial" w:cs="Arial" w:eastAsia="Arial" w:hAnsi="Arial"/>
                <w:sz w:val="14"/>
                <w:szCs w:val="14"/>
                <w:color w:val="auto"/>
              </w:rPr>
              <w:t>Increased payment of preferred stock dividends</w:t>
            </w:r>
          </w:p>
        </w:tc>
        <w:tc>
          <w:tcPr>
            <w:tcW w:w="160" w:type="dxa"/>
            <w:vAlign w:val="bottom"/>
          </w:tcPr>
          <w:p>
            <w:pPr>
              <w:spacing w:after="0"/>
              <w:rPr>
                <w:sz w:val="16"/>
                <w:szCs w:val="16"/>
                <w:color w:val="auto"/>
              </w:rPr>
            </w:pPr>
          </w:p>
        </w:tc>
        <w:tc>
          <w:tcPr>
            <w:tcW w:w="1340" w:type="dxa"/>
            <w:vAlign w:val="bottom"/>
          </w:tcPr>
          <w:p>
            <w:pPr>
              <w:jc w:val="right"/>
              <w:ind w:right="9"/>
              <w:spacing w:after="0"/>
              <w:rPr>
                <w:sz w:val="20"/>
                <w:szCs w:val="20"/>
                <w:color w:val="auto"/>
              </w:rPr>
            </w:pPr>
            <w:r>
              <w:rPr>
                <w:rFonts w:ascii="Arial" w:cs="Arial" w:eastAsia="Arial" w:hAnsi="Arial"/>
                <w:sz w:val="14"/>
                <w:szCs w:val="14"/>
                <w:color w:val="auto"/>
              </w:rPr>
              <w:t>(101)</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114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
        </w:trPr>
        <w:tc>
          <w:tcPr>
            <w:tcW w:w="6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change in notes payable from affiliated companies</w:t>
            </w:r>
          </w:p>
        </w:tc>
        <w:tc>
          <w:tcPr>
            <w:tcW w:w="16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1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570</w:t>
            </w:r>
          </w:p>
        </w:tc>
        <w:tc>
          <w:tcPr>
            <w:tcW w:w="0" w:type="dxa"/>
            <w:vAlign w:val="bottom"/>
          </w:tcPr>
          <w:p>
            <w:pPr>
              <w:spacing w:after="0"/>
              <w:rPr>
                <w:sz w:val="1"/>
                <w:szCs w:val="1"/>
                <w:color w:val="auto"/>
              </w:rPr>
            </w:pPr>
          </w:p>
        </w:tc>
      </w:tr>
      <w:tr>
        <w:trPr>
          <w:trHeight w:val="193"/>
        </w:trPr>
        <w:tc>
          <w:tcPr>
            <w:tcW w:w="6780" w:type="dxa"/>
            <w:vAlign w:val="bottom"/>
          </w:tcPr>
          <w:p>
            <w:pPr>
              <w:ind w:left="20"/>
              <w:spacing w:after="0"/>
              <w:rPr>
                <w:sz w:val="20"/>
                <w:szCs w:val="20"/>
                <w:color w:val="auto"/>
              </w:rPr>
            </w:pPr>
            <w:r>
              <w:rPr>
                <w:rFonts w:ascii="Arial" w:cs="Arial" w:eastAsia="Arial" w:hAnsi="Arial"/>
                <w:sz w:val="14"/>
                <w:szCs w:val="14"/>
                <w:color w:val="auto"/>
              </w:rPr>
              <w:t>Contribution from parent</w:t>
            </w:r>
          </w:p>
        </w:tc>
        <w:tc>
          <w:tcPr>
            <w:tcW w:w="160" w:type="dxa"/>
            <w:vAlign w:val="bottom"/>
          </w:tcPr>
          <w:p>
            <w:pPr>
              <w:spacing w:after="0"/>
              <w:rPr>
                <w:sz w:val="16"/>
                <w:szCs w:val="16"/>
                <w:color w:val="auto"/>
              </w:rPr>
            </w:pPr>
          </w:p>
        </w:tc>
        <w:tc>
          <w:tcPr>
            <w:tcW w:w="14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1220" w:type="dxa"/>
            <w:vAlign w:val="bottom"/>
          </w:tcPr>
          <w:p>
            <w:pPr>
              <w:jc w:val="right"/>
              <w:ind w:right="31"/>
              <w:spacing w:after="0"/>
              <w:rPr>
                <w:sz w:val="20"/>
                <w:szCs w:val="20"/>
                <w:color w:val="auto"/>
              </w:rPr>
            </w:pPr>
            <w:r>
              <w:rPr>
                <w:rFonts w:ascii="Arial" w:cs="Arial" w:eastAsia="Arial" w:hAnsi="Arial"/>
                <w:sz w:val="14"/>
                <w:szCs w:val="14"/>
                <w:color w:val="auto"/>
              </w:rPr>
              <w:t>590</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(600)</w:t>
            </w:r>
          </w:p>
        </w:tc>
        <w:tc>
          <w:tcPr>
            <w:tcW w:w="0" w:type="dxa"/>
            <w:vAlign w:val="bottom"/>
          </w:tcPr>
          <w:p>
            <w:pPr>
              <w:spacing w:after="0"/>
              <w:rPr>
                <w:sz w:val="1"/>
                <w:szCs w:val="1"/>
                <w:color w:val="auto"/>
              </w:rPr>
            </w:pPr>
          </w:p>
        </w:tc>
      </w:tr>
      <w:tr>
        <w:trPr>
          <w:trHeight w:val="23"/>
        </w:trPr>
        <w:tc>
          <w:tcPr>
            <w:tcW w:w="6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Dividend to parent</w:t>
            </w:r>
          </w:p>
        </w:tc>
        <w:tc>
          <w:tcPr>
            <w:tcW w:w="16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23</w:t>
            </w:r>
          </w:p>
        </w:tc>
        <w:tc>
          <w:tcPr>
            <w:tcW w:w="1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167</w:t>
            </w:r>
          </w:p>
        </w:tc>
        <w:tc>
          <w:tcPr>
            <w:tcW w:w="0" w:type="dxa"/>
            <w:vAlign w:val="bottom"/>
          </w:tcPr>
          <w:p>
            <w:pPr>
              <w:spacing w:after="0"/>
              <w:rPr>
                <w:sz w:val="1"/>
                <w:szCs w:val="1"/>
                <w:color w:val="auto"/>
              </w:rPr>
            </w:pPr>
          </w:p>
        </w:tc>
      </w:tr>
      <w:tr>
        <w:trPr>
          <w:trHeight w:val="193"/>
        </w:trPr>
        <w:tc>
          <w:tcPr>
            <w:tcW w:w="6780" w:type="dxa"/>
            <w:vAlign w:val="bottom"/>
          </w:tcPr>
          <w:p>
            <w:pPr>
              <w:ind w:left="20"/>
              <w:spacing w:after="0"/>
              <w:rPr>
                <w:sz w:val="20"/>
                <w:szCs w:val="20"/>
                <w:color w:val="auto"/>
              </w:rPr>
            </w:pPr>
            <w:r>
              <w:rPr>
                <w:rFonts w:ascii="Arial" w:cs="Arial" w:eastAsia="Arial" w:hAnsi="Arial"/>
                <w:sz w:val="14"/>
                <w:szCs w:val="14"/>
                <w:color w:val="auto"/>
              </w:rPr>
              <w:t>Other</w:t>
            </w:r>
          </w:p>
        </w:tc>
        <w:tc>
          <w:tcPr>
            <w:tcW w:w="160" w:type="dxa"/>
            <w:vAlign w:val="bottom"/>
          </w:tcPr>
          <w:p>
            <w:pPr>
              <w:spacing w:after="0"/>
              <w:rPr>
                <w:sz w:val="16"/>
                <w:szCs w:val="16"/>
                <w:color w:val="auto"/>
              </w:rPr>
            </w:pPr>
          </w:p>
        </w:tc>
        <w:tc>
          <w:tcPr>
            <w:tcW w:w="1340" w:type="dxa"/>
            <w:vAlign w:val="bottom"/>
          </w:tcPr>
          <w:p>
            <w:pPr>
              <w:jc w:val="right"/>
              <w:ind w:right="9"/>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3"/>
        </w:trPr>
        <w:tc>
          <w:tcPr>
            <w:tcW w:w="67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1"/>
        </w:trPr>
        <w:tc>
          <w:tcPr>
            <w:tcW w:w="67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34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3,678</w:t>
            </w: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868</w:t>
            </w:r>
          </w:p>
        </w:tc>
        <w:tc>
          <w:tcPr>
            <w:tcW w:w="1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481</w:t>
            </w:r>
          </w:p>
        </w:tc>
        <w:tc>
          <w:tcPr>
            <w:tcW w:w="0" w:type="dxa"/>
            <w:vAlign w:val="bottom"/>
          </w:tcPr>
          <w:p>
            <w:pPr>
              <w:spacing w:after="0"/>
              <w:rPr>
                <w:sz w:val="1"/>
                <w:szCs w:val="1"/>
                <w:color w:val="auto"/>
              </w:rPr>
            </w:pP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Future Sources and Uses of Cash</w:t>
      </w:r>
    </w:p>
    <w:p>
      <w:pPr>
        <w:spacing w:after="0" w:line="188" w:lineRule="exact"/>
        <w:rPr>
          <w:sz w:val="20"/>
          <w:szCs w:val="20"/>
          <w:color w:val="auto"/>
        </w:rPr>
      </w:pPr>
    </w:p>
    <w:p>
      <w:pPr>
        <w:jc w:val="both"/>
        <w:ind w:firstLine="259"/>
        <w:spacing w:after="0" w:line="267" w:lineRule="auto"/>
        <w:rPr>
          <w:sz w:val="20"/>
          <w:szCs w:val="20"/>
          <w:color w:val="auto"/>
        </w:rPr>
      </w:pPr>
      <w:r>
        <w:rPr>
          <w:rFonts w:ascii="Arial" w:cs="Arial" w:eastAsia="Arial" w:hAnsi="Arial"/>
          <w:sz w:val="14"/>
          <w:szCs w:val="14"/>
          <w:color w:val="auto"/>
        </w:rPr>
        <w:t>The liquidity and capital requirements of the Registrants are affected primarily by results of operations, capital expenditures, debt service requirements, tax payments, working capital needs and various regulatory actions. Capital expenditures are expected to be used for investment in infrastructure. These capital expenditures are anticipated to maintain reliability and safety, increase resiliency and expand our systems through value-added projects. In addition to dividend payments on CenterPoint Energy’s Series B Preferred Stock and Common Stock, and in addition to interest payments on debt, the Registrants’ principal anticipated cash requirements for the remaining three months of 2019 include the following:</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64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right"/>
              <w:ind w:right="253"/>
              <w:spacing w:after="0"/>
              <w:rPr>
                <w:sz w:val="20"/>
                <w:szCs w:val="20"/>
                <w:color w:val="auto"/>
              </w:rPr>
            </w:pPr>
            <w:r>
              <w:rPr>
                <w:rFonts w:ascii="Arial" w:cs="Arial" w:eastAsia="Arial" w:hAnsi="Arial"/>
                <w:sz w:val="11"/>
                <w:szCs w:val="11"/>
                <w:b w:val="1"/>
                <w:bCs w:val="1"/>
                <w:color w:val="auto"/>
              </w:rPr>
              <w:t>CenterPoint Energy</w:t>
            </w:r>
          </w:p>
        </w:tc>
        <w:tc>
          <w:tcPr>
            <w:tcW w:w="34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right"/>
              <w:ind w:right="335"/>
              <w:spacing w:after="0"/>
              <w:rPr>
                <w:sz w:val="20"/>
                <w:szCs w:val="20"/>
                <w:color w:val="auto"/>
              </w:rPr>
            </w:pPr>
            <w:r>
              <w:rPr>
                <w:rFonts w:ascii="Arial" w:cs="Arial" w:eastAsia="Arial" w:hAnsi="Arial"/>
                <w:sz w:val="11"/>
                <w:szCs w:val="11"/>
                <w:b w:val="1"/>
                <w:bCs w:val="1"/>
                <w:color w:val="auto"/>
              </w:rPr>
              <w:t>Houston Electric</w:t>
            </w:r>
          </w:p>
        </w:tc>
        <w:tc>
          <w:tcPr>
            <w:tcW w:w="4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553"/>
              <w:spacing w:after="0"/>
              <w:rPr>
                <w:sz w:val="20"/>
                <w:szCs w:val="20"/>
                <w:color w:val="auto"/>
              </w:rPr>
            </w:pPr>
            <w:r>
              <w:rPr>
                <w:rFonts w:ascii="Arial" w:cs="Arial" w:eastAsia="Arial" w:hAnsi="Arial"/>
                <w:sz w:val="11"/>
                <w:szCs w:val="11"/>
                <w:b w:val="1"/>
                <w:bCs w:val="1"/>
                <w:color w:val="auto"/>
              </w:rPr>
              <w:t>CERC</w:t>
            </w:r>
          </w:p>
        </w:tc>
      </w:tr>
      <w:tr>
        <w:trPr>
          <w:trHeight w:val="196"/>
        </w:trPr>
        <w:tc>
          <w:tcPr>
            <w:tcW w:w="6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80" w:type="dxa"/>
            <w:vAlign w:val="bottom"/>
          </w:tcPr>
          <w:p>
            <w:pPr>
              <w:jc w:val="right"/>
              <w:ind w:right="415"/>
              <w:spacing w:after="0"/>
              <w:rPr>
                <w:sz w:val="20"/>
                <w:szCs w:val="20"/>
                <w:color w:val="auto"/>
              </w:rPr>
            </w:pPr>
            <w:r>
              <w:rPr>
                <w:rFonts w:ascii="Arial" w:cs="Arial" w:eastAsia="Arial" w:hAnsi="Arial"/>
                <w:sz w:val="11"/>
                <w:szCs w:val="11"/>
                <w:b w:val="1"/>
                <w:bCs w:val="1"/>
                <w:color w:val="auto"/>
              </w:rPr>
              <w:t>(in millions)</w:t>
            </w:r>
          </w:p>
        </w:tc>
        <w:tc>
          <w:tcPr>
            <w:tcW w:w="4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0"/>
        </w:trPr>
        <w:tc>
          <w:tcPr>
            <w:tcW w:w="6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Estimated capital expenditures</w:t>
            </w:r>
          </w:p>
        </w:tc>
        <w:tc>
          <w:tcPr>
            <w:tcW w:w="2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4"/>
                <w:szCs w:val="14"/>
                <w:color w:val="auto"/>
              </w:rPr>
              <w:t>704</w:t>
            </w:r>
          </w:p>
        </w:tc>
        <w:tc>
          <w:tcPr>
            <w:tcW w:w="34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4"/>
                <w:szCs w:val="14"/>
                <w:color w:val="auto"/>
              </w:rPr>
              <w:t>307</w:t>
            </w:r>
          </w:p>
        </w:tc>
        <w:tc>
          <w:tcPr>
            <w:tcW w:w="460" w:type="dxa"/>
            <w:vAlign w:val="bottom"/>
            <w:tcBorders>
              <w:bottom w:val="single" w:sz="8" w:color="CCEEFF"/>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4"/>
                <w:szCs w:val="14"/>
                <w:color w:val="auto"/>
              </w:rPr>
              <w:t>221</w:t>
            </w:r>
          </w:p>
        </w:tc>
      </w:tr>
      <w:tr>
        <w:trPr>
          <w:trHeight w:val="193"/>
        </w:trPr>
        <w:tc>
          <w:tcPr>
            <w:tcW w:w="6420" w:type="dxa"/>
            <w:vAlign w:val="bottom"/>
          </w:tcPr>
          <w:p>
            <w:pPr>
              <w:ind w:left="20"/>
              <w:spacing w:after="0"/>
              <w:rPr>
                <w:sz w:val="20"/>
                <w:szCs w:val="20"/>
                <w:color w:val="auto"/>
              </w:rPr>
            </w:pPr>
            <w:r>
              <w:rPr>
                <w:rFonts w:ascii="Arial" w:cs="Arial" w:eastAsia="Arial" w:hAnsi="Arial"/>
                <w:sz w:val="14"/>
                <w:szCs w:val="14"/>
                <w:color w:val="auto"/>
              </w:rPr>
              <w:t>Scheduled principal payments on Securitization Bonds</w:t>
            </w:r>
          </w:p>
        </w:tc>
        <w:tc>
          <w:tcPr>
            <w:tcW w:w="220" w:type="dxa"/>
            <w:vAlign w:val="bottom"/>
          </w:tcPr>
          <w:p>
            <w:pPr>
              <w:spacing w:after="0"/>
              <w:rPr>
                <w:sz w:val="16"/>
                <w:szCs w:val="16"/>
                <w:color w:val="auto"/>
              </w:rPr>
            </w:pPr>
          </w:p>
        </w:tc>
        <w:tc>
          <w:tcPr>
            <w:tcW w:w="1420" w:type="dxa"/>
            <w:vAlign w:val="bottom"/>
          </w:tcPr>
          <w:p>
            <w:pPr>
              <w:jc w:val="right"/>
              <w:ind w:right="73"/>
              <w:spacing w:after="0"/>
              <w:rPr>
                <w:sz w:val="20"/>
                <w:szCs w:val="20"/>
                <w:color w:val="auto"/>
              </w:rPr>
            </w:pPr>
            <w:r>
              <w:rPr>
                <w:rFonts w:ascii="Arial" w:cs="Arial" w:eastAsia="Arial" w:hAnsi="Arial"/>
                <w:sz w:val="14"/>
                <w:szCs w:val="14"/>
                <w:color w:val="auto"/>
              </w:rPr>
              <w:t>69</w:t>
            </w:r>
          </w:p>
        </w:tc>
        <w:tc>
          <w:tcPr>
            <w:tcW w:w="340" w:type="dxa"/>
            <w:vAlign w:val="bottom"/>
          </w:tcPr>
          <w:p>
            <w:pPr>
              <w:spacing w:after="0"/>
              <w:rPr>
                <w:sz w:val="16"/>
                <w:szCs w:val="16"/>
                <w:color w:val="auto"/>
              </w:rPr>
            </w:pPr>
          </w:p>
        </w:tc>
        <w:tc>
          <w:tcPr>
            <w:tcW w:w="1380" w:type="dxa"/>
            <w:vAlign w:val="bottom"/>
          </w:tcPr>
          <w:p>
            <w:pPr>
              <w:jc w:val="right"/>
              <w:ind w:right="55"/>
              <w:spacing w:after="0"/>
              <w:rPr>
                <w:sz w:val="20"/>
                <w:szCs w:val="20"/>
                <w:color w:val="auto"/>
              </w:rPr>
            </w:pPr>
            <w:r>
              <w:rPr>
                <w:rFonts w:ascii="Arial" w:cs="Arial" w:eastAsia="Arial" w:hAnsi="Arial"/>
                <w:sz w:val="14"/>
                <w:szCs w:val="14"/>
                <w:color w:val="auto"/>
              </w:rPr>
              <w:t>69</w:t>
            </w:r>
          </w:p>
        </w:tc>
        <w:tc>
          <w:tcPr>
            <w:tcW w:w="460" w:type="dxa"/>
            <w:vAlign w:val="bottom"/>
          </w:tcPr>
          <w:p>
            <w:pPr>
              <w:spacing w:after="0"/>
              <w:rPr>
                <w:sz w:val="16"/>
                <w:szCs w:val="16"/>
                <w:color w:val="auto"/>
              </w:rPr>
            </w:pPr>
          </w:p>
        </w:tc>
        <w:tc>
          <w:tcPr>
            <w:tcW w:w="1220" w:type="dxa"/>
            <w:vAlign w:val="bottom"/>
          </w:tcPr>
          <w:p>
            <w:pPr>
              <w:jc w:val="right"/>
              <w:ind w:right="33"/>
              <w:spacing w:after="0"/>
              <w:rPr>
                <w:sz w:val="20"/>
                <w:szCs w:val="20"/>
                <w:color w:val="auto"/>
              </w:rPr>
            </w:pPr>
            <w:r>
              <w:rPr>
                <w:rFonts w:ascii="Arial" w:cs="Arial" w:eastAsia="Arial" w:hAnsi="Arial"/>
                <w:sz w:val="14"/>
                <w:szCs w:val="14"/>
                <w:color w:val="auto"/>
              </w:rPr>
              <w:t>—</w:t>
            </w:r>
          </w:p>
        </w:tc>
      </w:tr>
    </w:tbl>
    <w:p>
      <w:pPr>
        <w:spacing w:after="0" w:line="184" w:lineRule="exact"/>
        <w:rPr>
          <w:sz w:val="20"/>
          <w:szCs w:val="20"/>
          <w:color w:val="auto"/>
        </w:rPr>
      </w:pPr>
    </w:p>
    <w:p>
      <w:pPr>
        <w:ind w:left="260"/>
        <w:spacing w:after="0"/>
        <w:rPr>
          <w:sz w:val="20"/>
          <w:szCs w:val="20"/>
          <w:color w:val="auto"/>
        </w:rPr>
      </w:pPr>
      <w:r>
        <w:rPr>
          <w:rFonts w:ascii="Arial" w:cs="Arial" w:eastAsia="Arial" w:hAnsi="Arial"/>
          <w:sz w:val="14"/>
          <w:szCs w:val="14"/>
          <w:color w:val="auto"/>
        </w:rPr>
        <w:t>For an update on CenterPoint Energy’s contractual obligations following the Merger, see Notes 12, 14 and 19 to the Interim Condensed Financial Statements.</w:t>
      </w:r>
    </w:p>
    <w:p>
      <w:pPr>
        <w:spacing w:after="0" w:line="184" w:lineRule="exact"/>
        <w:rPr>
          <w:sz w:val="20"/>
          <w:szCs w:val="20"/>
          <w:color w:val="auto"/>
        </w:rPr>
      </w:pPr>
    </w:p>
    <w:p>
      <w:pPr>
        <w:jc w:val="both"/>
        <w:ind w:firstLine="259"/>
        <w:spacing w:after="0" w:line="264" w:lineRule="auto"/>
        <w:rPr>
          <w:sz w:val="20"/>
          <w:szCs w:val="20"/>
          <w:color w:val="auto"/>
        </w:rPr>
      </w:pPr>
      <w:r>
        <w:rPr>
          <w:rFonts w:ascii="Arial" w:cs="Arial" w:eastAsia="Arial" w:hAnsi="Arial"/>
          <w:sz w:val="14"/>
          <w:szCs w:val="14"/>
          <w:color w:val="auto"/>
        </w:rPr>
        <w:t>The Registrants expect that anticipated cash needs for the remaining three months of 2019 will be met with borrowings under their credit facilities, bank loans, proceeds from the issuance of long-term debt, anticipated cash flows from operations, with respect to CenterPoint Energy and CERC, proceeds from commercial paper and with respect to CenterPoint Energy, distributions from Enable. Discretionary financing or refinancing may result in the issuance of equity securities of CenterPoint Energy or debt securities of the Registrants in the capital markets or the arrangement of additional credit facilities or term bank loans. Issuances of equity or debt in the capital markets, funds raised in the commercial paper markets and additional credit facilities may not, however, be available on acceptable terms.</w:t>
      </w:r>
    </w:p>
    <w:p>
      <w:pPr>
        <w:spacing w:after="0" w:line="14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Off-Balance Sheet Arrangements</w:t>
      </w:r>
    </w:p>
    <w:p>
      <w:pPr>
        <w:spacing w:after="0" w:line="188" w:lineRule="exact"/>
        <w:rPr>
          <w:sz w:val="20"/>
          <w:szCs w:val="20"/>
          <w:color w:val="auto"/>
        </w:rPr>
      </w:pPr>
    </w:p>
    <w:p>
      <w:pPr>
        <w:jc w:val="both"/>
        <w:ind w:firstLine="259"/>
        <w:spacing w:after="0" w:line="288" w:lineRule="auto"/>
        <w:rPr>
          <w:sz w:val="20"/>
          <w:szCs w:val="20"/>
          <w:color w:val="auto"/>
        </w:rPr>
      </w:pPr>
      <w:r>
        <w:rPr>
          <w:rFonts w:ascii="Arial" w:cs="Arial" w:eastAsia="Arial" w:hAnsi="Arial"/>
          <w:sz w:val="14"/>
          <w:szCs w:val="14"/>
          <w:color w:val="auto"/>
        </w:rPr>
        <w:t>Other than Houston Electric’s general mortgage bonds issued as collateral for tax-exempt long-term debt of CenterPoint Energy as discussed in Note 12, guarantees as discussed in Note 14(b) to the Interim Condensed Financial Statements and operating leases, we have no off-balance sheet arrangements.</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83</w:t>
      </w:r>
    </w:p>
    <w:p>
      <w:pPr>
        <w:sectPr>
          <w:pgSz w:w="11900" w:h="16838" w:orient="portrait"/>
          <w:cols w:equalWidth="0" w:num="1">
            <w:col w:w="11460"/>
          </w:cols>
          <w:pgMar w:left="220" w:top="129" w:right="219" w:bottom="1440" w:gutter="0" w:footer="0" w:header="0"/>
        </w:sectPr>
      </w:pPr>
    </w:p>
    <w:bookmarkStart w:id="93" w:name="page94"/>
    <w:bookmarkEnd w:id="93"/>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37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Regulatory Matters</w:t>
      </w:r>
    </w:p>
    <w:p>
      <w:pPr>
        <w:spacing w:after="0" w:line="188" w:lineRule="exact"/>
        <w:rPr>
          <w:sz w:val="20"/>
          <w:szCs w:val="20"/>
          <w:color w:val="auto"/>
        </w:rPr>
      </w:pPr>
    </w:p>
    <w:p>
      <w:pPr>
        <w:ind w:left="140"/>
        <w:spacing w:after="0"/>
        <w:rPr>
          <w:sz w:val="20"/>
          <w:szCs w:val="20"/>
          <w:color w:val="auto"/>
        </w:rPr>
      </w:pPr>
      <w:r>
        <w:rPr>
          <w:rFonts w:ascii="Arial" w:cs="Arial" w:eastAsia="Arial" w:hAnsi="Arial"/>
          <w:sz w:val="14"/>
          <w:szCs w:val="14"/>
          <w:b w:val="1"/>
          <w:bCs w:val="1"/>
          <w:i w:val="1"/>
          <w:iCs w:val="1"/>
          <w:color w:val="auto"/>
        </w:rPr>
        <w:t>Houston Electric Base Rate Case (CenterPoint Energy and Houston Electric)</w:t>
      </w:r>
    </w:p>
    <w:p>
      <w:pPr>
        <w:spacing w:after="0" w:line="184" w:lineRule="exact"/>
        <w:rPr>
          <w:sz w:val="20"/>
          <w:szCs w:val="20"/>
          <w:color w:val="auto"/>
        </w:rPr>
      </w:pPr>
    </w:p>
    <w:p>
      <w:pPr>
        <w:jc w:val="both"/>
        <w:ind w:firstLine="259"/>
        <w:spacing w:after="0" w:line="287" w:lineRule="auto"/>
        <w:rPr>
          <w:sz w:val="20"/>
          <w:szCs w:val="20"/>
          <w:color w:val="auto"/>
        </w:rPr>
      </w:pPr>
      <w:r>
        <w:rPr>
          <w:rFonts w:ascii="Arial" w:cs="Arial" w:eastAsia="Arial" w:hAnsi="Arial"/>
          <w:sz w:val="13"/>
          <w:szCs w:val="13"/>
          <w:color w:val="auto"/>
        </w:rPr>
        <w:t>On April 5, 2019, and subsequently adjusted in errata filings in May and June 2019, Houston Electric filed its base rate application with the PUCT and the cities in its service area to change its rates, seeking approval for revenue increases of approximately $194 million, excluding a rider to refund approximately $40 million annually over three years discussed below. This rate filing is based on a rate base of $6.4 billion, a 50% debt, 50% equity capital structure, and a 10.4% ROE. Houston Electric last filed for a base rate increase on June 30, 2010, with a test year ending December 31, 2009. Houston Electric also requested a prudency determination on all capital investments made since January 1, 2010, the establishment of a rider to refund over three years to its customers approximately $119 million of unprotected EDIT resulting from the TCJA, updated depreciation rates and approval to clarify and update various non-rate tariff provisions. Recovery of all reasonable and necessary rate case expenses for this case and certain prior rate case proceedings were severed into a separate proceeding. A hearing was held June 24–28, 2019.</w:t>
      </w:r>
    </w:p>
    <w:p>
      <w:pPr>
        <w:spacing w:after="0" w:line="134" w:lineRule="exact"/>
        <w:rPr>
          <w:sz w:val="20"/>
          <w:szCs w:val="20"/>
          <w:color w:val="auto"/>
        </w:rPr>
      </w:pPr>
    </w:p>
    <w:p>
      <w:pPr>
        <w:jc w:val="both"/>
        <w:ind w:firstLine="259"/>
        <w:spacing w:after="0" w:line="287" w:lineRule="auto"/>
        <w:rPr>
          <w:sz w:val="20"/>
          <w:szCs w:val="20"/>
          <w:color w:val="auto"/>
        </w:rPr>
      </w:pPr>
      <w:r>
        <w:rPr>
          <w:rFonts w:ascii="Arial" w:cs="Arial" w:eastAsia="Arial" w:hAnsi="Arial"/>
          <w:sz w:val="13"/>
          <w:szCs w:val="13"/>
          <w:color w:val="auto"/>
        </w:rPr>
        <w:t>On September 16, 2019, the ALJs issued a PFD recommending a revenue increase of approximately $2.6 million based on a 55% debt, 45% equity capital structure, a 9.42% ROE, rate base reductions of approximately $350 million, operation and maintenance expense disallowances and certain “ring-fencing” measures. If the PFD were approved in its entirety, it would result, among other things, in a one-time refund obligation of capital previously recovered through Houston Electric’s TCOS and DCRF mechanisms, and a pre-tax write-off of approximately $120 million for rate base disallowance of assets recorded in CenterPoint Energy’s and Houston Electric’s Condensed Consolidated Balance Sheets as of September 30, 2019. The amount of any refunds for previously recovered capital would be determined in a separate proceeding with the PUCT. Furthermore, the PFD recommends a separate proceeding with the PUCT to determine the amount, if any, of $158 million EDIT on Houston Electric’s securitized assets to be provided to customers. Parties filed exceptions and replies to exceptions in October 2019.</w:t>
      </w:r>
    </w:p>
    <w:p>
      <w:pPr>
        <w:spacing w:after="0" w:line="134" w:lineRule="exact"/>
        <w:rPr>
          <w:sz w:val="20"/>
          <w:szCs w:val="20"/>
          <w:color w:val="auto"/>
        </w:rPr>
      </w:pPr>
    </w:p>
    <w:p>
      <w:pPr>
        <w:ind w:left="260"/>
        <w:spacing w:after="0"/>
        <w:rPr>
          <w:sz w:val="20"/>
          <w:szCs w:val="20"/>
          <w:color w:val="auto"/>
        </w:rPr>
      </w:pPr>
      <w:r>
        <w:rPr>
          <w:rFonts w:ascii="Arial" w:cs="Arial" w:eastAsia="Arial" w:hAnsi="Arial"/>
          <w:sz w:val="14"/>
          <w:szCs w:val="14"/>
          <w:color w:val="auto"/>
        </w:rPr>
        <w:t>A summary of the PFD impacts are as follows, assuming the issues identified in the PFD as noted in Houston Electric’s exceptions to the PFD filing with the PUCT are adjusted:</w:t>
      </w:r>
    </w:p>
    <w:p>
      <w:pPr>
        <w:spacing w:after="0" w:line="188" w:lineRule="exact"/>
        <w:rPr>
          <w:sz w:val="20"/>
          <w:szCs w:val="20"/>
          <w:color w:val="auto"/>
        </w:rPr>
      </w:pPr>
    </w:p>
    <w:tbl>
      <w:tblPr>
        <w:tblLayout w:type="fixed"/>
        <w:tblInd w:w="260" w:type="dxa"/>
        <w:tblCellMar>
          <w:top w:w="0" w:type="dxa"/>
          <w:left w:w="0" w:type="dxa"/>
          <w:bottom w:w="0" w:type="dxa"/>
          <w:right w:w="0" w:type="dxa"/>
        </w:tblCellMar>
      </w:tblPr>
      <w:tr>
        <w:trPr>
          <w:trHeight w:val="153"/>
        </w:trPr>
        <w:tc>
          <w:tcPr>
            <w:tcW w:w="9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tcPr>
          <w:p>
            <w:pPr>
              <w:jc w:val="right"/>
              <w:ind w:right="330"/>
              <w:spacing w:after="0"/>
              <w:rPr>
                <w:sz w:val="20"/>
                <w:szCs w:val="20"/>
                <w:color w:val="auto"/>
              </w:rPr>
            </w:pPr>
            <w:r>
              <w:rPr>
                <w:rFonts w:ascii="Arial" w:cs="Arial" w:eastAsia="Arial" w:hAnsi="Arial"/>
                <w:sz w:val="11"/>
                <w:szCs w:val="11"/>
                <w:b w:val="1"/>
                <w:bCs w:val="1"/>
                <w:color w:val="auto"/>
              </w:rPr>
              <w:t>(in millions)</w:t>
            </w:r>
          </w:p>
        </w:tc>
      </w:tr>
      <w:tr>
        <w:trPr>
          <w:trHeight w:val="200"/>
        </w:trPr>
        <w:tc>
          <w:tcPr>
            <w:tcW w:w="9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Operating income impact from Houston Electric's request</w:t>
            </w:r>
          </w:p>
        </w:tc>
        <w:tc>
          <w:tcPr>
            <w:tcW w:w="24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111</w:t>
            </w:r>
          </w:p>
        </w:tc>
      </w:tr>
      <w:tr>
        <w:trPr>
          <w:trHeight w:val="193"/>
        </w:trPr>
        <w:tc>
          <w:tcPr>
            <w:tcW w:w="9540" w:type="dxa"/>
            <w:vAlign w:val="bottom"/>
          </w:tcPr>
          <w:p>
            <w:pPr>
              <w:ind w:left="20"/>
              <w:spacing w:after="0"/>
              <w:rPr>
                <w:sz w:val="20"/>
                <w:szCs w:val="20"/>
                <w:color w:val="auto"/>
              </w:rPr>
            </w:pPr>
            <w:r>
              <w:rPr>
                <w:rFonts w:ascii="Arial" w:cs="Arial" w:eastAsia="Arial" w:hAnsi="Arial"/>
                <w:sz w:val="14"/>
                <w:szCs w:val="14"/>
                <w:color w:val="auto"/>
              </w:rPr>
              <w:t>PFD proposed reductions:</w:t>
            </w:r>
          </w:p>
        </w:tc>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3"/>
        </w:trPr>
        <w:tc>
          <w:tcPr>
            <w:tcW w:w="9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6"/>
        </w:trPr>
        <w:tc>
          <w:tcPr>
            <w:tcW w:w="95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ROE and equity ratio</w:t>
            </w:r>
          </w:p>
        </w:tc>
        <w:tc>
          <w:tcPr>
            <w:tcW w:w="24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(62)</w:t>
            </w:r>
          </w:p>
        </w:tc>
      </w:tr>
      <w:tr>
        <w:trPr>
          <w:trHeight w:val="193"/>
        </w:trPr>
        <w:tc>
          <w:tcPr>
            <w:tcW w:w="9540" w:type="dxa"/>
            <w:vAlign w:val="bottom"/>
          </w:tcPr>
          <w:p>
            <w:pPr>
              <w:ind w:left="220"/>
              <w:spacing w:after="0"/>
              <w:rPr>
                <w:sz w:val="20"/>
                <w:szCs w:val="20"/>
                <w:color w:val="auto"/>
              </w:rPr>
            </w:pPr>
            <w:r>
              <w:rPr>
                <w:rFonts w:ascii="Arial" w:cs="Arial" w:eastAsia="Arial" w:hAnsi="Arial"/>
                <w:sz w:val="14"/>
                <w:szCs w:val="14"/>
                <w:color w:val="auto"/>
              </w:rPr>
              <w:t>Rate base disallowances</w:t>
            </w:r>
          </w:p>
        </w:tc>
        <w:tc>
          <w:tcPr>
            <w:tcW w:w="2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(25)</w:t>
            </w:r>
          </w:p>
        </w:tc>
      </w:tr>
      <w:tr>
        <w:trPr>
          <w:trHeight w:val="23"/>
        </w:trPr>
        <w:tc>
          <w:tcPr>
            <w:tcW w:w="9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6"/>
        </w:trPr>
        <w:tc>
          <w:tcPr>
            <w:tcW w:w="95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Operations and maintenance expenses</w:t>
            </w:r>
          </w:p>
        </w:tc>
        <w:tc>
          <w:tcPr>
            <w:tcW w:w="24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(39)</w:t>
            </w:r>
          </w:p>
        </w:tc>
      </w:tr>
      <w:tr>
        <w:trPr>
          <w:trHeight w:val="193"/>
        </w:trPr>
        <w:tc>
          <w:tcPr>
            <w:tcW w:w="9540" w:type="dxa"/>
            <w:vAlign w:val="bottom"/>
          </w:tcPr>
          <w:p>
            <w:pPr>
              <w:ind w:left="220"/>
              <w:spacing w:after="0"/>
              <w:rPr>
                <w:sz w:val="20"/>
                <w:szCs w:val="20"/>
                <w:color w:val="auto"/>
              </w:rPr>
            </w:pPr>
            <w:r>
              <w:rPr>
                <w:rFonts w:ascii="Arial" w:cs="Arial" w:eastAsia="Arial" w:hAnsi="Arial"/>
                <w:sz w:val="14"/>
                <w:szCs w:val="14"/>
                <w:color w:val="auto"/>
              </w:rPr>
              <w:t>Weather normalization</w:t>
            </w:r>
          </w:p>
        </w:tc>
        <w:tc>
          <w:tcPr>
            <w:tcW w:w="2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(12)</w:t>
            </w:r>
          </w:p>
        </w:tc>
      </w:tr>
      <w:tr>
        <w:trPr>
          <w:trHeight w:val="23"/>
        </w:trPr>
        <w:tc>
          <w:tcPr>
            <w:tcW w:w="95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06"/>
        </w:trPr>
        <w:tc>
          <w:tcPr>
            <w:tcW w:w="954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4"/>
                <w:szCs w:val="14"/>
                <w:color w:val="auto"/>
              </w:rPr>
              <w:t>Operating income impact from PFD</w:t>
            </w:r>
          </w:p>
        </w:tc>
        <w:tc>
          <w:tcPr>
            <w:tcW w:w="24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w:t>
            </w:r>
          </w:p>
        </w:tc>
      </w:tr>
      <w:tr>
        <w:trPr>
          <w:trHeight w:val="249"/>
        </w:trPr>
        <w:tc>
          <w:tcPr>
            <w:tcW w:w="954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spacing w:after="0"/>
              <w:rPr>
                <w:sz w:val="21"/>
                <w:szCs w:val="21"/>
                <w:color w:val="auto"/>
              </w:rPr>
            </w:pPr>
          </w:p>
        </w:tc>
      </w:tr>
      <w:tr>
        <w:trPr>
          <w:trHeight w:val="200"/>
        </w:trPr>
        <w:tc>
          <w:tcPr>
            <w:tcW w:w="9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operating income change from request to PFD</w:t>
            </w: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(138)</w:t>
            </w:r>
          </w:p>
        </w:tc>
      </w:tr>
      <w:tr>
        <w:trPr>
          <w:trHeight w:val="20"/>
        </w:trPr>
        <w:tc>
          <w:tcPr>
            <w:tcW w:w="95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62" w:lineRule="exact"/>
        <w:rPr>
          <w:sz w:val="20"/>
          <w:szCs w:val="20"/>
          <w:color w:val="auto"/>
        </w:rPr>
      </w:pPr>
    </w:p>
    <w:p>
      <w:pPr>
        <w:jc w:val="both"/>
        <w:ind w:firstLine="259"/>
        <w:spacing w:after="0" w:line="288" w:lineRule="auto"/>
        <w:rPr>
          <w:sz w:val="20"/>
          <w:szCs w:val="20"/>
          <w:color w:val="auto"/>
        </w:rPr>
      </w:pPr>
      <w:r>
        <w:rPr>
          <w:rFonts w:ascii="Arial" w:cs="Arial" w:eastAsia="Arial" w:hAnsi="Arial"/>
          <w:sz w:val="14"/>
          <w:szCs w:val="14"/>
          <w:color w:val="auto"/>
        </w:rPr>
        <w:t>The PUCT has not yet begun deliberating on the PFD, which is prepared by judges at a different state agency. A final order from the PUCT is currently expected in the fourth quarter of 2019, but motions for rehearing, if granted, could result in the order being issued in 2020. CenterPoint Energy and Houston Electric cannot predict the outcome of the proceeding.</w:t>
      </w:r>
    </w:p>
    <w:p>
      <w:pPr>
        <w:spacing w:after="0" w:line="131" w:lineRule="exact"/>
        <w:rPr>
          <w:sz w:val="20"/>
          <w:szCs w:val="20"/>
          <w:color w:val="auto"/>
        </w:rPr>
      </w:pPr>
    </w:p>
    <w:p>
      <w:pPr>
        <w:ind w:left="260"/>
        <w:spacing w:after="0"/>
        <w:rPr>
          <w:sz w:val="20"/>
          <w:szCs w:val="20"/>
          <w:color w:val="auto"/>
        </w:rPr>
      </w:pPr>
      <w:r>
        <w:rPr>
          <w:rFonts w:ascii="Arial" w:cs="Arial" w:eastAsia="Arial" w:hAnsi="Arial"/>
          <w:sz w:val="12"/>
          <w:szCs w:val="12"/>
          <w:color w:val="auto"/>
        </w:rPr>
        <w:t>CenterPoint Energy and Houston Electric records pre-tax expense for disallowed capital investments and customer refund obligations when the amounts are deemed both probable and estimable.</w:t>
      </w:r>
    </w:p>
    <w:p>
      <w:pPr>
        <w:spacing w:after="0" w:line="207" w:lineRule="exact"/>
        <w:rPr>
          <w:sz w:val="20"/>
          <w:szCs w:val="20"/>
          <w:color w:val="auto"/>
        </w:rPr>
      </w:pPr>
    </w:p>
    <w:p>
      <w:pPr>
        <w:ind w:left="140"/>
        <w:spacing w:after="0"/>
        <w:rPr>
          <w:sz w:val="20"/>
          <w:szCs w:val="20"/>
          <w:color w:val="auto"/>
        </w:rPr>
      </w:pPr>
      <w:r>
        <w:rPr>
          <w:rFonts w:ascii="Arial" w:cs="Arial" w:eastAsia="Arial" w:hAnsi="Arial"/>
          <w:sz w:val="14"/>
          <w:szCs w:val="14"/>
          <w:b w:val="1"/>
          <w:bCs w:val="1"/>
          <w:i w:val="1"/>
          <w:iCs w:val="1"/>
          <w:color w:val="auto"/>
        </w:rPr>
        <w:t>Brazos Valley Connection Project (CenterPoint Energy and Houston Electric)</w:t>
      </w:r>
    </w:p>
    <w:p>
      <w:pPr>
        <w:spacing w:after="0" w:line="184" w:lineRule="exact"/>
        <w:rPr>
          <w:sz w:val="20"/>
          <w:szCs w:val="20"/>
          <w:color w:val="auto"/>
        </w:rPr>
      </w:pPr>
    </w:p>
    <w:p>
      <w:pPr>
        <w:jc w:val="both"/>
        <w:ind w:firstLine="259"/>
        <w:spacing w:after="0" w:line="267" w:lineRule="auto"/>
        <w:rPr>
          <w:sz w:val="20"/>
          <w:szCs w:val="20"/>
          <w:color w:val="auto"/>
        </w:rPr>
      </w:pPr>
      <w:r>
        <w:rPr>
          <w:rFonts w:ascii="Arial" w:cs="Arial" w:eastAsia="Arial" w:hAnsi="Arial"/>
          <w:sz w:val="14"/>
          <w:szCs w:val="14"/>
          <w:color w:val="auto"/>
        </w:rPr>
        <w:t>Houston Electric completed construction on and energized the Brazos Valley Connection in March 2018, ahead of the original June 1, 2018 energization date. The final capital costs of the project reported to the PUCT in December 2018 were $281 million, which was within the estimated range of approximately $270-$310 million in the PUCT’s original order. Houston Electric applied for interim recovery of project costs incurred through July 31, 2018, which were not already included in rates in a filing with the PUCT in September 2018 and received approval for interim recovery in November 2018. Final approval by the PUCT of the project costs is expected to occur in Houston Electric’s pending base rate case discussed above.</w:t>
      </w:r>
    </w:p>
    <w:p>
      <w:pPr>
        <w:spacing w:after="0" w:line="146" w:lineRule="exact"/>
        <w:rPr>
          <w:sz w:val="20"/>
          <w:szCs w:val="20"/>
          <w:color w:val="auto"/>
        </w:rPr>
      </w:pPr>
    </w:p>
    <w:p>
      <w:pPr>
        <w:ind w:left="140"/>
        <w:spacing w:after="0"/>
        <w:rPr>
          <w:sz w:val="20"/>
          <w:szCs w:val="20"/>
          <w:color w:val="auto"/>
        </w:rPr>
      </w:pPr>
      <w:r>
        <w:rPr>
          <w:rFonts w:ascii="Arial" w:cs="Arial" w:eastAsia="Arial" w:hAnsi="Arial"/>
          <w:sz w:val="14"/>
          <w:szCs w:val="14"/>
          <w:b w:val="1"/>
          <w:bCs w:val="1"/>
          <w:i w:val="1"/>
          <w:iCs w:val="1"/>
          <w:color w:val="auto"/>
        </w:rPr>
        <w:t>Bailey to Jones Creek Project (CenterPoint Energy and Houston Electric)</w:t>
      </w:r>
    </w:p>
    <w:p>
      <w:pPr>
        <w:spacing w:after="0" w:line="184" w:lineRule="exact"/>
        <w:rPr>
          <w:sz w:val="20"/>
          <w:szCs w:val="20"/>
          <w:color w:val="auto"/>
        </w:rPr>
      </w:pPr>
    </w:p>
    <w:p>
      <w:pPr>
        <w:ind w:left="260"/>
        <w:spacing w:after="0"/>
        <w:rPr>
          <w:sz w:val="20"/>
          <w:szCs w:val="20"/>
          <w:color w:val="auto"/>
        </w:rPr>
      </w:pPr>
      <w:r>
        <w:rPr>
          <w:rFonts w:ascii="Arial" w:cs="Arial" w:eastAsia="Arial" w:hAnsi="Arial"/>
          <w:sz w:val="14"/>
          <w:szCs w:val="14"/>
          <w:color w:val="auto"/>
        </w:rPr>
        <w:t>In April 2017, Houston Electric submitted a proposal to ERCOT requesting its endorsement of the Bailey to Jones Creek</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84</w:t>
      </w:r>
    </w:p>
    <w:p>
      <w:pPr>
        <w:sectPr>
          <w:pgSz w:w="11900" w:h="16838" w:orient="portrait"/>
          <w:cols w:equalWidth="0" w:num="1">
            <w:col w:w="11460"/>
          </w:cols>
          <w:pgMar w:left="220" w:top="129" w:right="219" w:bottom="1440" w:gutter="0" w:footer="0" w:header="0"/>
        </w:sectPr>
      </w:pPr>
    </w:p>
    <w:bookmarkStart w:id="94" w:name="page95"/>
    <w:bookmarkEnd w:id="94"/>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205" w:lineRule="exact"/>
        <w:rPr>
          <w:sz w:val="20"/>
          <w:szCs w:val="20"/>
          <w:color w:val="auto"/>
        </w:rPr>
      </w:pPr>
    </w:p>
    <w:p>
      <w:pPr>
        <w:jc w:val="both"/>
        <w:spacing w:after="0" w:line="285" w:lineRule="auto"/>
        <w:rPr>
          <w:sz w:val="20"/>
          <w:szCs w:val="20"/>
          <w:color w:val="auto"/>
        </w:rPr>
      </w:pPr>
      <w:r>
        <w:rPr>
          <w:rFonts w:ascii="Arial" w:cs="Arial" w:eastAsia="Arial" w:hAnsi="Arial"/>
          <w:sz w:val="13"/>
          <w:szCs w:val="13"/>
          <w:color w:val="auto"/>
        </w:rPr>
        <w:t>Project. On December 12, 2017, Houston Electric received approval from ERCOT. In September 2018, Houston Electric filed a certificate of convenience and necessity application with the PUCT that included capital cost estimates for the project that ranged from approximately $482-$695 million, which were higher than the initial cost estimates. The revised project cost estimates include additional costs associated with the routing of the line to mitigate environmental and other land use impacts and structure design to address soil and coastal wind conditions. The actual capital costs of the project will depend on those factors as well as other factors, including land acquisition costs, construction costs and the ultimate route approved by the PUCT. On the request of the PUCT, ERCOT intervened in the proceeding and performed a re-evaluation of the cost-effectiveness of the proposed project. Based on that re-evaluation, ERCOT reaffirmed the recommended transmission option for the project. An unopposed settlement agreement was filed on August 15, 2019, under which Houston Electric would construct the project at an estimated cost of approximately $483 million. Houston Electric anticipates that the PUCT will issue a final decision on the certificate of convenience and necessity application in the fourth quarter of 2019.</w:t>
      </w:r>
    </w:p>
    <w:p>
      <w:pPr>
        <w:spacing w:after="0" w:line="137" w:lineRule="exact"/>
        <w:rPr>
          <w:sz w:val="20"/>
          <w:szCs w:val="20"/>
          <w:color w:val="auto"/>
        </w:rPr>
      </w:pPr>
    </w:p>
    <w:p>
      <w:pPr>
        <w:ind w:left="140"/>
        <w:spacing w:after="0"/>
        <w:rPr>
          <w:sz w:val="20"/>
          <w:szCs w:val="20"/>
          <w:color w:val="auto"/>
        </w:rPr>
      </w:pPr>
      <w:r>
        <w:rPr>
          <w:rFonts w:ascii="Arial" w:cs="Arial" w:eastAsia="Arial" w:hAnsi="Arial"/>
          <w:sz w:val="14"/>
          <w:szCs w:val="14"/>
          <w:b w:val="1"/>
          <w:bCs w:val="1"/>
          <w:i w:val="1"/>
          <w:iCs w:val="1"/>
          <w:color w:val="auto"/>
        </w:rPr>
        <w:t>Indiana Electric Generation Project (CenterPoint Energy)</w:t>
      </w:r>
    </w:p>
    <w:p>
      <w:pPr>
        <w:spacing w:after="0" w:line="184" w:lineRule="exact"/>
        <w:rPr>
          <w:sz w:val="20"/>
          <w:szCs w:val="20"/>
          <w:color w:val="auto"/>
        </w:rPr>
      </w:pPr>
    </w:p>
    <w:p>
      <w:pPr>
        <w:jc w:val="both"/>
        <w:ind w:firstLine="259"/>
        <w:spacing w:after="0" w:line="272" w:lineRule="auto"/>
        <w:rPr>
          <w:sz w:val="20"/>
          <w:szCs w:val="20"/>
          <w:color w:val="auto"/>
        </w:rPr>
      </w:pPr>
      <w:r>
        <w:rPr>
          <w:rFonts w:ascii="Arial" w:cs="Arial" w:eastAsia="Arial" w:hAnsi="Arial"/>
          <w:sz w:val="14"/>
          <w:szCs w:val="14"/>
          <w:color w:val="auto"/>
        </w:rPr>
        <w:t>Indiana Electric must make substantial investments in its generation resources in the near term to comply with environmental regulations. On February 20, 2018, Indiana Electric filed a petition seeking authorization from the IURC to construct a new 700-850 MW natural gas combined cycle generating facility to replace the baseload capacity of its existing generation fleet at an approximate cost of $900 million, which includes the cost of a new natural gas pipeline to serve the plant.</w:t>
      </w:r>
    </w:p>
    <w:p>
      <w:pPr>
        <w:spacing w:after="0" w:line="142" w:lineRule="exact"/>
        <w:rPr>
          <w:sz w:val="20"/>
          <w:szCs w:val="20"/>
          <w:color w:val="auto"/>
        </w:rPr>
      </w:pPr>
    </w:p>
    <w:p>
      <w:pPr>
        <w:jc w:val="both"/>
        <w:ind w:firstLine="259"/>
        <w:spacing w:after="0" w:line="294" w:lineRule="auto"/>
        <w:rPr>
          <w:sz w:val="20"/>
          <w:szCs w:val="20"/>
          <w:color w:val="auto"/>
        </w:rPr>
      </w:pPr>
      <w:r>
        <w:rPr>
          <w:rFonts w:ascii="Arial" w:cs="Arial" w:eastAsia="Arial" w:hAnsi="Arial"/>
          <w:sz w:val="13"/>
          <w:szCs w:val="13"/>
          <w:color w:val="auto"/>
        </w:rPr>
        <w:t>As a part of this same proceeding, Indiana Electric also sought recovery under Indiana Senate Bill 251 of costs to be incurred for environmental investments to be made at its F.B. Culley generating plant to comply with ELG and CCR rules. The F.B. Culley investments, estimated to be approximately $95 million, began in 2019 and will allow the F.B. Culley Unit 3 generating facility to comply with environmental requirements and continue to provide generating capacity to Indiana Electric’s customers. Under Indiana Senate Bill 251, Indiana Electric sought authority to recover 80% of the approved costs, including a return, using a tracking mechanism, with the remaining 20% of the costs deferred for recovery in Indiana Electric’s next base rate proceeding.</w:t>
      </w:r>
    </w:p>
    <w:p>
      <w:pPr>
        <w:spacing w:after="0" w:line="130" w:lineRule="exact"/>
        <w:rPr>
          <w:sz w:val="20"/>
          <w:szCs w:val="20"/>
          <w:color w:val="auto"/>
        </w:rPr>
      </w:pPr>
    </w:p>
    <w:p>
      <w:pPr>
        <w:jc w:val="both"/>
        <w:ind w:firstLine="259"/>
        <w:spacing w:after="0" w:line="272" w:lineRule="auto"/>
        <w:rPr>
          <w:sz w:val="20"/>
          <w:szCs w:val="20"/>
          <w:color w:val="auto"/>
        </w:rPr>
      </w:pPr>
      <w:r>
        <w:rPr>
          <w:rFonts w:ascii="Arial" w:cs="Arial" w:eastAsia="Arial" w:hAnsi="Arial"/>
          <w:sz w:val="14"/>
          <w:szCs w:val="14"/>
          <w:color w:val="auto"/>
        </w:rPr>
        <w:t>On April 24, 2019, the IURC issued an order approving the environmental investments proposed for the F.B. Culley generating facility, along with recovery of prior pollution control investments made in 2014. The order denied the proposed gas combined cycle generating facility. Indiana Electric will conduct a new IRP, expected to be completed in mid-2020, to identify an appropriate investment of capital in its generation fleet to satisfy the needs of its customers and comply with environmental regulations.</w:t>
      </w:r>
    </w:p>
    <w:p>
      <w:pPr>
        <w:spacing w:after="0" w:line="142" w:lineRule="exact"/>
        <w:rPr>
          <w:sz w:val="20"/>
          <w:szCs w:val="20"/>
          <w:color w:val="auto"/>
        </w:rPr>
      </w:pPr>
    </w:p>
    <w:p>
      <w:pPr>
        <w:ind w:left="140"/>
        <w:spacing w:after="0"/>
        <w:rPr>
          <w:sz w:val="20"/>
          <w:szCs w:val="20"/>
          <w:color w:val="auto"/>
        </w:rPr>
      </w:pPr>
      <w:r>
        <w:rPr>
          <w:rFonts w:ascii="Arial" w:cs="Arial" w:eastAsia="Arial" w:hAnsi="Arial"/>
          <w:sz w:val="14"/>
          <w:szCs w:val="14"/>
          <w:b w:val="1"/>
          <w:bCs w:val="1"/>
          <w:i w:val="1"/>
          <w:iCs w:val="1"/>
          <w:color w:val="auto"/>
        </w:rPr>
        <w:t>Indiana Electric Solar Project (CenterPoint Energy)</w:t>
      </w:r>
    </w:p>
    <w:p>
      <w:pPr>
        <w:spacing w:after="0" w:line="184" w:lineRule="exact"/>
        <w:rPr>
          <w:sz w:val="20"/>
          <w:szCs w:val="20"/>
          <w:color w:val="auto"/>
        </w:rPr>
      </w:pPr>
    </w:p>
    <w:p>
      <w:pPr>
        <w:jc w:val="both"/>
        <w:ind w:firstLine="259"/>
        <w:spacing w:after="0" w:line="289" w:lineRule="auto"/>
        <w:rPr>
          <w:sz w:val="20"/>
          <w:szCs w:val="20"/>
          <w:color w:val="auto"/>
        </w:rPr>
      </w:pPr>
      <w:r>
        <w:rPr>
          <w:rFonts w:ascii="Arial" w:cs="Arial" w:eastAsia="Arial" w:hAnsi="Arial"/>
          <w:sz w:val="13"/>
          <w:szCs w:val="13"/>
          <w:color w:val="auto"/>
        </w:rPr>
        <w:t>On February 20, 2018, Indiana Electric announced it was finalizing details to install an additional 50 MW of universal solar energy, consistent with its IRP, with a petition seeking authority to recover costs associated with the project pursuant to Indiana Senate Bill 29. Indiana Electric filed a settlement agreement with the intervening parties whereby the energy produced by the solar farm would be set at a fixed market rate over the life of the investment and recovered within Indiana Electric’s CECA mechanism. On March 20, 2019, the IURC approved the settlement. Indiana Electric reached an agreement with the other settling parties to amend the settlement agreement to ensure the project would not cause negative tax consequences. The amendment must be approved by the IURC. Indiana Electric has filed the amended settlement agreement with the IURC and a hearing is scheduled to be held in January 2020.</w:t>
      </w:r>
    </w:p>
    <w:p>
      <w:pPr>
        <w:spacing w:after="0" w:line="134" w:lineRule="exact"/>
        <w:rPr>
          <w:sz w:val="20"/>
          <w:szCs w:val="20"/>
          <w:color w:val="auto"/>
        </w:rPr>
      </w:pPr>
    </w:p>
    <w:p>
      <w:pPr>
        <w:ind w:left="140"/>
        <w:spacing w:after="0"/>
        <w:rPr>
          <w:sz w:val="20"/>
          <w:szCs w:val="20"/>
          <w:color w:val="auto"/>
        </w:rPr>
      </w:pPr>
      <w:r>
        <w:rPr>
          <w:rFonts w:ascii="Arial" w:cs="Arial" w:eastAsia="Arial" w:hAnsi="Arial"/>
          <w:sz w:val="14"/>
          <w:szCs w:val="14"/>
          <w:b w:val="1"/>
          <w:bCs w:val="1"/>
          <w:i w:val="1"/>
          <w:iCs w:val="1"/>
          <w:color w:val="auto"/>
        </w:rPr>
        <w:t>Rate Change Applications</w:t>
      </w:r>
    </w:p>
    <w:p>
      <w:pPr>
        <w:spacing w:after="0" w:line="184" w:lineRule="exact"/>
        <w:rPr>
          <w:sz w:val="20"/>
          <w:szCs w:val="20"/>
          <w:color w:val="auto"/>
        </w:rPr>
      </w:pPr>
    </w:p>
    <w:p>
      <w:pPr>
        <w:jc w:val="both"/>
        <w:ind w:firstLine="259"/>
        <w:spacing w:after="0" w:line="287" w:lineRule="auto"/>
        <w:rPr>
          <w:sz w:val="20"/>
          <w:szCs w:val="20"/>
          <w:color w:val="auto"/>
        </w:rPr>
      </w:pPr>
      <w:r>
        <w:rPr>
          <w:rFonts w:ascii="Arial" w:cs="Arial" w:eastAsia="Arial" w:hAnsi="Arial"/>
          <w:sz w:val="13"/>
          <w:szCs w:val="13"/>
          <w:color w:val="auto"/>
        </w:rPr>
        <w:t>The Registrants are routinely involved in rate change applications before state regulatory authorities. Those applications include general rate cases, where the entire cost of service of the utility is assessed and reset. In addition, Houston Electric is periodically involved in proceedings to adjust its capital tracking mechanisms (TCOS and DCRF) and annually files to adjust its EECRF. CERC is periodically involved in proceedings to adjust its capital tracking mechanisms in Texas (GRIP), its cost of service adjustments in Arkansas, Louisiana, Mississippi and Oklahoma (FRP, RSP, RRA and PBRC, respectively), its decoupling mechanism in Minnesota, and its energy efficiency cost trackers in Arkansas, Minnesota, Mississippi and Oklahoma (EECR, CIP, EECR and EECR, respectively). CenterPoint Energy is periodically involved in proceedings to adjust its capital tracking mechanisms in Indiana (CSIA for gas and TDSIC for Electric) and Ohio (DRR), its decoupling mechanism in Indiana (SRC for gas), and its energy efficiency cost trackers in Indiana (EEFC for gas and DSMA for electric) and Ohio (EEFR).</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85</w:t>
      </w:r>
    </w:p>
    <w:p>
      <w:pPr>
        <w:sectPr>
          <w:pgSz w:w="11900" w:h="16838" w:orient="portrait"/>
          <w:cols w:equalWidth="0" w:num="1">
            <w:col w:w="11460"/>
          </w:cols>
          <w:pgMar w:left="220" w:top="129" w:right="219" w:bottom="1440" w:gutter="0" w:footer="0" w:header="0"/>
        </w:sectPr>
      </w:pPr>
    </w:p>
    <w:bookmarkStart w:id="95" w:name="page96"/>
    <w:bookmarkEnd w:id="95"/>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378"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table below reflects significant applications pending or completed since the Registrants’ combined 2018 Form 10-K was filed with the SEC.</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500" w:type="dxa"/>
            <w:vAlign w:val="bottom"/>
          </w:tcPr>
          <w:p>
            <w:pPr>
              <w:spacing w:after="0"/>
              <w:rPr>
                <w:sz w:val="10"/>
                <w:szCs w:val="10"/>
                <w:color w:val="auto"/>
              </w:rPr>
            </w:pPr>
          </w:p>
        </w:tc>
        <w:tc>
          <w:tcPr>
            <w:tcW w:w="1120" w:type="dxa"/>
            <w:vAlign w:val="bottom"/>
          </w:tcPr>
          <w:p>
            <w:pPr>
              <w:jc w:val="center"/>
              <w:spacing w:after="0"/>
              <w:rPr>
                <w:sz w:val="20"/>
                <w:szCs w:val="20"/>
                <w:color w:val="auto"/>
              </w:rPr>
            </w:pPr>
            <w:r>
              <w:rPr>
                <w:rFonts w:ascii="Arial" w:cs="Arial" w:eastAsia="Arial" w:hAnsi="Arial"/>
                <w:sz w:val="11"/>
                <w:szCs w:val="11"/>
                <w:b w:val="1"/>
                <w:bCs w:val="1"/>
                <w:color w:val="auto"/>
                <w:w w:val="94"/>
              </w:rPr>
              <w:t>Annual Increase</w:t>
            </w:r>
          </w:p>
        </w:tc>
        <w:tc>
          <w:tcPr>
            <w:tcW w:w="98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5"/>
              </w:rPr>
              <w:t>Filing</w:t>
            </w:r>
          </w:p>
        </w:tc>
        <w:tc>
          <w:tcPr>
            <w:tcW w:w="10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5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4"/>
        </w:trPr>
        <w:tc>
          <w:tcPr>
            <w:tcW w:w="150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3"/>
              </w:rPr>
              <w:t>Mechanism</w:t>
            </w:r>
          </w:p>
        </w:tc>
        <w:tc>
          <w:tcPr>
            <w:tcW w:w="1120" w:type="dxa"/>
            <w:vAlign w:val="bottom"/>
          </w:tcPr>
          <w:p>
            <w:pPr>
              <w:jc w:val="center"/>
              <w:spacing w:after="0" w:line="114" w:lineRule="exact"/>
              <w:rPr>
                <w:sz w:val="20"/>
                <w:szCs w:val="20"/>
                <w:color w:val="auto"/>
              </w:rPr>
            </w:pPr>
            <w:r>
              <w:rPr>
                <w:rFonts w:ascii="Arial" w:cs="Arial" w:eastAsia="Arial" w:hAnsi="Arial"/>
                <w:sz w:val="11"/>
                <w:szCs w:val="11"/>
                <w:b w:val="1"/>
                <w:bCs w:val="1"/>
                <w:color w:val="auto"/>
                <w:w w:val="92"/>
              </w:rPr>
              <w:t xml:space="preserve">(Decrease) </w:t>
            </w:r>
            <w:r>
              <w:rPr>
                <w:rFonts w:ascii="Arial" w:cs="Arial" w:eastAsia="Arial" w:hAnsi="Arial"/>
                <w:sz w:val="8"/>
                <w:szCs w:val="8"/>
                <w:b w:val="1"/>
                <w:bCs w:val="1"/>
                <w:color w:val="auto"/>
                <w:w w:val="92"/>
              </w:rPr>
              <w:t>(1)</w:t>
            </w:r>
          </w:p>
        </w:tc>
        <w:tc>
          <w:tcPr>
            <w:tcW w:w="980" w:type="dxa"/>
            <w:vAlign w:val="bottom"/>
            <w:vMerge w:val="continue"/>
          </w:tcPr>
          <w:p>
            <w:pPr>
              <w:spacing w:after="0"/>
              <w:rPr>
                <w:sz w:val="9"/>
                <w:szCs w:val="9"/>
                <w:color w:val="auto"/>
              </w:rPr>
            </w:pPr>
          </w:p>
        </w:tc>
        <w:tc>
          <w:tcPr>
            <w:tcW w:w="106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6"/>
              </w:rPr>
              <w:t>Effective Date</w:t>
            </w:r>
          </w:p>
        </w:tc>
        <w:tc>
          <w:tcPr>
            <w:tcW w:w="100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6"/>
              </w:rPr>
              <w:t>Approval Date</w:t>
            </w:r>
          </w:p>
        </w:tc>
        <w:tc>
          <w:tcPr>
            <w:tcW w:w="5800" w:type="dxa"/>
            <w:vAlign w:val="bottom"/>
            <w:vMerge w:val="restart"/>
          </w:tcPr>
          <w:p>
            <w:pPr>
              <w:ind w:left="2360"/>
              <w:spacing w:after="0"/>
              <w:rPr>
                <w:sz w:val="20"/>
                <w:szCs w:val="20"/>
                <w:color w:val="auto"/>
              </w:rPr>
            </w:pPr>
            <w:r>
              <w:rPr>
                <w:rFonts w:ascii="Arial" w:cs="Arial" w:eastAsia="Arial" w:hAnsi="Arial"/>
                <w:sz w:val="11"/>
                <w:szCs w:val="11"/>
                <w:b w:val="1"/>
                <w:bCs w:val="1"/>
                <w:color w:val="auto"/>
              </w:rPr>
              <w:t>Additional Information</w:t>
            </w:r>
          </w:p>
        </w:tc>
        <w:tc>
          <w:tcPr>
            <w:tcW w:w="0" w:type="dxa"/>
            <w:vAlign w:val="bottom"/>
          </w:tcPr>
          <w:p>
            <w:pPr>
              <w:spacing w:after="0"/>
              <w:rPr>
                <w:sz w:val="1"/>
                <w:szCs w:val="1"/>
                <w:color w:val="auto"/>
              </w:rPr>
            </w:pPr>
          </w:p>
        </w:tc>
      </w:tr>
      <w:tr>
        <w:trPr>
          <w:trHeight w:val="140"/>
        </w:trPr>
        <w:tc>
          <w:tcPr>
            <w:tcW w:w="1500" w:type="dxa"/>
            <w:vAlign w:val="bottom"/>
            <w:tcBorders>
              <w:bottom w:val="single" w:sz="8" w:color="auto"/>
            </w:tcBorders>
            <w:vMerge w:val="continue"/>
          </w:tcPr>
          <w:p>
            <w:pPr>
              <w:spacing w:after="0"/>
              <w:rPr>
                <w:sz w:val="12"/>
                <w:szCs w:val="12"/>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87"/>
              </w:rPr>
              <w:t>(in millions)</w:t>
            </w:r>
          </w:p>
        </w:tc>
        <w:tc>
          <w:tcPr>
            <w:tcW w:w="980" w:type="dxa"/>
            <w:vAlign w:val="bottom"/>
            <w:tcBorders>
              <w:bottom w:val="single" w:sz="8" w:color="auto"/>
            </w:tcBorders>
          </w:tcPr>
          <w:p>
            <w:pPr>
              <w:jc w:val="center"/>
              <w:ind w:left="3"/>
              <w:spacing w:after="0"/>
              <w:rPr>
                <w:sz w:val="20"/>
                <w:szCs w:val="20"/>
                <w:color w:val="auto"/>
              </w:rPr>
            </w:pPr>
            <w:r>
              <w:rPr>
                <w:rFonts w:ascii="Arial" w:cs="Arial" w:eastAsia="Arial" w:hAnsi="Arial"/>
                <w:sz w:val="11"/>
                <w:szCs w:val="11"/>
                <w:b w:val="1"/>
                <w:bCs w:val="1"/>
                <w:color w:val="auto"/>
              </w:rPr>
              <w:t>Date</w:t>
            </w:r>
          </w:p>
        </w:tc>
        <w:tc>
          <w:tcPr>
            <w:tcW w:w="1060" w:type="dxa"/>
            <w:vAlign w:val="bottom"/>
            <w:tcBorders>
              <w:bottom w:val="single" w:sz="8" w:color="auto"/>
            </w:tcBorders>
            <w:vMerge w:val="continue"/>
          </w:tcPr>
          <w:p>
            <w:pPr>
              <w:spacing w:after="0"/>
              <w:rPr>
                <w:sz w:val="12"/>
                <w:szCs w:val="12"/>
                <w:color w:val="auto"/>
              </w:rPr>
            </w:pPr>
          </w:p>
        </w:tc>
        <w:tc>
          <w:tcPr>
            <w:tcW w:w="1000" w:type="dxa"/>
            <w:vAlign w:val="bottom"/>
            <w:tcBorders>
              <w:bottom w:val="single" w:sz="8" w:color="auto"/>
            </w:tcBorders>
            <w:vMerge w:val="continue"/>
          </w:tcPr>
          <w:p>
            <w:pPr>
              <w:spacing w:after="0"/>
              <w:rPr>
                <w:sz w:val="12"/>
                <w:szCs w:val="12"/>
                <w:color w:val="auto"/>
              </w:rPr>
            </w:pPr>
          </w:p>
        </w:tc>
        <w:tc>
          <w:tcPr>
            <w:tcW w:w="580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7860" w:type="dxa"/>
            <w:vAlign w:val="bottom"/>
            <w:tcBorders>
              <w:bottom w:val="single" w:sz="8" w:color="auto"/>
            </w:tcBorders>
            <w:gridSpan w:val="3"/>
          </w:tcPr>
          <w:p>
            <w:pPr>
              <w:jc w:val="center"/>
              <w:ind w:right="3523"/>
              <w:spacing w:after="0"/>
              <w:rPr>
                <w:sz w:val="20"/>
                <w:szCs w:val="20"/>
                <w:color w:val="auto"/>
              </w:rPr>
            </w:pPr>
            <w:r>
              <w:rPr>
                <w:rFonts w:ascii="Arial" w:cs="Arial" w:eastAsia="Arial" w:hAnsi="Arial"/>
                <w:sz w:val="11"/>
                <w:szCs w:val="11"/>
                <w:b w:val="1"/>
                <w:bCs w:val="1"/>
                <w:color w:val="auto"/>
                <w:w w:val="96"/>
              </w:rPr>
              <w:t>CenterPoint Energy and Houston Electric (PUCT)</w:t>
            </w:r>
          </w:p>
        </w:tc>
        <w:tc>
          <w:tcPr>
            <w:tcW w:w="0" w:type="dxa"/>
            <w:vAlign w:val="bottom"/>
          </w:tcPr>
          <w:p>
            <w:pPr>
              <w:spacing w:after="0"/>
              <w:rPr>
                <w:sz w:val="1"/>
                <w:szCs w:val="1"/>
                <w:color w:val="auto"/>
              </w:rPr>
            </w:pPr>
          </w:p>
        </w:tc>
      </w:tr>
      <w:tr>
        <w:trPr>
          <w:trHeight w:val="120"/>
        </w:trPr>
        <w:tc>
          <w:tcPr>
            <w:tcW w:w="150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980" w:type="dxa"/>
            <w:vAlign w:val="bottom"/>
            <w:shd w:val="clear" w:color="auto" w:fill="CCEEFF"/>
          </w:tcPr>
          <w:p>
            <w:pPr>
              <w:jc w:val="center"/>
              <w:spacing w:after="0" w:line="120" w:lineRule="exact"/>
              <w:rPr>
                <w:sz w:val="20"/>
                <w:szCs w:val="20"/>
                <w:color w:val="auto"/>
              </w:rPr>
            </w:pPr>
            <w:r>
              <w:rPr>
                <w:rFonts w:ascii="Arial" w:cs="Arial" w:eastAsia="Arial" w:hAnsi="Arial"/>
                <w:sz w:val="11"/>
                <w:szCs w:val="11"/>
                <w:color w:val="auto"/>
              </w:rPr>
              <w:t>April</w:t>
            </w:r>
          </w:p>
        </w:tc>
        <w:tc>
          <w:tcPr>
            <w:tcW w:w="106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58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150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92"/>
              </w:rPr>
              <w:t xml:space="preserve">Rate Case </w:t>
            </w:r>
            <w:r>
              <w:rPr>
                <w:rFonts w:ascii="Arial" w:cs="Arial" w:eastAsia="Arial" w:hAnsi="Arial"/>
                <w:sz w:val="8"/>
                <w:szCs w:val="8"/>
                <w:color w:val="auto"/>
                <w:w w:val="92"/>
              </w:rPr>
              <w:t>(1)</w:t>
            </w:r>
          </w:p>
        </w:tc>
        <w:tc>
          <w:tcPr>
            <w:tcW w:w="1120" w:type="dxa"/>
            <w:vAlign w:val="bottom"/>
            <w:shd w:val="clear" w:color="auto" w:fill="CCEEFF"/>
          </w:tcPr>
          <w:p>
            <w:pPr>
              <w:jc w:val="center"/>
              <w:ind w:left="3"/>
              <w:spacing w:after="0"/>
              <w:rPr>
                <w:sz w:val="20"/>
                <w:szCs w:val="20"/>
                <w:color w:val="auto"/>
              </w:rPr>
            </w:pPr>
            <w:r>
              <w:rPr>
                <w:rFonts w:ascii="Arial" w:cs="Arial" w:eastAsia="Arial" w:hAnsi="Arial"/>
                <w:sz w:val="11"/>
                <w:szCs w:val="11"/>
                <w:color w:val="auto"/>
                <w:w w:val="89"/>
              </w:rPr>
              <w:t>$155</w:t>
            </w:r>
          </w:p>
        </w:tc>
        <w:tc>
          <w:tcPr>
            <w:tcW w:w="98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89"/>
              </w:rPr>
              <w:t>2019</w:t>
            </w:r>
          </w:p>
        </w:tc>
        <w:tc>
          <w:tcPr>
            <w:tcW w:w="106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99"/>
              </w:rPr>
              <w:t>TBD</w:t>
            </w:r>
          </w:p>
        </w:tc>
        <w:tc>
          <w:tcPr>
            <w:tcW w:w="100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99"/>
              </w:rPr>
              <w:t>TBD</w:t>
            </w:r>
          </w:p>
        </w:tc>
        <w:tc>
          <w:tcPr>
            <w:tcW w:w="5800" w:type="dxa"/>
            <w:vAlign w:val="bottom"/>
            <w:shd w:val="clear" w:color="auto" w:fill="CCEEFF"/>
          </w:tcPr>
          <w:p>
            <w:pPr>
              <w:ind w:left="100"/>
              <w:spacing w:after="0"/>
              <w:rPr>
                <w:sz w:val="20"/>
                <w:szCs w:val="20"/>
                <w:color w:val="auto"/>
              </w:rPr>
            </w:pPr>
            <w:r>
              <w:rPr>
                <w:rFonts w:ascii="Arial" w:cs="Arial" w:eastAsia="Arial" w:hAnsi="Arial"/>
                <w:sz w:val="11"/>
                <w:szCs w:val="11"/>
                <w:color w:val="auto"/>
              </w:rPr>
              <w:t xml:space="preserve">See discussion above under </w:t>
            </w:r>
            <w:r>
              <w:rPr>
                <w:rFonts w:ascii="Arial" w:cs="Arial" w:eastAsia="Arial" w:hAnsi="Arial"/>
                <w:sz w:val="11"/>
                <w:szCs w:val="11"/>
                <w:b w:val="1"/>
                <w:bCs w:val="1"/>
                <w:i w:val="1"/>
                <w:iCs w:val="1"/>
                <w:color w:val="auto"/>
              </w:rPr>
              <w:t>Houston Electric Base Rate Case</w:t>
            </w: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5"/>
        </w:trPr>
        <w:tc>
          <w:tcPr>
            <w:tcW w:w="15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980" w:type="dxa"/>
            <w:vAlign w:val="bottom"/>
          </w:tcPr>
          <w:p>
            <w:pPr>
              <w:jc w:val="center"/>
              <w:spacing w:after="0" w:line="125" w:lineRule="exact"/>
              <w:rPr>
                <w:sz w:val="20"/>
                <w:szCs w:val="20"/>
                <w:color w:val="auto"/>
              </w:rPr>
            </w:pPr>
            <w:r>
              <w:rPr>
                <w:rFonts w:ascii="Arial" w:cs="Arial" w:eastAsia="Arial" w:hAnsi="Arial"/>
                <w:sz w:val="11"/>
                <w:szCs w:val="11"/>
                <w:color w:val="auto"/>
              </w:rPr>
              <w:t>May</w:t>
            </w:r>
          </w:p>
        </w:tc>
        <w:tc>
          <w:tcPr>
            <w:tcW w:w="1060" w:type="dxa"/>
            <w:vAlign w:val="bottom"/>
          </w:tcPr>
          <w:p>
            <w:pPr>
              <w:jc w:val="center"/>
              <w:spacing w:after="0" w:line="125" w:lineRule="exact"/>
              <w:rPr>
                <w:sz w:val="20"/>
                <w:szCs w:val="20"/>
                <w:color w:val="auto"/>
              </w:rPr>
            </w:pPr>
            <w:r>
              <w:rPr>
                <w:rFonts w:ascii="Arial" w:cs="Arial" w:eastAsia="Arial" w:hAnsi="Arial"/>
                <w:sz w:val="11"/>
                <w:szCs w:val="11"/>
                <w:color w:val="auto"/>
                <w:w w:val="98"/>
              </w:rPr>
              <w:t>March</w:t>
            </w:r>
          </w:p>
        </w:tc>
        <w:tc>
          <w:tcPr>
            <w:tcW w:w="1000" w:type="dxa"/>
            <w:vAlign w:val="bottom"/>
          </w:tcPr>
          <w:p>
            <w:pPr>
              <w:spacing w:after="0"/>
              <w:rPr>
                <w:sz w:val="10"/>
                <w:szCs w:val="10"/>
                <w:color w:val="auto"/>
              </w:rPr>
            </w:pPr>
          </w:p>
        </w:tc>
        <w:tc>
          <w:tcPr>
            <w:tcW w:w="5800" w:type="dxa"/>
            <w:vAlign w:val="bottom"/>
          </w:tcPr>
          <w:p>
            <w:pPr>
              <w:ind w:left="100"/>
              <w:spacing w:after="0" w:line="125" w:lineRule="exact"/>
              <w:rPr>
                <w:sz w:val="20"/>
                <w:szCs w:val="20"/>
                <w:color w:val="auto"/>
              </w:rPr>
            </w:pPr>
            <w:r>
              <w:rPr>
                <w:rFonts w:ascii="Arial" w:cs="Arial" w:eastAsia="Arial" w:hAnsi="Arial"/>
                <w:sz w:val="11"/>
                <w:szCs w:val="11"/>
                <w:color w:val="auto"/>
                <w:w w:val="97"/>
              </w:rPr>
              <w:t>The PUCT issued a final order in October 2019 approving recovery of 2020 EECRF of $35 million, including a $7 million</w:t>
            </w:r>
          </w:p>
        </w:tc>
        <w:tc>
          <w:tcPr>
            <w:tcW w:w="0" w:type="dxa"/>
            <w:vAlign w:val="bottom"/>
          </w:tcPr>
          <w:p>
            <w:pPr>
              <w:spacing w:after="0"/>
              <w:rPr>
                <w:sz w:val="1"/>
                <w:szCs w:val="1"/>
                <w:color w:val="auto"/>
              </w:rPr>
            </w:pPr>
          </w:p>
        </w:tc>
      </w:tr>
      <w:tr>
        <w:trPr>
          <w:trHeight w:val="151"/>
        </w:trPr>
        <w:tc>
          <w:tcPr>
            <w:tcW w:w="1500" w:type="dxa"/>
            <w:vAlign w:val="bottom"/>
          </w:tcPr>
          <w:p>
            <w:pPr>
              <w:jc w:val="center"/>
              <w:spacing w:after="0"/>
              <w:rPr>
                <w:sz w:val="20"/>
                <w:szCs w:val="20"/>
                <w:color w:val="auto"/>
              </w:rPr>
            </w:pPr>
            <w:r>
              <w:rPr>
                <w:rFonts w:ascii="Arial" w:cs="Arial" w:eastAsia="Arial" w:hAnsi="Arial"/>
                <w:sz w:val="11"/>
                <w:szCs w:val="11"/>
                <w:color w:val="auto"/>
                <w:w w:val="96"/>
              </w:rPr>
              <w:t>EECRF</w:t>
            </w:r>
          </w:p>
        </w:tc>
        <w:tc>
          <w:tcPr>
            <w:tcW w:w="1120" w:type="dxa"/>
            <w:vAlign w:val="bottom"/>
          </w:tcPr>
          <w:p>
            <w:pPr>
              <w:jc w:val="center"/>
              <w:ind w:left="3"/>
              <w:spacing w:after="0"/>
              <w:rPr>
                <w:sz w:val="20"/>
                <w:szCs w:val="20"/>
                <w:color w:val="auto"/>
              </w:rPr>
            </w:pPr>
            <w:r>
              <w:rPr>
                <w:rFonts w:ascii="Arial" w:cs="Arial" w:eastAsia="Arial" w:hAnsi="Arial"/>
                <w:sz w:val="11"/>
                <w:szCs w:val="11"/>
                <w:color w:val="auto"/>
                <w:w w:val="97"/>
              </w:rPr>
              <w:t>7</w:t>
            </w:r>
          </w:p>
        </w:tc>
        <w:tc>
          <w:tcPr>
            <w:tcW w:w="980" w:type="dxa"/>
            <w:vAlign w:val="bottom"/>
          </w:tcPr>
          <w:p>
            <w:pPr>
              <w:jc w:val="center"/>
              <w:spacing w:after="0"/>
              <w:rPr>
                <w:sz w:val="20"/>
                <w:szCs w:val="20"/>
                <w:color w:val="auto"/>
              </w:rPr>
            </w:pPr>
            <w:r>
              <w:rPr>
                <w:rFonts w:ascii="Arial" w:cs="Arial" w:eastAsia="Arial" w:hAnsi="Arial"/>
                <w:sz w:val="11"/>
                <w:szCs w:val="11"/>
                <w:color w:val="auto"/>
                <w:w w:val="89"/>
              </w:rPr>
              <w:t>2019</w:t>
            </w:r>
          </w:p>
        </w:tc>
        <w:tc>
          <w:tcPr>
            <w:tcW w:w="1060" w:type="dxa"/>
            <w:vAlign w:val="bottom"/>
          </w:tcPr>
          <w:p>
            <w:pPr>
              <w:jc w:val="center"/>
              <w:spacing w:after="0"/>
              <w:rPr>
                <w:sz w:val="20"/>
                <w:szCs w:val="20"/>
                <w:color w:val="auto"/>
              </w:rPr>
            </w:pPr>
            <w:r>
              <w:rPr>
                <w:rFonts w:ascii="Arial" w:cs="Arial" w:eastAsia="Arial" w:hAnsi="Arial"/>
                <w:sz w:val="11"/>
                <w:szCs w:val="11"/>
                <w:color w:val="auto"/>
                <w:w w:val="89"/>
              </w:rPr>
              <w:t>2020</w:t>
            </w:r>
          </w:p>
        </w:tc>
        <w:tc>
          <w:tcPr>
            <w:tcW w:w="1000" w:type="dxa"/>
            <w:vAlign w:val="bottom"/>
          </w:tcPr>
          <w:p>
            <w:pPr>
              <w:jc w:val="center"/>
              <w:spacing w:after="0"/>
              <w:rPr>
                <w:sz w:val="20"/>
                <w:szCs w:val="20"/>
                <w:color w:val="auto"/>
              </w:rPr>
            </w:pPr>
            <w:r>
              <w:rPr>
                <w:rFonts w:ascii="Arial" w:cs="Arial" w:eastAsia="Arial" w:hAnsi="Arial"/>
                <w:sz w:val="11"/>
                <w:szCs w:val="11"/>
                <w:color w:val="auto"/>
                <w:w w:val="92"/>
              </w:rPr>
              <w:t>October 2019</w:t>
            </w:r>
          </w:p>
        </w:tc>
        <w:tc>
          <w:tcPr>
            <w:tcW w:w="5800" w:type="dxa"/>
            <w:vAlign w:val="bottom"/>
          </w:tcPr>
          <w:p>
            <w:pPr>
              <w:ind w:left="100"/>
              <w:spacing w:after="0"/>
              <w:rPr>
                <w:sz w:val="20"/>
                <w:szCs w:val="20"/>
                <w:color w:val="auto"/>
              </w:rPr>
            </w:pPr>
            <w:r>
              <w:rPr>
                <w:rFonts w:ascii="Arial" w:cs="Arial" w:eastAsia="Arial" w:hAnsi="Arial"/>
                <w:sz w:val="11"/>
                <w:szCs w:val="11"/>
                <w:color w:val="auto"/>
              </w:rPr>
              <w:t>performance bonus.</w:t>
            </w:r>
          </w:p>
        </w:tc>
        <w:tc>
          <w:tcPr>
            <w:tcW w:w="0" w:type="dxa"/>
            <w:vAlign w:val="bottom"/>
          </w:tcPr>
          <w:p>
            <w:pPr>
              <w:spacing w:after="0"/>
              <w:rPr>
                <w:sz w:val="1"/>
                <w:szCs w:val="1"/>
                <w:color w:val="auto"/>
              </w:rPr>
            </w:pPr>
          </w:p>
        </w:tc>
      </w:tr>
      <w:tr>
        <w:trPr>
          <w:trHeight w:val="162"/>
        </w:trPr>
        <w:tc>
          <w:tcPr>
            <w:tcW w:w="150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spacing w:after="0"/>
              <w:rPr>
                <w:sz w:val="14"/>
                <w:szCs w:val="14"/>
                <w:color w:val="auto"/>
              </w:rPr>
            </w:pPr>
          </w:p>
        </w:tc>
        <w:tc>
          <w:tcPr>
            <w:tcW w:w="8840" w:type="dxa"/>
            <w:vAlign w:val="bottom"/>
            <w:tcBorders>
              <w:bottom w:val="single" w:sz="8" w:color="auto"/>
            </w:tcBorders>
            <w:gridSpan w:val="4"/>
            <w:shd w:val="clear" w:color="auto" w:fill="CCEEFF"/>
          </w:tcPr>
          <w:p>
            <w:pPr>
              <w:jc w:val="center"/>
              <w:ind w:right="2563"/>
              <w:spacing w:after="0"/>
              <w:rPr>
                <w:sz w:val="20"/>
                <w:szCs w:val="20"/>
                <w:color w:val="auto"/>
              </w:rPr>
            </w:pPr>
            <w:r>
              <w:rPr>
                <w:rFonts w:ascii="Arial" w:cs="Arial" w:eastAsia="Arial" w:hAnsi="Arial"/>
                <w:sz w:val="11"/>
                <w:szCs w:val="11"/>
                <w:b w:val="1"/>
                <w:bCs w:val="1"/>
                <w:color w:val="auto"/>
                <w:w w:val="93"/>
              </w:rPr>
              <w:t>CenterPoint Energy and CERC - Beaumont/East Texas, South Texas, Houston and Texas Coast (Railroad Commission)</w:t>
            </w:r>
          </w:p>
        </w:tc>
        <w:tc>
          <w:tcPr>
            <w:tcW w:w="0" w:type="dxa"/>
            <w:vAlign w:val="bottom"/>
          </w:tcPr>
          <w:p>
            <w:pPr>
              <w:spacing w:after="0"/>
              <w:rPr>
                <w:sz w:val="1"/>
                <w:szCs w:val="1"/>
                <w:color w:val="auto"/>
              </w:rPr>
            </w:pPr>
          </w:p>
        </w:tc>
      </w:tr>
      <w:tr>
        <w:trPr>
          <w:trHeight w:val="120"/>
        </w:trPr>
        <w:tc>
          <w:tcPr>
            <w:tcW w:w="15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980" w:type="dxa"/>
            <w:vAlign w:val="bottom"/>
          </w:tcPr>
          <w:p>
            <w:pPr>
              <w:jc w:val="center"/>
              <w:spacing w:after="0" w:line="120" w:lineRule="exact"/>
              <w:rPr>
                <w:sz w:val="20"/>
                <w:szCs w:val="20"/>
                <w:color w:val="auto"/>
              </w:rPr>
            </w:pPr>
            <w:r>
              <w:rPr>
                <w:rFonts w:ascii="Arial" w:cs="Arial" w:eastAsia="Arial" w:hAnsi="Arial"/>
                <w:sz w:val="11"/>
                <w:szCs w:val="11"/>
                <w:color w:val="auto"/>
                <w:w w:val="98"/>
              </w:rPr>
              <w:t>March</w:t>
            </w:r>
          </w:p>
        </w:tc>
        <w:tc>
          <w:tcPr>
            <w:tcW w:w="1060" w:type="dxa"/>
            <w:vAlign w:val="bottom"/>
          </w:tcPr>
          <w:p>
            <w:pPr>
              <w:jc w:val="center"/>
              <w:spacing w:after="0" w:line="120" w:lineRule="exact"/>
              <w:rPr>
                <w:sz w:val="20"/>
                <w:szCs w:val="20"/>
                <w:color w:val="auto"/>
              </w:rPr>
            </w:pPr>
            <w:r>
              <w:rPr>
                <w:rFonts w:ascii="Arial" w:cs="Arial" w:eastAsia="Arial" w:hAnsi="Arial"/>
                <w:sz w:val="11"/>
                <w:szCs w:val="11"/>
                <w:color w:val="auto"/>
                <w:w w:val="91"/>
              </w:rPr>
              <w:t>July</w:t>
            </w:r>
          </w:p>
        </w:tc>
        <w:tc>
          <w:tcPr>
            <w:tcW w:w="1000" w:type="dxa"/>
            <w:vAlign w:val="bottom"/>
          </w:tcPr>
          <w:p>
            <w:pPr>
              <w:jc w:val="center"/>
              <w:spacing w:after="0" w:line="120" w:lineRule="exact"/>
              <w:rPr>
                <w:sz w:val="20"/>
                <w:szCs w:val="20"/>
                <w:color w:val="auto"/>
              </w:rPr>
            </w:pPr>
            <w:r>
              <w:rPr>
                <w:rFonts w:ascii="Arial" w:cs="Arial" w:eastAsia="Arial" w:hAnsi="Arial"/>
                <w:sz w:val="11"/>
                <w:szCs w:val="11"/>
                <w:color w:val="auto"/>
                <w:w w:val="92"/>
              </w:rPr>
              <w:t>June</w:t>
            </w:r>
          </w:p>
        </w:tc>
        <w:tc>
          <w:tcPr>
            <w:tcW w:w="5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1500" w:type="dxa"/>
            <w:vAlign w:val="bottom"/>
          </w:tcPr>
          <w:p>
            <w:pPr>
              <w:jc w:val="center"/>
              <w:spacing w:after="0"/>
              <w:rPr>
                <w:sz w:val="20"/>
                <w:szCs w:val="20"/>
                <w:color w:val="auto"/>
              </w:rPr>
            </w:pPr>
            <w:r>
              <w:rPr>
                <w:rFonts w:ascii="Arial" w:cs="Arial" w:eastAsia="Arial" w:hAnsi="Arial"/>
                <w:sz w:val="11"/>
                <w:szCs w:val="11"/>
                <w:color w:val="auto"/>
                <w:w w:val="96"/>
              </w:rPr>
              <w:t>GRIP</w:t>
            </w:r>
          </w:p>
        </w:tc>
        <w:tc>
          <w:tcPr>
            <w:tcW w:w="1120" w:type="dxa"/>
            <w:vAlign w:val="bottom"/>
          </w:tcPr>
          <w:p>
            <w:pPr>
              <w:jc w:val="center"/>
              <w:spacing w:after="0"/>
              <w:rPr>
                <w:sz w:val="20"/>
                <w:szCs w:val="20"/>
                <w:color w:val="auto"/>
              </w:rPr>
            </w:pPr>
            <w:r>
              <w:rPr>
                <w:rFonts w:ascii="Arial" w:cs="Arial" w:eastAsia="Arial" w:hAnsi="Arial"/>
                <w:sz w:val="11"/>
                <w:szCs w:val="11"/>
                <w:color w:val="auto"/>
                <w:w w:val="97"/>
              </w:rPr>
              <w:t>20</w:t>
            </w:r>
          </w:p>
        </w:tc>
        <w:tc>
          <w:tcPr>
            <w:tcW w:w="980" w:type="dxa"/>
            <w:vAlign w:val="bottom"/>
          </w:tcPr>
          <w:p>
            <w:pPr>
              <w:jc w:val="center"/>
              <w:spacing w:after="0"/>
              <w:rPr>
                <w:sz w:val="20"/>
                <w:szCs w:val="20"/>
                <w:color w:val="auto"/>
              </w:rPr>
            </w:pPr>
            <w:r>
              <w:rPr>
                <w:rFonts w:ascii="Arial" w:cs="Arial" w:eastAsia="Arial" w:hAnsi="Arial"/>
                <w:sz w:val="11"/>
                <w:szCs w:val="11"/>
                <w:color w:val="auto"/>
                <w:w w:val="89"/>
              </w:rPr>
              <w:t>2019</w:t>
            </w:r>
          </w:p>
        </w:tc>
        <w:tc>
          <w:tcPr>
            <w:tcW w:w="1060" w:type="dxa"/>
            <w:vAlign w:val="bottom"/>
          </w:tcPr>
          <w:p>
            <w:pPr>
              <w:jc w:val="center"/>
              <w:spacing w:after="0"/>
              <w:rPr>
                <w:sz w:val="20"/>
                <w:szCs w:val="20"/>
                <w:color w:val="auto"/>
              </w:rPr>
            </w:pPr>
            <w:r>
              <w:rPr>
                <w:rFonts w:ascii="Arial" w:cs="Arial" w:eastAsia="Arial" w:hAnsi="Arial"/>
                <w:sz w:val="11"/>
                <w:szCs w:val="11"/>
                <w:color w:val="auto"/>
                <w:w w:val="89"/>
              </w:rPr>
              <w:t>2019</w:t>
            </w:r>
          </w:p>
        </w:tc>
        <w:tc>
          <w:tcPr>
            <w:tcW w:w="1000" w:type="dxa"/>
            <w:vAlign w:val="bottom"/>
          </w:tcPr>
          <w:p>
            <w:pPr>
              <w:jc w:val="center"/>
              <w:spacing w:after="0"/>
              <w:rPr>
                <w:sz w:val="20"/>
                <w:szCs w:val="20"/>
                <w:color w:val="auto"/>
              </w:rPr>
            </w:pPr>
            <w:r>
              <w:rPr>
                <w:rFonts w:ascii="Arial" w:cs="Arial" w:eastAsia="Arial" w:hAnsi="Arial"/>
                <w:sz w:val="11"/>
                <w:szCs w:val="11"/>
                <w:color w:val="auto"/>
                <w:w w:val="89"/>
              </w:rPr>
              <w:t>2019</w:t>
            </w:r>
          </w:p>
        </w:tc>
        <w:tc>
          <w:tcPr>
            <w:tcW w:w="5800" w:type="dxa"/>
            <w:vAlign w:val="bottom"/>
          </w:tcPr>
          <w:p>
            <w:pPr>
              <w:ind w:left="100"/>
              <w:spacing w:after="0"/>
              <w:rPr>
                <w:sz w:val="20"/>
                <w:szCs w:val="20"/>
                <w:color w:val="auto"/>
              </w:rPr>
            </w:pPr>
            <w:r>
              <w:rPr>
                <w:rFonts w:ascii="Arial" w:cs="Arial" w:eastAsia="Arial" w:hAnsi="Arial"/>
                <w:sz w:val="11"/>
                <w:szCs w:val="11"/>
                <w:color w:val="auto"/>
              </w:rPr>
              <w:t>Based on net change in invested capital of $123 million.</w:t>
            </w:r>
          </w:p>
        </w:tc>
        <w:tc>
          <w:tcPr>
            <w:tcW w:w="0" w:type="dxa"/>
            <w:vAlign w:val="bottom"/>
          </w:tcPr>
          <w:p>
            <w:pPr>
              <w:spacing w:after="0"/>
              <w:rPr>
                <w:sz w:val="1"/>
                <w:szCs w:val="1"/>
                <w:color w:val="auto"/>
              </w:rPr>
            </w:pPr>
          </w:p>
        </w:tc>
      </w:tr>
      <w:tr>
        <w:trPr>
          <w:trHeight w:val="162"/>
        </w:trPr>
        <w:tc>
          <w:tcPr>
            <w:tcW w:w="150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spacing w:after="0"/>
              <w:rPr>
                <w:sz w:val="14"/>
                <w:szCs w:val="14"/>
                <w:color w:val="auto"/>
              </w:rPr>
            </w:pPr>
          </w:p>
        </w:tc>
        <w:tc>
          <w:tcPr>
            <w:tcW w:w="7860" w:type="dxa"/>
            <w:vAlign w:val="bottom"/>
            <w:tcBorders>
              <w:bottom w:val="single" w:sz="8" w:color="auto"/>
            </w:tcBorders>
            <w:gridSpan w:val="3"/>
            <w:shd w:val="clear" w:color="auto" w:fill="CCEEFF"/>
          </w:tcPr>
          <w:p>
            <w:pPr>
              <w:jc w:val="center"/>
              <w:ind w:right="3543"/>
              <w:spacing w:after="0"/>
              <w:rPr>
                <w:sz w:val="20"/>
                <w:szCs w:val="20"/>
                <w:color w:val="auto"/>
              </w:rPr>
            </w:pPr>
            <w:r>
              <w:rPr>
                <w:rFonts w:ascii="Arial" w:cs="Arial" w:eastAsia="Arial" w:hAnsi="Arial"/>
                <w:sz w:val="11"/>
                <w:szCs w:val="11"/>
                <w:b w:val="1"/>
                <w:bCs w:val="1"/>
                <w:color w:val="auto"/>
                <w:w w:val="94"/>
              </w:rPr>
              <w:t>CenterPoint Energy and CERC - Houston and Texas Coast (Railroad Commission)</w:t>
            </w:r>
          </w:p>
        </w:tc>
        <w:tc>
          <w:tcPr>
            <w:tcW w:w="0" w:type="dxa"/>
            <w:vAlign w:val="bottom"/>
          </w:tcPr>
          <w:p>
            <w:pPr>
              <w:spacing w:after="0"/>
              <w:rPr>
                <w:sz w:val="1"/>
                <w:szCs w:val="1"/>
                <w:color w:val="auto"/>
              </w:rPr>
            </w:pPr>
          </w:p>
        </w:tc>
      </w:tr>
      <w:tr>
        <w:trPr>
          <w:trHeight w:val="120"/>
        </w:trPr>
        <w:tc>
          <w:tcPr>
            <w:tcW w:w="15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5800" w:type="dxa"/>
            <w:vAlign w:val="bottom"/>
          </w:tcPr>
          <w:p>
            <w:pPr>
              <w:ind w:left="100"/>
              <w:spacing w:after="0" w:line="120" w:lineRule="exact"/>
              <w:rPr>
                <w:sz w:val="20"/>
                <w:szCs w:val="20"/>
                <w:color w:val="auto"/>
              </w:rPr>
            </w:pPr>
            <w:r>
              <w:rPr>
                <w:rFonts w:ascii="Arial" w:cs="Arial" w:eastAsia="Arial" w:hAnsi="Arial"/>
                <w:sz w:val="11"/>
                <w:szCs w:val="11"/>
                <w:color w:val="auto"/>
                <w:w w:val="94"/>
              </w:rPr>
              <w:t>On August 1, 2019, and subsequent supplemental filings in August and October 2019, Houston and Texas Coast proposed</w:t>
            </w:r>
          </w:p>
        </w:tc>
        <w:tc>
          <w:tcPr>
            <w:tcW w:w="0" w:type="dxa"/>
            <w:vAlign w:val="bottom"/>
          </w:tcPr>
          <w:p>
            <w:pPr>
              <w:spacing w:after="0"/>
              <w:rPr>
                <w:sz w:val="1"/>
                <w:szCs w:val="1"/>
                <w:color w:val="auto"/>
              </w:rPr>
            </w:pPr>
          </w:p>
        </w:tc>
      </w:tr>
      <w:tr>
        <w:trPr>
          <w:trHeight w:val="119"/>
        </w:trPr>
        <w:tc>
          <w:tcPr>
            <w:tcW w:w="15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5800" w:type="dxa"/>
            <w:vAlign w:val="bottom"/>
          </w:tcPr>
          <w:p>
            <w:pPr>
              <w:ind w:left="100"/>
              <w:spacing w:after="0" w:line="119" w:lineRule="exact"/>
              <w:rPr>
                <w:sz w:val="20"/>
                <w:szCs w:val="20"/>
                <w:color w:val="auto"/>
              </w:rPr>
            </w:pPr>
            <w:r>
              <w:rPr>
                <w:rFonts w:ascii="Arial" w:cs="Arial" w:eastAsia="Arial" w:hAnsi="Arial"/>
                <w:sz w:val="11"/>
                <w:szCs w:val="11"/>
                <w:color w:val="auto"/>
              </w:rPr>
              <w:t>a rider to refund over three years to its Houston and Texas Coast customers combined, approximately $18 million of</w:t>
            </w:r>
          </w:p>
        </w:tc>
        <w:tc>
          <w:tcPr>
            <w:tcW w:w="0" w:type="dxa"/>
            <w:vAlign w:val="bottom"/>
          </w:tcPr>
          <w:p>
            <w:pPr>
              <w:spacing w:after="0"/>
              <w:rPr>
                <w:sz w:val="1"/>
                <w:szCs w:val="1"/>
                <w:color w:val="auto"/>
              </w:rPr>
            </w:pPr>
          </w:p>
        </w:tc>
      </w:tr>
      <w:tr>
        <w:trPr>
          <w:trHeight w:val="151"/>
        </w:trPr>
        <w:tc>
          <w:tcPr>
            <w:tcW w:w="1500" w:type="dxa"/>
            <w:vAlign w:val="bottom"/>
          </w:tcPr>
          <w:p>
            <w:pPr>
              <w:jc w:val="center"/>
              <w:spacing w:after="0"/>
              <w:rPr>
                <w:sz w:val="20"/>
                <w:szCs w:val="20"/>
                <w:color w:val="auto"/>
              </w:rPr>
            </w:pPr>
            <w:r>
              <w:rPr>
                <w:rFonts w:ascii="Arial" w:cs="Arial" w:eastAsia="Arial" w:hAnsi="Arial"/>
                <w:sz w:val="11"/>
                <w:szCs w:val="11"/>
                <w:color w:val="auto"/>
                <w:w w:val="96"/>
              </w:rPr>
              <w:t>Administrative 104.111</w:t>
            </w:r>
          </w:p>
        </w:tc>
        <w:tc>
          <w:tcPr>
            <w:tcW w:w="1120" w:type="dxa"/>
            <w:vAlign w:val="bottom"/>
          </w:tcPr>
          <w:p>
            <w:pPr>
              <w:jc w:val="center"/>
              <w:ind w:left="3"/>
              <w:spacing w:after="0"/>
              <w:rPr>
                <w:sz w:val="20"/>
                <w:szCs w:val="20"/>
                <w:color w:val="auto"/>
              </w:rPr>
            </w:pPr>
            <w:r>
              <w:rPr>
                <w:rFonts w:ascii="Arial" w:cs="Arial" w:eastAsia="Arial" w:hAnsi="Arial"/>
                <w:sz w:val="11"/>
                <w:szCs w:val="11"/>
                <w:color w:val="auto"/>
                <w:w w:val="91"/>
              </w:rPr>
              <w:t>n/a</w:t>
            </w:r>
          </w:p>
        </w:tc>
        <w:tc>
          <w:tcPr>
            <w:tcW w:w="980" w:type="dxa"/>
            <w:vAlign w:val="bottom"/>
          </w:tcPr>
          <w:p>
            <w:pPr>
              <w:jc w:val="center"/>
              <w:spacing w:after="0"/>
              <w:rPr>
                <w:sz w:val="20"/>
                <w:szCs w:val="20"/>
                <w:color w:val="auto"/>
              </w:rPr>
            </w:pPr>
            <w:r>
              <w:rPr>
                <w:rFonts w:ascii="Arial" w:cs="Arial" w:eastAsia="Arial" w:hAnsi="Arial"/>
                <w:sz w:val="11"/>
                <w:szCs w:val="11"/>
                <w:color w:val="auto"/>
                <w:w w:val="93"/>
              </w:rPr>
              <w:t>August 2019</w:t>
            </w:r>
          </w:p>
        </w:tc>
        <w:tc>
          <w:tcPr>
            <w:tcW w:w="1060" w:type="dxa"/>
            <w:vAlign w:val="bottom"/>
          </w:tcPr>
          <w:p>
            <w:pPr>
              <w:jc w:val="center"/>
              <w:spacing w:after="0"/>
              <w:rPr>
                <w:sz w:val="20"/>
                <w:szCs w:val="20"/>
                <w:color w:val="auto"/>
              </w:rPr>
            </w:pPr>
            <w:r>
              <w:rPr>
                <w:rFonts w:ascii="Arial" w:cs="Arial" w:eastAsia="Arial" w:hAnsi="Arial"/>
                <w:sz w:val="11"/>
                <w:szCs w:val="11"/>
                <w:color w:val="auto"/>
                <w:w w:val="99"/>
              </w:rPr>
              <w:t>TBD</w:t>
            </w:r>
          </w:p>
        </w:tc>
        <w:tc>
          <w:tcPr>
            <w:tcW w:w="1000" w:type="dxa"/>
            <w:vAlign w:val="bottom"/>
          </w:tcPr>
          <w:p>
            <w:pPr>
              <w:jc w:val="center"/>
              <w:spacing w:after="0"/>
              <w:rPr>
                <w:sz w:val="20"/>
                <w:szCs w:val="20"/>
                <w:color w:val="auto"/>
              </w:rPr>
            </w:pPr>
            <w:r>
              <w:rPr>
                <w:rFonts w:ascii="Arial" w:cs="Arial" w:eastAsia="Arial" w:hAnsi="Arial"/>
                <w:sz w:val="11"/>
                <w:szCs w:val="11"/>
                <w:color w:val="auto"/>
                <w:w w:val="99"/>
              </w:rPr>
              <w:t>TBD</w:t>
            </w:r>
          </w:p>
        </w:tc>
        <w:tc>
          <w:tcPr>
            <w:tcW w:w="5800" w:type="dxa"/>
            <w:vAlign w:val="bottom"/>
          </w:tcPr>
          <w:p>
            <w:pPr>
              <w:ind w:left="100"/>
              <w:spacing w:after="0"/>
              <w:rPr>
                <w:sz w:val="20"/>
                <w:szCs w:val="20"/>
                <w:color w:val="auto"/>
              </w:rPr>
            </w:pPr>
            <w:r>
              <w:rPr>
                <w:rFonts w:ascii="Arial" w:cs="Arial" w:eastAsia="Arial" w:hAnsi="Arial"/>
                <w:sz w:val="11"/>
                <w:szCs w:val="11"/>
                <w:color w:val="auto"/>
              </w:rPr>
              <w:t>unprotected EDIT related to the TCJA.</w:t>
            </w:r>
          </w:p>
        </w:tc>
        <w:tc>
          <w:tcPr>
            <w:tcW w:w="0" w:type="dxa"/>
            <w:vAlign w:val="bottom"/>
          </w:tcPr>
          <w:p>
            <w:pPr>
              <w:spacing w:after="0"/>
              <w:rPr>
                <w:sz w:val="1"/>
                <w:szCs w:val="1"/>
                <w:color w:val="auto"/>
              </w:rPr>
            </w:pPr>
          </w:p>
        </w:tc>
      </w:tr>
      <w:tr>
        <w:trPr>
          <w:trHeight w:val="162"/>
        </w:trPr>
        <w:tc>
          <w:tcPr>
            <w:tcW w:w="150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spacing w:after="0"/>
              <w:rPr>
                <w:sz w:val="14"/>
                <w:szCs w:val="14"/>
                <w:color w:val="auto"/>
              </w:rPr>
            </w:pPr>
          </w:p>
        </w:tc>
        <w:tc>
          <w:tcPr>
            <w:tcW w:w="7860" w:type="dxa"/>
            <w:vAlign w:val="bottom"/>
            <w:tcBorders>
              <w:bottom w:val="single" w:sz="8" w:color="auto"/>
            </w:tcBorders>
            <w:gridSpan w:val="3"/>
            <w:shd w:val="clear" w:color="auto" w:fill="CCEEFF"/>
          </w:tcPr>
          <w:p>
            <w:pPr>
              <w:jc w:val="center"/>
              <w:ind w:right="3523"/>
              <w:spacing w:after="0"/>
              <w:rPr>
                <w:sz w:val="20"/>
                <w:szCs w:val="20"/>
                <w:color w:val="auto"/>
              </w:rPr>
            </w:pPr>
            <w:r>
              <w:rPr>
                <w:rFonts w:ascii="Arial" w:cs="Arial" w:eastAsia="Arial" w:hAnsi="Arial"/>
                <w:sz w:val="11"/>
                <w:szCs w:val="11"/>
                <w:b w:val="1"/>
                <w:bCs w:val="1"/>
                <w:color w:val="auto"/>
                <w:w w:val="96"/>
              </w:rPr>
              <w:t>CenterPoint Energy and CERC - Arkansas (APSC)</w:t>
            </w:r>
          </w:p>
        </w:tc>
        <w:tc>
          <w:tcPr>
            <w:tcW w:w="0" w:type="dxa"/>
            <w:vAlign w:val="bottom"/>
          </w:tcPr>
          <w:p>
            <w:pPr>
              <w:spacing w:after="0"/>
              <w:rPr>
                <w:sz w:val="1"/>
                <w:szCs w:val="1"/>
                <w:color w:val="auto"/>
              </w:rPr>
            </w:pPr>
          </w:p>
        </w:tc>
      </w:tr>
      <w:tr>
        <w:trPr>
          <w:trHeight w:val="120"/>
        </w:trPr>
        <w:tc>
          <w:tcPr>
            <w:tcW w:w="15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5800" w:type="dxa"/>
            <w:vAlign w:val="bottom"/>
          </w:tcPr>
          <w:p>
            <w:pPr>
              <w:ind w:left="100"/>
              <w:spacing w:after="0" w:line="120" w:lineRule="exact"/>
              <w:rPr>
                <w:sz w:val="20"/>
                <w:szCs w:val="20"/>
                <w:color w:val="auto"/>
              </w:rPr>
            </w:pPr>
            <w:r>
              <w:rPr>
                <w:rFonts w:ascii="Arial" w:cs="Arial" w:eastAsia="Arial" w:hAnsi="Arial"/>
                <w:sz w:val="11"/>
                <w:szCs w:val="11"/>
                <w:color w:val="auto"/>
              </w:rPr>
              <w:t>Based on ROE of 9.5% approved in the last rate case. On August 23, 2019, the APSC approved a unanimous</w:t>
            </w:r>
          </w:p>
        </w:tc>
        <w:tc>
          <w:tcPr>
            <w:tcW w:w="0" w:type="dxa"/>
            <w:vAlign w:val="bottom"/>
          </w:tcPr>
          <w:p>
            <w:pPr>
              <w:spacing w:after="0"/>
              <w:rPr>
                <w:sz w:val="1"/>
                <w:szCs w:val="1"/>
                <w:color w:val="auto"/>
              </w:rPr>
            </w:pPr>
          </w:p>
        </w:tc>
      </w:tr>
      <w:tr>
        <w:trPr>
          <w:trHeight w:val="119"/>
        </w:trPr>
        <w:tc>
          <w:tcPr>
            <w:tcW w:w="15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980" w:type="dxa"/>
            <w:vAlign w:val="bottom"/>
          </w:tcPr>
          <w:p>
            <w:pPr>
              <w:jc w:val="center"/>
              <w:spacing w:after="0" w:line="119" w:lineRule="exact"/>
              <w:rPr>
                <w:sz w:val="20"/>
                <w:szCs w:val="20"/>
                <w:color w:val="auto"/>
              </w:rPr>
            </w:pPr>
            <w:r>
              <w:rPr>
                <w:rFonts w:ascii="Arial" w:cs="Arial" w:eastAsia="Arial" w:hAnsi="Arial"/>
                <w:sz w:val="11"/>
                <w:szCs w:val="11"/>
                <w:color w:val="auto"/>
              </w:rPr>
              <w:t>April</w:t>
            </w:r>
          </w:p>
        </w:tc>
        <w:tc>
          <w:tcPr>
            <w:tcW w:w="10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5800" w:type="dxa"/>
            <w:vAlign w:val="bottom"/>
          </w:tcPr>
          <w:p>
            <w:pPr>
              <w:ind w:left="100"/>
              <w:spacing w:after="0" w:line="119" w:lineRule="exact"/>
              <w:rPr>
                <w:sz w:val="20"/>
                <w:szCs w:val="20"/>
                <w:color w:val="auto"/>
              </w:rPr>
            </w:pPr>
            <w:r>
              <w:rPr>
                <w:rFonts w:ascii="Arial" w:cs="Arial" w:eastAsia="Arial" w:hAnsi="Arial"/>
                <w:sz w:val="11"/>
                <w:szCs w:val="11"/>
                <w:color w:val="auto"/>
                <w:w w:val="99"/>
              </w:rPr>
              <w:t>comprehensive settlement that results in an FRP revenue increase of $7 million and includes additional non-monetary</w:t>
            </w:r>
          </w:p>
        </w:tc>
        <w:tc>
          <w:tcPr>
            <w:tcW w:w="0" w:type="dxa"/>
            <w:vAlign w:val="bottom"/>
          </w:tcPr>
          <w:p>
            <w:pPr>
              <w:spacing w:after="0"/>
              <w:rPr>
                <w:sz w:val="1"/>
                <w:szCs w:val="1"/>
                <w:color w:val="auto"/>
              </w:rPr>
            </w:pPr>
          </w:p>
        </w:tc>
      </w:tr>
      <w:tr>
        <w:trPr>
          <w:trHeight w:val="151"/>
        </w:trPr>
        <w:tc>
          <w:tcPr>
            <w:tcW w:w="1500" w:type="dxa"/>
            <w:vAlign w:val="bottom"/>
          </w:tcPr>
          <w:p>
            <w:pPr>
              <w:jc w:val="center"/>
              <w:spacing w:after="0"/>
              <w:rPr>
                <w:sz w:val="20"/>
                <w:szCs w:val="20"/>
                <w:color w:val="auto"/>
              </w:rPr>
            </w:pPr>
            <w:r>
              <w:rPr>
                <w:rFonts w:ascii="Arial" w:cs="Arial" w:eastAsia="Arial" w:hAnsi="Arial"/>
                <w:sz w:val="11"/>
                <w:szCs w:val="11"/>
                <w:color w:val="auto"/>
                <w:w w:val="90"/>
              </w:rPr>
              <w:t>FRP</w:t>
            </w:r>
          </w:p>
        </w:tc>
        <w:tc>
          <w:tcPr>
            <w:tcW w:w="1120" w:type="dxa"/>
            <w:vAlign w:val="bottom"/>
          </w:tcPr>
          <w:p>
            <w:pPr>
              <w:jc w:val="center"/>
              <w:ind w:left="3"/>
              <w:spacing w:after="0"/>
              <w:rPr>
                <w:sz w:val="20"/>
                <w:szCs w:val="20"/>
                <w:color w:val="auto"/>
              </w:rPr>
            </w:pPr>
            <w:r>
              <w:rPr>
                <w:rFonts w:ascii="Arial" w:cs="Arial" w:eastAsia="Arial" w:hAnsi="Arial"/>
                <w:sz w:val="11"/>
                <w:szCs w:val="11"/>
                <w:color w:val="auto"/>
                <w:w w:val="97"/>
              </w:rPr>
              <w:t>7</w:t>
            </w:r>
          </w:p>
        </w:tc>
        <w:tc>
          <w:tcPr>
            <w:tcW w:w="980" w:type="dxa"/>
            <w:vAlign w:val="bottom"/>
          </w:tcPr>
          <w:p>
            <w:pPr>
              <w:jc w:val="center"/>
              <w:spacing w:after="0"/>
              <w:rPr>
                <w:sz w:val="20"/>
                <w:szCs w:val="20"/>
                <w:color w:val="auto"/>
              </w:rPr>
            </w:pPr>
            <w:r>
              <w:rPr>
                <w:rFonts w:ascii="Arial" w:cs="Arial" w:eastAsia="Arial" w:hAnsi="Arial"/>
                <w:sz w:val="11"/>
                <w:szCs w:val="11"/>
                <w:color w:val="auto"/>
                <w:w w:val="89"/>
              </w:rPr>
              <w:t>2019</w:t>
            </w:r>
          </w:p>
        </w:tc>
        <w:tc>
          <w:tcPr>
            <w:tcW w:w="1060" w:type="dxa"/>
            <w:vAlign w:val="bottom"/>
          </w:tcPr>
          <w:p>
            <w:pPr>
              <w:jc w:val="center"/>
              <w:spacing w:after="0"/>
              <w:rPr>
                <w:sz w:val="20"/>
                <w:szCs w:val="20"/>
                <w:color w:val="auto"/>
              </w:rPr>
            </w:pPr>
            <w:r>
              <w:rPr>
                <w:rFonts w:ascii="Arial" w:cs="Arial" w:eastAsia="Arial" w:hAnsi="Arial"/>
                <w:sz w:val="11"/>
                <w:szCs w:val="11"/>
                <w:color w:val="auto"/>
                <w:w w:val="92"/>
              </w:rPr>
              <w:t>October 2019</w:t>
            </w:r>
          </w:p>
        </w:tc>
        <w:tc>
          <w:tcPr>
            <w:tcW w:w="1000" w:type="dxa"/>
            <w:vAlign w:val="bottom"/>
          </w:tcPr>
          <w:p>
            <w:pPr>
              <w:jc w:val="center"/>
              <w:spacing w:after="0"/>
              <w:rPr>
                <w:sz w:val="20"/>
                <w:szCs w:val="20"/>
                <w:color w:val="auto"/>
              </w:rPr>
            </w:pPr>
            <w:r>
              <w:rPr>
                <w:rFonts w:ascii="Arial" w:cs="Arial" w:eastAsia="Arial" w:hAnsi="Arial"/>
                <w:sz w:val="11"/>
                <w:szCs w:val="11"/>
                <w:color w:val="auto"/>
                <w:w w:val="93"/>
              </w:rPr>
              <w:t>August 2019</w:t>
            </w:r>
          </w:p>
        </w:tc>
        <w:tc>
          <w:tcPr>
            <w:tcW w:w="5800" w:type="dxa"/>
            <w:vAlign w:val="bottom"/>
          </w:tcPr>
          <w:p>
            <w:pPr>
              <w:ind w:left="100"/>
              <w:spacing w:after="0"/>
              <w:rPr>
                <w:sz w:val="20"/>
                <w:szCs w:val="20"/>
                <w:color w:val="auto"/>
              </w:rPr>
            </w:pPr>
            <w:r>
              <w:rPr>
                <w:rFonts w:ascii="Arial" w:cs="Arial" w:eastAsia="Arial" w:hAnsi="Arial"/>
                <w:sz w:val="11"/>
                <w:szCs w:val="11"/>
                <w:color w:val="auto"/>
              </w:rPr>
              <w:t>items.</w:t>
            </w:r>
          </w:p>
        </w:tc>
        <w:tc>
          <w:tcPr>
            <w:tcW w:w="0" w:type="dxa"/>
            <w:vAlign w:val="bottom"/>
          </w:tcPr>
          <w:p>
            <w:pPr>
              <w:spacing w:after="0"/>
              <w:rPr>
                <w:sz w:val="1"/>
                <w:szCs w:val="1"/>
                <w:color w:val="auto"/>
              </w:rPr>
            </w:pPr>
          </w:p>
        </w:tc>
      </w:tr>
      <w:tr>
        <w:trPr>
          <w:trHeight w:val="162"/>
        </w:trPr>
        <w:tc>
          <w:tcPr>
            <w:tcW w:w="150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spacing w:after="0"/>
              <w:rPr>
                <w:sz w:val="14"/>
                <w:szCs w:val="14"/>
                <w:color w:val="auto"/>
              </w:rPr>
            </w:pPr>
          </w:p>
        </w:tc>
        <w:tc>
          <w:tcPr>
            <w:tcW w:w="7860" w:type="dxa"/>
            <w:vAlign w:val="bottom"/>
            <w:tcBorders>
              <w:bottom w:val="single" w:sz="8" w:color="auto"/>
            </w:tcBorders>
            <w:gridSpan w:val="3"/>
            <w:shd w:val="clear" w:color="auto" w:fill="CCEEFF"/>
          </w:tcPr>
          <w:p>
            <w:pPr>
              <w:jc w:val="center"/>
              <w:ind w:right="3543"/>
              <w:spacing w:after="0"/>
              <w:rPr>
                <w:sz w:val="20"/>
                <w:szCs w:val="20"/>
                <w:color w:val="auto"/>
              </w:rPr>
            </w:pPr>
            <w:r>
              <w:rPr>
                <w:rFonts w:ascii="Arial" w:cs="Arial" w:eastAsia="Arial" w:hAnsi="Arial"/>
                <w:sz w:val="11"/>
                <w:szCs w:val="11"/>
                <w:b w:val="1"/>
                <w:bCs w:val="1"/>
                <w:color w:val="auto"/>
                <w:w w:val="97"/>
              </w:rPr>
              <w:t>CenterPoint Energy and CERC - Louisiana (LPSC)</w:t>
            </w:r>
          </w:p>
        </w:tc>
        <w:tc>
          <w:tcPr>
            <w:tcW w:w="0" w:type="dxa"/>
            <w:vAlign w:val="bottom"/>
          </w:tcPr>
          <w:p>
            <w:pPr>
              <w:spacing w:after="0"/>
              <w:rPr>
                <w:sz w:val="1"/>
                <w:szCs w:val="1"/>
                <w:color w:val="auto"/>
              </w:rPr>
            </w:pPr>
          </w:p>
        </w:tc>
      </w:tr>
      <w:tr>
        <w:trPr>
          <w:trHeight w:val="206"/>
        </w:trPr>
        <w:tc>
          <w:tcPr>
            <w:tcW w:w="1500" w:type="dxa"/>
            <w:vAlign w:val="bottom"/>
          </w:tcPr>
          <w:p>
            <w:pPr>
              <w:jc w:val="center"/>
              <w:spacing w:after="0"/>
              <w:rPr>
                <w:sz w:val="20"/>
                <w:szCs w:val="20"/>
                <w:color w:val="auto"/>
              </w:rPr>
            </w:pPr>
            <w:r>
              <w:rPr>
                <w:rFonts w:ascii="Arial" w:cs="Arial" w:eastAsia="Arial" w:hAnsi="Arial"/>
                <w:sz w:val="11"/>
                <w:szCs w:val="11"/>
                <w:color w:val="auto"/>
                <w:w w:val="95"/>
              </w:rPr>
              <w:t xml:space="preserve">RSP </w:t>
            </w:r>
            <w:r>
              <w:rPr>
                <w:rFonts w:ascii="Arial" w:cs="Arial" w:eastAsia="Arial" w:hAnsi="Arial"/>
                <w:sz w:val="8"/>
                <w:szCs w:val="8"/>
                <w:color w:val="auto"/>
                <w:w w:val="95"/>
              </w:rPr>
              <w:t>(1)</w:t>
            </w:r>
          </w:p>
        </w:tc>
        <w:tc>
          <w:tcPr>
            <w:tcW w:w="1120" w:type="dxa"/>
            <w:vAlign w:val="bottom"/>
          </w:tcPr>
          <w:p>
            <w:pPr>
              <w:jc w:val="center"/>
              <w:ind w:left="3"/>
              <w:spacing w:after="0"/>
              <w:rPr>
                <w:sz w:val="20"/>
                <w:szCs w:val="20"/>
                <w:color w:val="auto"/>
              </w:rPr>
            </w:pPr>
            <w:r>
              <w:rPr>
                <w:rFonts w:ascii="Arial" w:cs="Arial" w:eastAsia="Arial" w:hAnsi="Arial"/>
                <w:sz w:val="11"/>
                <w:szCs w:val="11"/>
                <w:color w:val="auto"/>
                <w:w w:val="97"/>
              </w:rPr>
              <w:t>3</w:t>
            </w:r>
          </w:p>
        </w:tc>
        <w:tc>
          <w:tcPr>
            <w:tcW w:w="980" w:type="dxa"/>
            <w:vAlign w:val="bottom"/>
          </w:tcPr>
          <w:p>
            <w:pPr>
              <w:jc w:val="center"/>
              <w:spacing w:after="0"/>
              <w:rPr>
                <w:sz w:val="20"/>
                <w:szCs w:val="20"/>
                <w:color w:val="auto"/>
              </w:rPr>
            </w:pPr>
            <w:r>
              <w:rPr>
                <w:rFonts w:ascii="Arial" w:cs="Arial" w:eastAsia="Arial" w:hAnsi="Arial"/>
                <w:sz w:val="11"/>
                <w:szCs w:val="11"/>
                <w:color w:val="auto"/>
                <w:w w:val="90"/>
              </w:rPr>
              <w:t>September 2019</w:t>
            </w:r>
          </w:p>
        </w:tc>
        <w:tc>
          <w:tcPr>
            <w:tcW w:w="1060" w:type="dxa"/>
            <w:vAlign w:val="bottom"/>
          </w:tcPr>
          <w:p>
            <w:pPr>
              <w:jc w:val="center"/>
              <w:spacing w:after="0"/>
              <w:rPr>
                <w:sz w:val="20"/>
                <w:szCs w:val="20"/>
                <w:color w:val="auto"/>
              </w:rPr>
            </w:pPr>
            <w:r>
              <w:rPr>
                <w:rFonts w:ascii="Arial" w:cs="Arial" w:eastAsia="Arial" w:hAnsi="Arial"/>
                <w:sz w:val="11"/>
                <w:szCs w:val="11"/>
                <w:color w:val="auto"/>
                <w:w w:val="94"/>
              </w:rPr>
              <w:t>December 2019</w:t>
            </w:r>
          </w:p>
        </w:tc>
        <w:tc>
          <w:tcPr>
            <w:tcW w:w="1000" w:type="dxa"/>
            <w:vAlign w:val="bottom"/>
          </w:tcPr>
          <w:p>
            <w:pPr>
              <w:jc w:val="center"/>
              <w:spacing w:after="0"/>
              <w:rPr>
                <w:sz w:val="20"/>
                <w:szCs w:val="20"/>
                <w:color w:val="auto"/>
              </w:rPr>
            </w:pPr>
            <w:r>
              <w:rPr>
                <w:rFonts w:ascii="Arial" w:cs="Arial" w:eastAsia="Arial" w:hAnsi="Arial"/>
                <w:sz w:val="11"/>
                <w:szCs w:val="11"/>
                <w:color w:val="auto"/>
                <w:w w:val="99"/>
              </w:rPr>
              <w:t>TBD</w:t>
            </w:r>
          </w:p>
        </w:tc>
        <w:tc>
          <w:tcPr>
            <w:tcW w:w="5800" w:type="dxa"/>
            <w:vAlign w:val="bottom"/>
          </w:tcPr>
          <w:p>
            <w:pPr>
              <w:ind w:left="100"/>
              <w:spacing w:after="0"/>
              <w:rPr>
                <w:sz w:val="20"/>
                <w:szCs w:val="20"/>
                <w:color w:val="auto"/>
              </w:rPr>
            </w:pPr>
            <w:r>
              <w:rPr>
                <w:rFonts w:ascii="Arial" w:cs="Arial" w:eastAsia="Arial" w:hAnsi="Arial"/>
                <w:sz w:val="11"/>
                <w:szCs w:val="11"/>
                <w:color w:val="auto"/>
              </w:rPr>
              <w:t>Based on ROE of 9.95%.</w:t>
            </w:r>
          </w:p>
        </w:tc>
        <w:tc>
          <w:tcPr>
            <w:tcW w:w="0" w:type="dxa"/>
            <w:vAlign w:val="bottom"/>
          </w:tcPr>
          <w:p>
            <w:pPr>
              <w:spacing w:after="0"/>
              <w:rPr>
                <w:sz w:val="1"/>
                <w:szCs w:val="1"/>
                <w:color w:val="auto"/>
              </w:rPr>
            </w:pPr>
          </w:p>
        </w:tc>
      </w:tr>
      <w:tr>
        <w:trPr>
          <w:trHeight w:val="162"/>
        </w:trPr>
        <w:tc>
          <w:tcPr>
            <w:tcW w:w="150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spacing w:after="0"/>
              <w:rPr>
                <w:sz w:val="14"/>
                <w:szCs w:val="14"/>
                <w:color w:val="auto"/>
              </w:rPr>
            </w:pPr>
          </w:p>
        </w:tc>
        <w:tc>
          <w:tcPr>
            <w:tcW w:w="7860" w:type="dxa"/>
            <w:vAlign w:val="bottom"/>
            <w:tcBorders>
              <w:bottom w:val="single" w:sz="8" w:color="auto"/>
            </w:tcBorders>
            <w:gridSpan w:val="3"/>
            <w:shd w:val="clear" w:color="auto" w:fill="CCEEFF"/>
          </w:tcPr>
          <w:p>
            <w:pPr>
              <w:jc w:val="center"/>
              <w:ind w:right="3543"/>
              <w:spacing w:after="0"/>
              <w:rPr>
                <w:sz w:val="20"/>
                <w:szCs w:val="20"/>
                <w:color w:val="auto"/>
              </w:rPr>
            </w:pPr>
            <w:r>
              <w:rPr>
                <w:rFonts w:ascii="Arial" w:cs="Arial" w:eastAsia="Arial" w:hAnsi="Arial"/>
                <w:sz w:val="11"/>
                <w:szCs w:val="11"/>
                <w:b w:val="1"/>
                <w:bCs w:val="1"/>
                <w:color w:val="auto"/>
                <w:w w:val="98"/>
              </w:rPr>
              <w:t>CenterPoint Energy and CERC - Minnesota (MPUC)</w:t>
            </w:r>
          </w:p>
        </w:tc>
        <w:tc>
          <w:tcPr>
            <w:tcW w:w="0" w:type="dxa"/>
            <w:vAlign w:val="bottom"/>
          </w:tcPr>
          <w:p>
            <w:pPr>
              <w:spacing w:after="0"/>
              <w:rPr>
                <w:sz w:val="1"/>
                <w:szCs w:val="1"/>
                <w:color w:val="auto"/>
              </w:rPr>
            </w:pPr>
          </w:p>
        </w:tc>
      </w:tr>
      <w:tr>
        <w:trPr>
          <w:trHeight w:val="120"/>
        </w:trPr>
        <w:tc>
          <w:tcPr>
            <w:tcW w:w="15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980" w:type="dxa"/>
            <w:vAlign w:val="bottom"/>
          </w:tcPr>
          <w:p>
            <w:pPr>
              <w:jc w:val="center"/>
              <w:spacing w:after="0" w:line="120" w:lineRule="exact"/>
              <w:rPr>
                <w:sz w:val="20"/>
                <w:szCs w:val="20"/>
                <w:color w:val="auto"/>
              </w:rPr>
            </w:pPr>
            <w:r>
              <w:rPr>
                <w:rFonts w:ascii="Arial" w:cs="Arial" w:eastAsia="Arial" w:hAnsi="Arial"/>
                <w:sz w:val="11"/>
                <w:szCs w:val="11"/>
                <w:color w:val="auto"/>
              </w:rPr>
              <w:t>May</w:t>
            </w:r>
          </w:p>
        </w:tc>
        <w:tc>
          <w:tcPr>
            <w:tcW w:w="10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5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1500" w:type="dxa"/>
            <w:vAlign w:val="bottom"/>
          </w:tcPr>
          <w:p>
            <w:pPr>
              <w:jc w:val="center"/>
              <w:spacing w:after="0"/>
              <w:rPr>
                <w:sz w:val="20"/>
                <w:szCs w:val="20"/>
                <w:color w:val="auto"/>
              </w:rPr>
            </w:pPr>
            <w:r>
              <w:rPr>
                <w:rFonts w:ascii="Arial" w:cs="Arial" w:eastAsia="Arial" w:hAnsi="Arial"/>
                <w:sz w:val="11"/>
                <w:szCs w:val="11"/>
                <w:color w:val="auto"/>
                <w:w w:val="97"/>
              </w:rPr>
              <w:t>CIP Financial Incentive</w:t>
            </w:r>
          </w:p>
        </w:tc>
        <w:tc>
          <w:tcPr>
            <w:tcW w:w="1120" w:type="dxa"/>
            <w:vAlign w:val="bottom"/>
          </w:tcPr>
          <w:p>
            <w:pPr>
              <w:jc w:val="center"/>
              <w:ind w:left="3"/>
              <w:spacing w:after="0"/>
              <w:rPr>
                <w:sz w:val="20"/>
                <w:szCs w:val="20"/>
                <w:color w:val="auto"/>
              </w:rPr>
            </w:pPr>
            <w:r>
              <w:rPr>
                <w:rFonts w:ascii="Arial" w:cs="Arial" w:eastAsia="Arial" w:hAnsi="Arial"/>
                <w:sz w:val="11"/>
                <w:szCs w:val="11"/>
                <w:color w:val="auto"/>
                <w:w w:val="81"/>
              </w:rPr>
              <w:t>11</w:t>
            </w:r>
          </w:p>
        </w:tc>
        <w:tc>
          <w:tcPr>
            <w:tcW w:w="980" w:type="dxa"/>
            <w:vAlign w:val="bottom"/>
          </w:tcPr>
          <w:p>
            <w:pPr>
              <w:jc w:val="center"/>
              <w:spacing w:after="0"/>
              <w:rPr>
                <w:sz w:val="20"/>
                <w:szCs w:val="20"/>
                <w:color w:val="auto"/>
              </w:rPr>
            </w:pPr>
            <w:r>
              <w:rPr>
                <w:rFonts w:ascii="Arial" w:cs="Arial" w:eastAsia="Arial" w:hAnsi="Arial"/>
                <w:sz w:val="11"/>
                <w:szCs w:val="11"/>
                <w:color w:val="auto"/>
                <w:w w:val="89"/>
              </w:rPr>
              <w:t>2019</w:t>
            </w:r>
          </w:p>
        </w:tc>
        <w:tc>
          <w:tcPr>
            <w:tcW w:w="1060" w:type="dxa"/>
            <w:vAlign w:val="bottom"/>
          </w:tcPr>
          <w:p>
            <w:pPr>
              <w:jc w:val="center"/>
              <w:spacing w:after="0"/>
              <w:rPr>
                <w:sz w:val="20"/>
                <w:szCs w:val="20"/>
                <w:color w:val="auto"/>
              </w:rPr>
            </w:pPr>
            <w:r>
              <w:rPr>
                <w:rFonts w:ascii="Arial" w:cs="Arial" w:eastAsia="Arial" w:hAnsi="Arial"/>
                <w:sz w:val="11"/>
                <w:szCs w:val="11"/>
                <w:color w:val="auto"/>
                <w:w w:val="92"/>
              </w:rPr>
              <w:t>October 2019</w:t>
            </w:r>
          </w:p>
        </w:tc>
        <w:tc>
          <w:tcPr>
            <w:tcW w:w="1000" w:type="dxa"/>
            <w:vAlign w:val="bottom"/>
          </w:tcPr>
          <w:p>
            <w:pPr>
              <w:jc w:val="center"/>
              <w:spacing w:after="0"/>
              <w:rPr>
                <w:sz w:val="20"/>
                <w:szCs w:val="20"/>
                <w:color w:val="auto"/>
              </w:rPr>
            </w:pPr>
            <w:r>
              <w:rPr>
                <w:rFonts w:ascii="Arial" w:cs="Arial" w:eastAsia="Arial" w:hAnsi="Arial"/>
                <w:sz w:val="11"/>
                <w:szCs w:val="11"/>
                <w:color w:val="auto"/>
                <w:w w:val="90"/>
              </w:rPr>
              <w:t>September 2019</w:t>
            </w:r>
          </w:p>
        </w:tc>
        <w:tc>
          <w:tcPr>
            <w:tcW w:w="5800" w:type="dxa"/>
            <w:vAlign w:val="bottom"/>
          </w:tcPr>
          <w:p>
            <w:pPr>
              <w:ind w:left="100"/>
              <w:spacing w:after="0"/>
              <w:rPr>
                <w:sz w:val="20"/>
                <w:szCs w:val="20"/>
                <w:color w:val="auto"/>
              </w:rPr>
            </w:pPr>
            <w:r>
              <w:rPr>
                <w:rFonts w:ascii="Arial" w:cs="Arial" w:eastAsia="Arial" w:hAnsi="Arial"/>
                <w:sz w:val="11"/>
                <w:szCs w:val="11"/>
                <w:color w:val="auto"/>
              </w:rPr>
              <w:t>CIP Financial Incentive based on 2018 activity.</w:t>
            </w:r>
          </w:p>
        </w:tc>
        <w:tc>
          <w:tcPr>
            <w:tcW w:w="0" w:type="dxa"/>
            <w:vAlign w:val="bottom"/>
          </w:tcPr>
          <w:p>
            <w:pPr>
              <w:spacing w:after="0"/>
              <w:rPr>
                <w:sz w:val="1"/>
                <w:szCs w:val="1"/>
                <w:color w:val="auto"/>
              </w:rPr>
            </w:pPr>
          </w:p>
        </w:tc>
      </w:tr>
      <w:tr>
        <w:trPr>
          <w:trHeight w:val="129"/>
        </w:trPr>
        <w:tc>
          <w:tcPr>
            <w:tcW w:w="150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5800" w:type="dxa"/>
            <w:vAlign w:val="bottom"/>
            <w:shd w:val="clear" w:color="auto" w:fill="CCEEFF"/>
          </w:tcPr>
          <w:p>
            <w:pPr>
              <w:ind w:left="100"/>
              <w:spacing w:after="0"/>
              <w:rPr>
                <w:sz w:val="20"/>
                <w:szCs w:val="20"/>
                <w:color w:val="auto"/>
              </w:rPr>
            </w:pPr>
            <w:r>
              <w:rPr>
                <w:rFonts w:ascii="Arial" w:cs="Arial" w:eastAsia="Arial" w:hAnsi="Arial"/>
                <w:sz w:val="11"/>
                <w:szCs w:val="11"/>
                <w:color w:val="auto"/>
                <w:w w:val="97"/>
              </w:rPr>
              <w:t>Represents over-recovery of $21 million recorded for and during the period July 1, 2018 through June 30, 2019, partially</w:t>
            </w:r>
          </w:p>
        </w:tc>
        <w:tc>
          <w:tcPr>
            <w:tcW w:w="0" w:type="dxa"/>
            <w:vAlign w:val="bottom"/>
          </w:tcPr>
          <w:p>
            <w:pPr>
              <w:spacing w:after="0"/>
              <w:rPr>
                <w:sz w:val="1"/>
                <w:szCs w:val="1"/>
                <w:color w:val="auto"/>
              </w:rPr>
            </w:pPr>
          </w:p>
        </w:tc>
      </w:tr>
      <w:tr>
        <w:trPr>
          <w:trHeight w:val="155"/>
        </w:trPr>
        <w:tc>
          <w:tcPr>
            <w:tcW w:w="150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98"/>
              </w:rPr>
              <w:t>Decoupling</w:t>
            </w:r>
          </w:p>
        </w:tc>
        <w:tc>
          <w:tcPr>
            <w:tcW w:w="1120" w:type="dxa"/>
            <w:vAlign w:val="bottom"/>
            <w:shd w:val="clear" w:color="auto" w:fill="CCEEFF"/>
          </w:tcPr>
          <w:p>
            <w:pPr>
              <w:jc w:val="center"/>
              <w:ind w:left="3"/>
              <w:spacing w:after="0"/>
              <w:rPr>
                <w:sz w:val="20"/>
                <w:szCs w:val="20"/>
                <w:color w:val="auto"/>
              </w:rPr>
            </w:pPr>
            <w:r>
              <w:rPr>
                <w:rFonts w:ascii="Arial" w:cs="Arial" w:eastAsia="Arial" w:hAnsi="Arial"/>
                <w:sz w:val="11"/>
                <w:szCs w:val="11"/>
                <w:color w:val="auto"/>
                <w:w w:val="91"/>
              </w:rPr>
              <w:t>n/a</w:t>
            </w:r>
          </w:p>
        </w:tc>
        <w:tc>
          <w:tcPr>
            <w:tcW w:w="98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90"/>
              </w:rPr>
              <w:t>September 2019</w:t>
            </w:r>
          </w:p>
        </w:tc>
        <w:tc>
          <w:tcPr>
            <w:tcW w:w="106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90"/>
              </w:rPr>
              <w:t>September 2019</w:t>
            </w:r>
          </w:p>
        </w:tc>
        <w:tc>
          <w:tcPr>
            <w:tcW w:w="100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99"/>
              </w:rPr>
              <w:t>TBD</w:t>
            </w:r>
          </w:p>
        </w:tc>
        <w:tc>
          <w:tcPr>
            <w:tcW w:w="5800" w:type="dxa"/>
            <w:vAlign w:val="bottom"/>
            <w:shd w:val="clear" w:color="auto" w:fill="CCEEFF"/>
          </w:tcPr>
          <w:p>
            <w:pPr>
              <w:ind w:left="100"/>
              <w:spacing w:after="0"/>
              <w:rPr>
                <w:sz w:val="20"/>
                <w:szCs w:val="20"/>
                <w:color w:val="auto"/>
              </w:rPr>
            </w:pPr>
            <w:r>
              <w:rPr>
                <w:rFonts w:ascii="Arial" w:cs="Arial" w:eastAsia="Arial" w:hAnsi="Arial"/>
                <w:sz w:val="11"/>
                <w:szCs w:val="11"/>
                <w:color w:val="auto"/>
              </w:rPr>
              <w:t>offset by over-refund of $2 million related to the period July 1, 2017 through June 30, 2018.</w:t>
            </w:r>
          </w:p>
        </w:tc>
        <w:tc>
          <w:tcPr>
            <w:tcW w:w="0" w:type="dxa"/>
            <w:vAlign w:val="bottom"/>
          </w:tcPr>
          <w:p>
            <w:pPr>
              <w:spacing w:after="0"/>
              <w:rPr>
                <w:sz w:val="1"/>
                <w:szCs w:val="1"/>
                <w:color w:val="auto"/>
              </w:rPr>
            </w:pPr>
          </w:p>
        </w:tc>
      </w:tr>
      <w:tr>
        <w:trPr>
          <w:trHeight w:val="125"/>
        </w:trPr>
        <w:tc>
          <w:tcPr>
            <w:tcW w:w="15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5800" w:type="dxa"/>
            <w:vAlign w:val="bottom"/>
          </w:tcPr>
          <w:p>
            <w:pPr>
              <w:ind w:left="100"/>
              <w:spacing w:after="0" w:line="125" w:lineRule="exact"/>
              <w:rPr>
                <w:sz w:val="20"/>
                <w:szCs w:val="20"/>
                <w:color w:val="auto"/>
              </w:rPr>
            </w:pPr>
            <w:r>
              <w:rPr>
                <w:rFonts w:ascii="Arial" w:cs="Arial" w:eastAsia="Arial" w:hAnsi="Arial"/>
                <w:sz w:val="11"/>
                <w:szCs w:val="11"/>
                <w:color w:val="auto"/>
              </w:rPr>
              <w:t>Reflects a proposed 10.15% ROE on a 51.39% equity ratio. Interim rates reflecting an annual increase of $53 million</w:t>
            </w:r>
          </w:p>
        </w:tc>
        <w:tc>
          <w:tcPr>
            <w:tcW w:w="0" w:type="dxa"/>
            <w:vAlign w:val="bottom"/>
          </w:tcPr>
          <w:p>
            <w:pPr>
              <w:spacing w:after="0"/>
              <w:rPr>
                <w:sz w:val="1"/>
                <w:szCs w:val="1"/>
                <w:color w:val="auto"/>
              </w:rPr>
            </w:pPr>
          </w:p>
        </w:tc>
      </w:tr>
      <w:tr>
        <w:trPr>
          <w:trHeight w:val="151"/>
        </w:trPr>
        <w:tc>
          <w:tcPr>
            <w:tcW w:w="1500" w:type="dxa"/>
            <w:vAlign w:val="bottom"/>
          </w:tcPr>
          <w:p>
            <w:pPr>
              <w:jc w:val="center"/>
              <w:spacing w:after="0"/>
              <w:rPr>
                <w:sz w:val="20"/>
                <w:szCs w:val="20"/>
                <w:color w:val="auto"/>
              </w:rPr>
            </w:pPr>
            <w:r>
              <w:rPr>
                <w:rFonts w:ascii="Arial" w:cs="Arial" w:eastAsia="Arial" w:hAnsi="Arial"/>
                <w:sz w:val="11"/>
                <w:szCs w:val="11"/>
                <w:color w:val="auto"/>
                <w:w w:val="92"/>
              </w:rPr>
              <w:t xml:space="preserve">Rate Case </w:t>
            </w:r>
            <w:r>
              <w:rPr>
                <w:rFonts w:ascii="Arial" w:cs="Arial" w:eastAsia="Arial" w:hAnsi="Arial"/>
                <w:sz w:val="8"/>
                <w:szCs w:val="8"/>
                <w:color w:val="auto"/>
                <w:w w:val="92"/>
              </w:rPr>
              <w:t>(1)</w:t>
            </w:r>
          </w:p>
        </w:tc>
        <w:tc>
          <w:tcPr>
            <w:tcW w:w="1120" w:type="dxa"/>
            <w:vAlign w:val="bottom"/>
          </w:tcPr>
          <w:p>
            <w:pPr>
              <w:jc w:val="center"/>
              <w:spacing w:after="0"/>
              <w:rPr>
                <w:sz w:val="20"/>
                <w:szCs w:val="20"/>
                <w:color w:val="auto"/>
              </w:rPr>
            </w:pPr>
            <w:r>
              <w:rPr>
                <w:rFonts w:ascii="Arial" w:cs="Arial" w:eastAsia="Arial" w:hAnsi="Arial"/>
                <w:sz w:val="11"/>
                <w:szCs w:val="11"/>
                <w:color w:val="auto"/>
                <w:w w:val="97"/>
              </w:rPr>
              <w:t>62</w:t>
            </w:r>
          </w:p>
        </w:tc>
        <w:tc>
          <w:tcPr>
            <w:tcW w:w="980" w:type="dxa"/>
            <w:vAlign w:val="bottom"/>
          </w:tcPr>
          <w:p>
            <w:pPr>
              <w:jc w:val="center"/>
              <w:spacing w:after="0"/>
              <w:rPr>
                <w:sz w:val="20"/>
                <w:szCs w:val="20"/>
                <w:color w:val="auto"/>
              </w:rPr>
            </w:pPr>
            <w:r>
              <w:rPr>
                <w:rFonts w:ascii="Arial" w:cs="Arial" w:eastAsia="Arial" w:hAnsi="Arial"/>
                <w:sz w:val="11"/>
                <w:szCs w:val="11"/>
                <w:color w:val="auto"/>
                <w:w w:val="92"/>
              </w:rPr>
              <w:t>October 2019</w:t>
            </w:r>
          </w:p>
        </w:tc>
        <w:tc>
          <w:tcPr>
            <w:tcW w:w="1060" w:type="dxa"/>
            <w:vAlign w:val="bottom"/>
          </w:tcPr>
          <w:p>
            <w:pPr>
              <w:jc w:val="center"/>
              <w:spacing w:after="0"/>
              <w:rPr>
                <w:sz w:val="20"/>
                <w:szCs w:val="20"/>
                <w:color w:val="auto"/>
              </w:rPr>
            </w:pPr>
            <w:r>
              <w:rPr>
                <w:rFonts w:ascii="Arial" w:cs="Arial" w:eastAsia="Arial" w:hAnsi="Arial"/>
                <w:sz w:val="11"/>
                <w:szCs w:val="11"/>
                <w:color w:val="auto"/>
                <w:w w:val="99"/>
              </w:rPr>
              <w:t>TBD</w:t>
            </w:r>
          </w:p>
        </w:tc>
        <w:tc>
          <w:tcPr>
            <w:tcW w:w="1000" w:type="dxa"/>
            <w:vAlign w:val="bottom"/>
          </w:tcPr>
          <w:p>
            <w:pPr>
              <w:jc w:val="center"/>
              <w:spacing w:after="0"/>
              <w:rPr>
                <w:sz w:val="20"/>
                <w:szCs w:val="20"/>
                <w:color w:val="auto"/>
              </w:rPr>
            </w:pPr>
            <w:r>
              <w:rPr>
                <w:rFonts w:ascii="Arial" w:cs="Arial" w:eastAsia="Arial" w:hAnsi="Arial"/>
                <w:sz w:val="11"/>
                <w:szCs w:val="11"/>
                <w:color w:val="auto"/>
                <w:w w:val="99"/>
              </w:rPr>
              <w:t>TBD</w:t>
            </w:r>
          </w:p>
        </w:tc>
        <w:tc>
          <w:tcPr>
            <w:tcW w:w="5800" w:type="dxa"/>
            <w:vAlign w:val="bottom"/>
          </w:tcPr>
          <w:p>
            <w:pPr>
              <w:ind w:left="100"/>
              <w:spacing w:after="0"/>
              <w:rPr>
                <w:sz w:val="20"/>
                <w:szCs w:val="20"/>
                <w:color w:val="auto"/>
              </w:rPr>
            </w:pPr>
            <w:r>
              <w:rPr>
                <w:rFonts w:ascii="Arial" w:cs="Arial" w:eastAsia="Arial" w:hAnsi="Arial"/>
                <w:sz w:val="11"/>
                <w:szCs w:val="11"/>
                <w:color w:val="auto"/>
              </w:rPr>
              <w:t>requested to be effective January 1, 2020.</w:t>
            </w:r>
          </w:p>
        </w:tc>
        <w:tc>
          <w:tcPr>
            <w:tcW w:w="0" w:type="dxa"/>
            <w:vAlign w:val="bottom"/>
          </w:tcPr>
          <w:p>
            <w:pPr>
              <w:spacing w:after="0"/>
              <w:rPr>
                <w:sz w:val="1"/>
                <w:szCs w:val="1"/>
                <w:color w:val="auto"/>
              </w:rPr>
            </w:pPr>
          </w:p>
        </w:tc>
      </w:tr>
      <w:tr>
        <w:trPr>
          <w:trHeight w:val="162"/>
        </w:trPr>
        <w:tc>
          <w:tcPr>
            <w:tcW w:w="150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spacing w:after="0"/>
              <w:rPr>
                <w:sz w:val="14"/>
                <w:szCs w:val="14"/>
                <w:color w:val="auto"/>
              </w:rPr>
            </w:pPr>
          </w:p>
        </w:tc>
        <w:tc>
          <w:tcPr>
            <w:tcW w:w="7860" w:type="dxa"/>
            <w:vAlign w:val="bottom"/>
            <w:tcBorders>
              <w:bottom w:val="single" w:sz="8" w:color="auto"/>
            </w:tcBorders>
            <w:gridSpan w:val="3"/>
            <w:shd w:val="clear" w:color="auto" w:fill="CCEEFF"/>
          </w:tcPr>
          <w:p>
            <w:pPr>
              <w:jc w:val="center"/>
              <w:ind w:right="3543"/>
              <w:spacing w:after="0"/>
              <w:rPr>
                <w:sz w:val="20"/>
                <w:szCs w:val="20"/>
                <w:color w:val="auto"/>
              </w:rPr>
            </w:pPr>
            <w:r>
              <w:rPr>
                <w:rFonts w:ascii="Arial" w:cs="Arial" w:eastAsia="Arial" w:hAnsi="Arial"/>
                <w:sz w:val="11"/>
                <w:szCs w:val="11"/>
                <w:b w:val="1"/>
                <w:bCs w:val="1"/>
                <w:color w:val="auto"/>
                <w:w w:val="96"/>
              </w:rPr>
              <w:t>CenterPoint Energy and CERC - Mississippi (MPSC)</w:t>
            </w:r>
          </w:p>
        </w:tc>
        <w:tc>
          <w:tcPr>
            <w:tcW w:w="0" w:type="dxa"/>
            <w:vAlign w:val="bottom"/>
          </w:tcPr>
          <w:p>
            <w:pPr>
              <w:spacing w:after="0"/>
              <w:rPr>
                <w:sz w:val="1"/>
                <w:szCs w:val="1"/>
                <w:color w:val="auto"/>
              </w:rPr>
            </w:pPr>
          </w:p>
        </w:tc>
      </w:tr>
      <w:tr>
        <w:trPr>
          <w:trHeight w:val="120"/>
        </w:trPr>
        <w:tc>
          <w:tcPr>
            <w:tcW w:w="15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980" w:type="dxa"/>
            <w:vAlign w:val="bottom"/>
          </w:tcPr>
          <w:p>
            <w:pPr>
              <w:jc w:val="center"/>
              <w:spacing w:after="0" w:line="120" w:lineRule="exact"/>
              <w:rPr>
                <w:sz w:val="20"/>
                <w:szCs w:val="20"/>
                <w:color w:val="auto"/>
              </w:rPr>
            </w:pPr>
            <w:r>
              <w:rPr>
                <w:rFonts w:ascii="Arial" w:cs="Arial" w:eastAsia="Arial" w:hAnsi="Arial"/>
                <w:sz w:val="11"/>
                <w:szCs w:val="11"/>
                <w:color w:val="auto"/>
              </w:rPr>
              <w:t>May</w:t>
            </w:r>
          </w:p>
        </w:tc>
        <w:tc>
          <w:tcPr>
            <w:tcW w:w="10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5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1500" w:type="dxa"/>
            <w:vAlign w:val="bottom"/>
          </w:tcPr>
          <w:p>
            <w:pPr>
              <w:jc w:val="center"/>
              <w:spacing w:after="0"/>
              <w:rPr>
                <w:sz w:val="20"/>
                <w:szCs w:val="20"/>
                <w:color w:val="auto"/>
              </w:rPr>
            </w:pPr>
            <w:r>
              <w:rPr>
                <w:rFonts w:ascii="Arial" w:cs="Arial" w:eastAsia="Arial" w:hAnsi="Arial"/>
                <w:sz w:val="11"/>
                <w:szCs w:val="11"/>
                <w:color w:val="auto"/>
                <w:w w:val="99"/>
              </w:rPr>
              <w:t xml:space="preserve">RRA </w:t>
            </w:r>
            <w:r>
              <w:rPr>
                <w:rFonts w:ascii="Arial" w:cs="Arial" w:eastAsia="Arial" w:hAnsi="Arial"/>
                <w:sz w:val="8"/>
                <w:szCs w:val="8"/>
                <w:color w:val="auto"/>
                <w:w w:val="99"/>
              </w:rPr>
              <w:t>(1)</w:t>
            </w:r>
          </w:p>
        </w:tc>
        <w:tc>
          <w:tcPr>
            <w:tcW w:w="1120" w:type="dxa"/>
            <w:vAlign w:val="bottom"/>
          </w:tcPr>
          <w:p>
            <w:pPr>
              <w:jc w:val="center"/>
              <w:ind w:left="3"/>
              <w:spacing w:after="0"/>
              <w:rPr>
                <w:sz w:val="20"/>
                <w:szCs w:val="20"/>
                <w:color w:val="auto"/>
              </w:rPr>
            </w:pPr>
            <w:r>
              <w:rPr>
                <w:rFonts w:ascii="Arial" w:cs="Arial" w:eastAsia="Arial" w:hAnsi="Arial"/>
                <w:sz w:val="11"/>
                <w:szCs w:val="11"/>
                <w:color w:val="auto"/>
                <w:w w:val="97"/>
              </w:rPr>
              <w:t>2</w:t>
            </w:r>
          </w:p>
        </w:tc>
        <w:tc>
          <w:tcPr>
            <w:tcW w:w="980" w:type="dxa"/>
            <w:vAlign w:val="bottom"/>
          </w:tcPr>
          <w:p>
            <w:pPr>
              <w:jc w:val="center"/>
              <w:spacing w:after="0"/>
              <w:rPr>
                <w:sz w:val="20"/>
                <w:szCs w:val="20"/>
                <w:color w:val="auto"/>
              </w:rPr>
            </w:pPr>
            <w:r>
              <w:rPr>
                <w:rFonts w:ascii="Arial" w:cs="Arial" w:eastAsia="Arial" w:hAnsi="Arial"/>
                <w:sz w:val="11"/>
                <w:szCs w:val="11"/>
                <w:color w:val="auto"/>
                <w:w w:val="89"/>
              </w:rPr>
              <w:t>2019</w:t>
            </w:r>
          </w:p>
        </w:tc>
        <w:tc>
          <w:tcPr>
            <w:tcW w:w="1060" w:type="dxa"/>
            <w:vAlign w:val="bottom"/>
          </w:tcPr>
          <w:p>
            <w:pPr>
              <w:jc w:val="center"/>
              <w:spacing w:after="0"/>
              <w:rPr>
                <w:sz w:val="20"/>
                <w:szCs w:val="20"/>
                <w:color w:val="auto"/>
              </w:rPr>
            </w:pPr>
            <w:r>
              <w:rPr>
                <w:rFonts w:ascii="Arial" w:cs="Arial" w:eastAsia="Arial" w:hAnsi="Arial"/>
                <w:sz w:val="11"/>
                <w:szCs w:val="11"/>
                <w:color w:val="auto"/>
                <w:w w:val="99"/>
              </w:rPr>
              <w:t>TBD</w:t>
            </w:r>
          </w:p>
        </w:tc>
        <w:tc>
          <w:tcPr>
            <w:tcW w:w="1000" w:type="dxa"/>
            <w:vAlign w:val="bottom"/>
          </w:tcPr>
          <w:p>
            <w:pPr>
              <w:jc w:val="center"/>
              <w:spacing w:after="0"/>
              <w:rPr>
                <w:sz w:val="20"/>
                <w:szCs w:val="20"/>
                <w:color w:val="auto"/>
              </w:rPr>
            </w:pPr>
            <w:r>
              <w:rPr>
                <w:rFonts w:ascii="Arial" w:cs="Arial" w:eastAsia="Arial" w:hAnsi="Arial"/>
                <w:sz w:val="11"/>
                <w:szCs w:val="11"/>
                <w:color w:val="auto"/>
                <w:w w:val="99"/>
              </w:rPr>
              <w:t>TBD</w:t>
            </w:r>
          </w:p>
        </w:tc>
        <w:tc>
          <w:tcPr>
            <w:tcW w:w="5800" w:type="dxa"/>
            <w:vAlign w:val="bottom"/>
          </w:tcPr>
          <w:p>
            <w:pPr>
              <w:ind w:left="100"/>
              <w:spacing w:after="0"/>
              <w:rPr>
                <w:sz w:val="20"/>
                <w:szCs w:val="20"/>
                <w:color w:val="auto"/>
              </w:rPr>
            </w:pPr>
            <w:r>
              <w:rPr>
                <w:rFonts w:ascii="Arial" w:cs="Arial" w:eastAsia="Arial" w:hAnsi="Arial"/>
                <w:sz w:val="11"/>
                <w:szCs w:val="11"/>
                <w:color w:val="auto"/>
              </w:rPr>
              <w:t>Based on ROE of 9.26%.</w:t>
            </w:r>
          </w:p>
        </w:tc>
        <w:tc>
          <w:tcPr>
            <w:tcW w:w="0" w:type="dxa"/>
            <w:vAlign w:val="bottom"/>
          </w:tcPr>
          <w:p>
            <w:pPr>
              <w:spacing w:after="0"/>
              <w:rPr>
                <w:sz w:val="1"/>
                <w:szCs w:val="1"/>
                <w:color w:val="auto"/>
              </w:rPr>
            </w:pPr>
          </w:p>
        </w:tc>
      </w:tr>
      <w:tr>
        <w:trPr>
          <w:trHeight w:val="162"/>
        </w:trPr>
        <w:tc>
          <w:tcPr>
            <w:tcW w:w="150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spacing w:after="0"/>
              <w:rPr>
                <w:sz w:val="14"/>
                <w:szCs w:val="14"/>
                <w:color w:val="auto"/>
              </w:rPr>
            </w:pPr>
          </w:p>
        </w:tc>
        <w:tc>
          <w:tcPr>
            <w:tcW w:w="7860" w:type="dxa"/>
            <w:vAlign w:val="bottom"/>
            <w:tcBorders>
              <w:bottom w:val="single" w:sz="8" w:color="auto"/>
            </w:tcBorders>
            <w:gridSpan w:val="3"/>
            <w:shd w:val="clear" w:color="auto" w:fill="CCEEFF"/>
          </w:tcPr>
          <w:p>
            <w:pPr>
              <w:jc w:val="center"/>
              <w:ind w:right="3523"/>
              <w:spacing w:after="0"/>
              <w:rPr>
                <w:sz w:val="20"/>
                <w:szCs w:val="20"/>
                <w:color w:val="auto"/>
              </w:rPr>
            </w:pPr>
            <w:r>
              <w:rPr>
                <w:rFonts w:ascii="Arial" w:cs="Arial" w:eastAsia="Arial" w:hAnsi="Arial"/>
                <w:sz w:val="11"/>
                <w:szCs w:val="11"/>
                <w:b w:val="1"/>
                <w:bCs w:val="1"/>
                <w:color w:val="auto"/>
                <w:w w:val="97"/>
              </w:rPr>
              <w:t>CenterPoint Energy and CERC - Oklahoma (OCC)</w:t>
            </w:r>
          </w:p>
        </w:tc>
        <w:tc>
          <w:tcPr>
            <w:tcW w:w="0" w:type="dxa"/>
            <w:vAlign w:val="bottom"/>
          </w:tcPr>
          <w:p>
            <w:pPr>
              <w:spacing w:after="0"/>
              <w:rPr>
                <w:sz w:val="1"/>
                <w:szCs w:val="1"/>
                <w:color w:val="auto"/>
              </w:rPr>
            </w:pPr>
          </w:p>
        </w:tc>
      </w:tr>
      <w:tr>
        <w:trPr>
          <w:trHeight w:val="120"/>
        </w:trPr>
        <w:tc>
          <w:tcPr>
            <w:tcW w:w="15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980" w:type="dxa"/>
            <w:vAlign w:val="bottom"/>
          </w:tcPr>
          <w:p>
            <w:pPr>
              <w:jc w:val="center"/>
              <w:spacing w:after="0" w:line="120" w:lineRule="exact"/>
              <w:rPr>
                <w:sz w:val="20"/>
                <w:szCs w:val="20"/>
                <w:color w:val="auto"/>
              </w:rPr>
            </w:pPr>
            <w:r>
              <w:rPr>
                <w:rFonts w:ascii="Arial" w:cs="Arial" w:eastAsia="Arial" w:hAnsi="Arial"/>
                <w:sz w:val="11"/>
                <w:szCs w:val="11"/>
                <w:color w:val="auto"/>
                <w:w w:val="98"/>
              </w:rPr>
              <w:t>March</w:t>
            </w:r>
          </w:p>
        </w:tc>
        <w:tc>
          <w:tcPr>
            <w:tcW w:w="10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5800" w:type="dxa"/>
            <w:vAlign w:val="bottom"/>
          </w:tcPr>
          <w:p>
            <w:pPr>
              <w:ind w:left="100"/>
              <w:spacing w:after="0" w:line="120" w:lineRule="exact"/>
              <w:rPr>
                <w:sz w:val="20"/>
                <w:szCs w:val="20"/>
                <w:color w:val="auto"/>
              </w:rPr>
            </w:pPr>
            <w:r>
              <w:rPr>
                <w:rFonts w:ascii="Arial" w:cs="Arial" w:eastAsia="Arial" w:hAnsi="Arial"/>
                <w:sz w:val="11"/>
                <w:szCs w:val="11"/>
                <w:color w:val="auto"/>
                <w:w w:val="99"/>
              </w:rPr>
              <w:t>Based on ROE of 10%. On July 26, 2019, the ALJ recommended that the OCC approve an increase of $2 million. On</w:t>
            </w:r>
          </w:p>
        </w:tc>
        <w:tc>
          <w:tcPr>
            <w:tcW w:w="0" w:type="dxa"/>
            <w:vAlign w:val="bottom"/>
          </w:tcPr>
          <w:p>
            <w:pPr>
              <w:spacing w:after="0"/>
              <w:rPr>
                <w:sz w:val="1"/>
                <w:szCs w:val="1"/>
                <w:color w:val="auto"/>
              </w:rPr>
            </w:pPr>
          </w:p>
        </w:tc>
      </w:tr>
      <w:tr>
        <w:trPr>
          <w:trHeight w:val="151"/>
        </w:trPr>
        <w:tc>
          <w:tcPr>
            <w:tcW w:w="1500" w:type="dxa"/>
            <w:vAlign w:val="bottom"/>
          </w:tcPr>
          <w:p>
            <w:pPr>
              <w:jc w:val="center"/>
              <w:spacing w:after="0"/>
              <w:rPr>
                <w:sz w:val="20"/>
                <w:szCs w:val="20"/>
                <w:color w:val="auto"/>
              </w:rPr>
            </w:pPr>
            <w:r>
              <w:rPr>
                <w:rFonts w:ascii="Arial" w:cs="Arial" w:eastAsia="Arial" w:hAnsi="Arial"/>
                <w:sz w:val="11"/>
                <w:szCs w:val="11"/>
                <w:color w:val="auto"/>
                <w:w w:val="98"/>
              </w:rPr>
              <w:t>PBRC</w:t>
            </w:r>
          </w:p>
        </w:tc>
        <w:tc>
          <w:tcPr>
            <w:tcW w:w="1120" w:type="dxa"/>
            <w:vAlign w:val="bottom"/>
          </w:tcPr>
          <w:p>
            <w:pPr>
              <w:jc w:val="center"/>
              <w:ind w:left="3"/>
              <w:spacing w:after="0"/>
              <w:rPr>
                <w:sz w:val="20"/>
                <w:szCs w:val="20"/>
                <w:color w:val="auto"/>
              </w:rPr>
            </w:pPr>
            <w:r>
              <w:rPr>
                <w:rFonts w:ascii="Arial" w:cs="Arial" w:eastAsia="Arial" w:hAnsi="Arial"/>
                <w:sz w:val="11"/>
                <w:szCs w:val="11"/>
                <w:color w:val="auto"/>
                <w:w w:val="97"/>
              </w:rPr>
              <w:t>2</w:t>
            </w:r>
          </w:p>
        </w:tc>
        <w:tc>
          <w:tcPr>
            <w:tcW w:w="980" w:type="dxa"/>
            <w:vAlign w:val="bottom"/>
          </w:tcPr>
          <w:p>
            <w:pPr>
              <w:jc w:val="center"/>
              <w:spacing w:after="0"/>
              <w:rPr>
                <w:sz w:val="20"/>
                <w:szCs w:val="20"/>
                <w:color w:val="auto"/>
              </w:rPr>
            </w:pPr>
            <w:r>
              <w:rPr>
                <w:rFonts w:ascii="Arial" w:cs="Arial" w:eastAsia="Arial" w:hAnsi="Arial"/>
                <w:sz w:val="11"/>
                <w:szCs w:val="11"/>
                <w:color w:val="auto"/>
                <w:w w:val="89"/>
              </w:rPr>
              <w:t>2019</w:t>
            </w:r>
          </w:p>
        </w:tc>
        <w:tc>
          <w:tcPr>
            <w:tcW w:w="1060" w:type="dxa"/>
            <w:vAlign w:val="bottom"/>
          </w:tcPr>
          <w:p>
            <w:pPr>
              <w:jc w:val="center"/>
              <w:spacing w:after="0"/>
              <w:rPr>
                <w:sz w:val="20"/>
                <w:szCs w:val="20"/>
                <w:color w:val="auto"/>
              </w:rPr>
            </w:pPr>
            <w:r>
              <w:rPr>
                <w:rFonts w:ascii="Arial" w:cs="Arial" w:eastAsia="Arial" w:hAnsi="Arial"/>
                <w:sz w:val="11"/>
                <w:szCs w:val="11"/>
                <w:color w:val="auto"/>
                <w:w w:val="90"/>
              </w:rPr>
              <w:t>September 2019</w:t>
            </w:r>
          </w:p>
        </w:tc>
        <w:tc>
          <w:tcPr>
            <w:tcW w:w="1000" w:type="dxa"/>
            <w:vAlign w:val="bottom"/>
          </w:tcPr>
          <w:p>
            <w:pPr>
              <w:jc w:val="center"/>
              <w:spacing w:after="0"/>
              <w:rPr>
                <w:sz w:val="20"/>
                <w:szCs w:val="20"/>
                <w:color w:val="auto"/>
              </w:rPr>
            </w:pPr>
            <w:r>
              <w:rPr>
                <w:rFonts w:ascii="Arial" w:cs="Arial" w:eastAsia="Arial" w:hAnsi="Arial"/>
                <w:sz w:val="11"/>
                <w:szCs w:val="11"/>
                <w:color w:val="auto"/>
                <w:w w:val="93"/>
              </w:rPr>
              <w:t>August 2019</w:t>
            </w:r>
          </w:p>
        </w:tc>
        <w:tc>
          <w:tcPr>
            <w:tcW w:w="5800" w:type="dxa"/>
            <w:vAlign w:val="bottom"/>
          </w:tcPr>
          <w:p>
            <w:pPr>
              <w:ind w:left="100"/>
              <w:spacing w:after="0"/>
              <w:rPr>
                <w:sz w:val="20"/>
                <w:szCs w:val="20"/>
                <w:color w:val="auto"/>
              </w:rPr>
            </w:pPr>
            <w:r>
              <w:rPr>
                <w:rFonts w:ascii="Arial" w:cs="Arial" w:eastAsia="Arial" w:hAnsi="Arial"/>
                <w:sz w:val="11"/>
                <w:szCs w:val="11"/>
                <w:color w:val="auto"/>
              </w:rPr>
              <w:t>August 29, 2019, the OCC approved the ALJ-recommended revenue increase of $2 million.</w:t>
            </w:r>
          </w:p>
        </w:tc>
        <w:tc>
          <w:tcPr>
            <w:tcW w:w="0" w:type="dxa"/>
            <w:vAlign w:val="bottom"/>
          </w:tcPr>
          <w:p>
            <w:pPr>
              <w:spacing w:after="0"/>
              <w:rPr>
                <w:sz w:val="1"/>
                <w:szCs w:val="1"/>
                <w:color w:val="auto"/>
              </w:rPr>
            </w:pPr>
          </w:p>
        </w:tc>
      </w:tr>
      <w:tr>
        <w:trPr>
          <w:trHeight w:val="162"/>
        </w:trPr>
        <w:tc>
          <w:tcPr>
            <w:tcW w:w="150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spacing w:after="0"/>
              <w:rPr>
                <w:sz w:val="14"/>
                <w:szCs w:val="14"/>
                <w:color w:val="auto"/>
              </w:rPr>
            </w:pPr>
          </w:p>
        </w:tc>
        <w:tc>
          <w:tcPr>
            <w:tcW w:w="7860" w:type="dxa"/>
            <w:vAlign w:val="bottom"/>
            <w:tcBorders>
              <w:bottom w:val="single" w:sz="8" w:color="auto"/>
            </w:tcBorders>
            <w:gridSpan w:val="3"/>
            <w:shd w:val="clear" w:color="auto" w:fill="CCEEFF"/>
          </w:tcPr>
          <w:p>
            <w:pPr>
              <w:jc w:val="center"/>
              <w:ind w:right="3543"/>
              <w:spacing w:after="0"/>
              <w:rPr>
                <w:sz w:val="20"/>
                <w:szCs w:val="20"/>
                <w:color w:val="auto"/>
              </w:rPr>
            </w:pPr>
            <w:r>
              <w:rPr>
                <w:rFonts w:ascii="Arial" w:cs="Arial" w:eastAsia="Arial" w:hAnsi="Arial"/>
                <w:sz w:val="11"/>
                <w:szCs w:val="11"/>
                <w:b w:val="1"/>
                <w:bCs w:val="1"/>
                <w:color w:val="auto"/>
                <w:w w:val="97"/>
              </w:rPr>
              <w:t>CenterPoint Energy - Indiana South - Gas (IURC)</w:t>
            </w:r>
          </w:p>
        </w:tc>
        <w:tc>
          <w:tcPr>
            <w:tcW w:w="0" w:type="dxa"/>
            <w:vAlign w:val="bottom"/>
          </w:tcPr>
          <w:p>
            <w:pPr>
              <w:spacing w:after="0"/>
              <w:rPr>
                <w:sz w:val="1"/>
                <w:szCs w:val="1"/>
                <w:color w:val="auto"/>
              </w:rPr>
            </w:pPr>
          </w:p>
        </w:tc>
      </w:tr>
      <w:tr>
        <w:trPr>
          <w:trHeight w:val="120"/>
        </w:trPr>
        <w:tc>
          <w:tcPr>
            <w:tcW w:w="15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5800" w:type="dxa"/>
            <w:vAlign w:val="bottom"/>
          </w:tcPr>
          <w:p>
            <w:pPr>
              <w:ind w:left="100"/>
              <w:spacing w:after="0" w:line="120" w:lineRule="exact"/>
              <w:rPr>
                <w:sz w:val="20"/>
                <w:szCs w:val="20"/>
                <w:color w:val="auto"/>
              </w:rPr>
            </w:pPr>
            <w:r>
              <w:rPr>
                <w:rFonts w:ascii="Arial" w:cs="Arial" w:eastAsia="Arial" w:hAnsi="Arial"/>
                <w:sz w:val="11"/>
                <w:szCs w:val="11"/>
                <w:color w:val="auto"/>
                <w:w w:val="95"/>
              </w:rPr>
              <w:t>Requested an increase of $16 million to rate base, which reflects a $3 million annual increase in current revenues. 80% of</w:t>
            </w:r>
          </w:p>
        </w:tc>
        <w:tc>
          <w:tcPr>
            <w:tcW w:w="0" w:type="dxa"/>
            <w:vAlign w:val="bottom"/>
          </w:tcPr>
          <w:p>
            <w:pPr>
              <w:spacing w:after="0"/>
              <w:rPr>
                <w:sz w:val="1"/>
                <w:szCs w:val="1"/>
                <w:color w:val="auto"/>
              </w:rPr>
            </w:pPr>
          </w:p>
        </w:tc>
      </w:tr>
      <w:tr>
        <w:trPr>
          <w:trHeight w:val="119"/>
        </w:trPr>
        <w:tc>
          <w:tcPr>
            <w:tcW w:w="15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5800" w:type="dxa"/>
            <w:vAlign w:val="bottom"/>
          </w:tcPr>
          <w:p>
            <w:pPr>
              <w:ind w:left="100"/>
              <w:spacing w:after="0" w:line="119" w:lineRule="exact"/>
              <w:rPr>
                <w:sz w:val="20"/>
                <w:szCs w:val="20"/>
                <w:color w:val="auto"/>
              </w:rPr>
            </w:pPr>
            <w:r>
              <w:rPr>
                <w:rFonts w:ascii="Arial" w:cs="Arial" w:eastAsia="Arial" w:hAnsi="Arial"/>
                <w:sz w:val="11"/>
                <w:szCs w:val="11"/>
                <w:color w:val="auto"/>
                <w:w w:val="96"/>
              </w:rPr>
              <w:t>revenue requirement is included in requested rate increase and 20% is deferred until next rate case. The mechanism also</w:t>
            </w:r>
          </w:p>
        </w:tc>
        <w:tc>
          <w:tcPr>
            <w:tcW w:w="0" w:type="dxa"/>
            <w:vAlign w:val="bottom"/>
          </w:tcPr>
          <w:p>
            <w:pPr>
              <w:spacing w:after="0"/>
              <w:rPr>
                <w:sz w:val="1"/>
                <w:szCs w:val="1"/>
                <w:color w:val="auto"/>
              </w:rPr>
            </w:pPr>
          </w:p>
        </w:tc>
      </w:tr>
      <w:tr>
        <w:trPr>
          <w:trHeight w:val="119"/>
        </w:trPr>
        <w:tc>
          <w:tcPr>
            <w:tcW w:w="15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980" w:type="dxa"/>
            <w:vAlign w:val="bottom"/>
          </w:tcPr>
          <w:p>
            <w:pPr>
              <w:jc w:val="center"/>
              <w:spacing w:after="0" w:line="119" w:lineRule="exact"/>
              <w:rPr>
                <w:sz w:val="20"/>
                <w:szCs w:val="20"/>
                <w:color w:val="auto"/>
              </w:rPr>
            </w:pPr>
            <w:r>
              <w:rPr>
                <w:rFonts w:ascii="Arial" w:cs="Arial" w:eastAsia="Arial" w:hAnsi="Arial"/>
                <w:sz w:val="11"/>
                <w:szCs w:val="11"/>
                <w:color w:val="auto"/>
                <w:w w:val="96"/>
              </w:rPr>
              <w:t>October</w:t>
            </w:r>
          </w:p>
        </w:tc>
        <w:tc>
          <w:tcPr>
            <w:tcW w:w="1060" w:type="dxa"/>
            <w:vAlign w:val="bottom"/>
          </w:tcPr>
          <w:p>
            <w:pPr>
              <w:jc w:val="center"/>
              <w:spacing w:after="0" w:line="119" w:lineRule="exact"/>
              <w:rPr>
                <w:sz w:val="20"/>
                <w:szCs w:val="20"/>
                <w:color w:val="auto"/>
              </w:rPr>
            </w:pPr>
            <w:r>
              <w:rPr>
                <w:rFonts w:ascii="Arial" w:cs="Arial" w:eastAsia="Arial" w:hAnsi="Arial"/>
                <w:sz w:val="11"/>
                <w:szCs w:val="11"/>
                <w:color w:val="auto"/>
                <w:w w:val="86"/>
              </w:rPr>
              <w:t>January</w:t>
            </w:r>
          </w:p>
        </w:tc>
        <w:tc>
          <w:tcPr>
            <w:tcW w:w="1000" w:type="dxa"/>
            <w:vAlign w:val="bottom"/>
          </w:tcPr>
          <w:p>
            <w:pPr>
              <w:jc w:val="center"/>
              <w:spacing w:after="0" w:line="119" w:lineRule="exact"/>
              <w:rPr>
                <w:sz w:val="20"/>
                <w:szCs w:val="20"/>
                <w:color w:val="auto"/>
              </w:rPr>
            </w:pPr>
            <w:r>
              <w:rPr>
                <w:rFonts w:ascii="Arial" w:cs="Arial" w:eastAsia="Arial" w:hAnsi="Arial"/>
                <w:sz w:val="11"/>
                <w:szCs w:val="11"/>
                <w:color w:val="auto"/>
                <w:w w:val="91"/>
              </w:rPr>
              <w:t>January</w:t>
            </w:r>
          </w:p>
        </w:tc>
        <w:tc>
          <w:tcPr>
            <w:tcW w:w="5800" w:type="dxa"/>
            <w:vAlign w:val="bottom"/>
          </w:tcPr>
          <w:p>
            <w:pPr>
              <w:ind w:left="100"/>
              <w:spacing w:after="0" w:line="119" w:lineRule="exact"/>
              <w:rPr>
                <w:sz w:val="20"/>
                <w:szCs w:val="20"/>
                <w:color w:val="auto"/>
              </w:rPr>
            </w:pPr>
            <w:r>
              <w:rPr>
                <w:rFonts w:ascii="Arial" w:cs="Arial" w:eastAsia="Arial" w:hAnsi="Arial"/>
                <w:sz w:val="11"/>
                <w:szCs w:val="11"/>
                <w:color w:val="auto"/>
                <w:w w:val="98"/>
              </w:rPr>
              <w:t>includes refunds associated with the TCJA, resulting in a change of $(1) million, and a change in the total (over)/under-</w:t>
            </w:r>
          </w:p>
        </w:tc>
        <w:tc>
          <w:tcPr>
            <w:tcW w:w="0" w:type="dxa"/>
            <w:vAlign w:val="bottom"/>
          </w:tcPr>
          <w:p>
            <w:pPr>
              <w:spacing w:after="0"/>
              <w:rPr>
                <w:sz w:val="1"/>
                <w:szCs w:val="1"/>
                <w:color w:val="auto"/>
              </w:rPr>
            </w:pPr>
          </w:p>
        </w:tc>
      </w:tr>
      <w:tr>
        <w:trPr>
          <w:trHeight w:val="151"/>
        </w:trPr>
        <w:tc>
          <w:tcPr>
            <w:tcW w:w="1500" w:type="dxa"/>
            <w:vAlign w:val="bottom"/>
          </w:tcPr>
          <w:p>
            <w:pPr>
              <w:jc w:val="center"/>
              <w:spacing w:after="0"/>
              <w:rPr>
                <w:sz w:val="20"/>
                <w:szCs w:val="20"/>
                <w:color w:val="auto"/>
              </w:rPr>
            </w:pPr>
            <w:r>
              <w:rPr>
                <w:rFonts w:ascii="Arial" w:cs="Arial" w:eastAsia="Arial" w:hAnsi="Arial"/>
                <w:sz w:val="11"/>
                <w:szCs w:val="11"/>
                <w:color w:val="auto"/>
              </w:rPr>
              <w:t>CSIA</w:t>
            </w:r>
          </w:p>
        </w:tc>
        <w:tc>
          <w:tcPr>
            <w:tcW w:w="1120" w:type="dxa"/>
            <w:vAlign w:val="bottom"/>
          </w:tcPr>
          <w:p>
            <w:pPr>
              <w:jc w:val="center"/>
              <w:ind w:left="3"/>
              <w:spacing w:after="0"/>
              <w:rPr>
                <w:sz w:val="20"/>
                <w:szCs w:val="20"/>
                <w:color w:val="auto"/>
              </w:rPr>
            </w:pPr>
            <w:r>
              <w:rPr>
                <w:rFonts w:ascii="Arial" w:cs="Arial" w:eastAsia="Arial" w:hAnsi="Arial"/>
                <w:sz w:val="11"/>
                <w:szCs w:val="11"/>
                <w:color w:val="auto"/>
                <w:w w:val="97"/>
              </w:rPr>
              <w:t>3</w:t>
            </w:r>
          </w:p>
        </w:tc>
        <w:tc>
          <w:tcPr>
            <w:tcW w:w="980" w:type="dxa"/>
            <w:vAlign w:val="bottom"/>
          </w:tcPr>
          <w:p>
            <w:pPr>
              <w:jc w:val="center"/>
              <w:spacing w:after="0"/>
              <w:rPr>
                <w:sz w:val="20"/>
                <w:szCs w:val="20"/>
                <w:color w:val="auto"/>
              </w:rPr>
            </w:pPr>
            <w:r>
              <w:rPr>
                <w:rFonts w:ascii="Arial" w:cs="Arial" w:eastAsia="Arial" w:hAnsi="Arial"/>
                <w:sz w:val="11"/>
                <w:szCs w:val="11"/>
                <w:color w:val="auto"/>
                <w:w w:val="89"/>
              </w:rPr>
              <w:t>2018</w:t>
            </w:r>
          </w:p>
        </w:tc>
        <w:tc>
          <w:tcPr>
            <w:tcW w:w="1060" w:type="dxa"/>
            <w:vAlign w:val="bottom"/>
          </w:tcPr>
          <w:p>
            <w:pPr>
              <w:jc w:val="center"/>
              <w:spacing w:after="0"/>
              <w:rPr>
                <w:sz w:val="20"/>
                <w:szCs w:val="20"/>
                <w:color w:val="auto"/>
              </w:rPr>
            </w:pPr>
            <w:r>
              <w:rPr>
                <w:rFonts w:ascii="Arial" w:cs="Arial" w:eastAsia="Arial" w:hAnsi="Arial"/>
                <w:sz w:val="11"/>
                <w:szCs w:val="11"/>
                <w:color w:val="auto"/>
                <w:w w:val="89"/>
              </w:rPr>
              <w:t>2019</w:t>
            </w:r>
          </w:p>
        </w:tc>
        <w:tc>
          <w:tcPr>
            <w:tcW w:w="1000" w:type="dxa"/>
            <w:vAlign w:val="bottom"/>
          </w:tcPr>
          <w:p>
            <w:pPr>
              <w:jc w:val="center"/>
              <w:spacing w:after="0"/>
              <w:rPr>
                <w:sz w:val="20"/>
                <w:szCs w:val="20"/>
                <w:color w:val="auto"/>
              </w:rPr>
            </w:pPr>
            <w:r>
              <w:rPr>
                <w:rFonts w:ascii="Arial" w:cs="Arial" w:eastAsia="Arial" w:hAnsi="Arial"/>
                <w:sz w:val="11"/>
                <w:szCs w:val="11"/>
                <w:color w:val="auto"/>
                <w:w w:val="89"/>
              </w:rPr>
              <w:t>2019</w:t>
            </w:r>
          </w:p>
        </w:tc>
        <w:tc>
          <w:tcPr>
            <w:tcW w:w="5800" w:type="dxa"/>
            <w:vAlign w:val="bottom"/>
          </w:tcPr>
          <w:p>
            <w:pPr>
              <w:ind w:left="100"/>
              <w:spacing w:after="0"/>
              <w:rPr>
                <w:sz w:val="20"/>
                <w:szCs w:val="20"/>
                <w:color w:val="auto"/>
              </w:rPr>
            </w:pPr>
            <w:r>
              <w:rPr>
                <w:rFonts w:ascii="Arial" w:cs="Arial" w:eastAsia="Arial" w:hAnsi="Arial"/>
                <w:sz w:val="11"/>
                <w:szCs w:val="11"/>
                <w:color w:val="auto"/>
              </w:rPr>
              <w:t>recovery variance of $(3) million annually.</w:t>
            </w:r>
          </w:p>
        </w:tc>
        <w:tc>
          <w:tcPr>
            <w:tcW w:w="0" w:type="dxa"/>
            <w:vAlign w:val="bottom"/>
          </w:tcPr>
          <w:p>
            <w:pPr>
              <w:spacing w:after="0"/>
              <w:rPr>
                <w:sz w:val="1"/>
                <w:szCs w:val="1"/>
                <w:color w:val="auto"/>
              </w:rPr>
            </w:pPr>
          </w:p>
        </w:tc>
      </w:tr>
      <w:tr>
        <w:trPr>
          <w:trHeight w:val="129"/>
        </w:trPr>
        <w:tc>
          <w:tcPr>
            <w:tcW w:w="150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5800" w:type="dxa"/>
            <w:vAlign w:val="bottom"/>
            <w:shd w:val="clear" w:color="auto" w:fill="CCEEFF"/>
          </w:tcPr>
          <w:p>
            <w:pPr>
              <w:ind w:left="100"/>
              <w:spacing w:after="0"/>
              <w:rPr>
                <w:sz w:val="20"/>
                <w:szCs w:val="20"/>
                <w:color w:val="auto"/>
              </w:rPr>
            </w:pPr>
            <w:r>
              <w:rPr>
                <w:rFonts w:ascii="Arial" w:cs="Arial" w:eastAsia="Arial" w:hAnsi="Arial"/>
                <w:sz w:val="11"/>
                <w:szCs w:val="11"/>
                <w:color w:val="auto"/>
                <w:w w:val="95"/>
              </w:rPr>
              <w:t>Requested an increase of $22 million to rate base, which reflects a $5 million annual increase in current revenues. 80% of</w:t>
            </w:r>
          </w:p>
        </w:tc>
        <w:tc>
          <w:tcPr>
            <w:tcW w:w="0" w:type="dxa"/>
            <w:vAlign w:val="bottom"/>
          </w:tcPr>
          <w:p>
            <w:pPr>
              <w:spacing w:after="0"/>
              <w:rPr>
                <w:sz w:val="1"/>
                <w:szCs w:val="1"/>
                <w:color w:val="auto"/>
              </w:rPr>
            </w:pPr>
          </w:p>
        </w:tc>
      </w:tr>
      <w:tr>
        <w:trPr>
          <w:trHeight w:val="119"/>
        </w:trPr>
        <w:tc>
          <w:tcPr>
            <w:tcW w:w="150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5800" w:type="dxa"/>
            <w:vAlign w:val="bottom"/>
            <w:shd w:val="clear" w:color="auto" w:fill="CCEEFF"/>
          </w:tcPr>
          <w:p>
            <w:pPr>
              <w:ind w:left="100"/>
              <w:spacing w:after="0" w:line="119" w:lineRule="exact"/>
              <w:rPr>
                <w:sz w:val="20"/>
                <w:szCs w:val="20"/>
                <w:color w:val="auto"/>
              </w:rPr>
            </w:pPr>
            <w:r>
              <w:rPr>
                <w:rFonts w:ascii="Arial" w:cs="Arial" w:eastAsia="Arial" w:hAnsi="Arial"/>
                <w:sz w:val="11"/>
                <w:szCs w:val="11"/>
                <w:color w:val="auto"/>
                <w:w w:val="96"/>
              </w:rPr>
              <w:t>revenue requirement is included in requested rate increase and 20% is deferred until the next rate case. The mechanism</w:t>
            </w:r>
          </w:p>
        </w:tc>
        <w:tc>
          <w:tcPr>
            <w:tcW w:w="0" w:type="dxa"/>
            <w:vAlign w:val="bottom"/>
          </w:tcPr>
          <w:p>
            <w:pPr>
              <w:spacing w:after="0"/>
              <w:rPr>
                <w:sz w:val="1"/>
                <w:szCs w:val="1"/>
                <w:color w:val="auto"/>
              </w:rPr>
            </w:pPr>
          </w:p>
        </w:tc>
      </w:tr>
      <w:tr>
        <w:trPr>
          <w:trHeight w:val="119"/>
        </w:trPr>
        <w:tc>
          <w:tcPr>
            <w:tcW w:w="150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980" w:type="dxa"/>
            <w:vAlign w:val="bottom"/>
            <w:shd w:val="clear" w:color="auto" w:fill="CCEEFF"/>
          </w:tcPr>
          <w:p>
            <w:pPr>
              <w:jc w:val="center"/>
              <w:spacing w:after="0" w:line="119" w:lineRule="exact"/>
              <w:rPr>
                <w:sz w:val="20"/>
                <w:szCs w:val="20"/>
                <w:color w:val="auto"/>
              </w:rPr>
            </w:pPr>
            <w:r>
              <w:rPr>
                <w:rFonts w:ascii="Arial" w:cs="Arial" w:eastAsia="Arial" w:hAnsi="Arial"/>
                <w:sz w:val="11"/>
                <w:szCs w:val="11"/>
                <w:color w:val="auto"/>
              </w:rPr>
              <w:t>April</w:t>
            </w:r>
          </w:p>
        </w:tc>
        <w:tc>
          <w:tcPr>
            <w:tcW w:w="1060" w:type="dxa"/>
            <w:vAlign w:val="bottom"/>
            <w:shd w:val="clear" w:color="auto" w:fill="CCEEFF"/>
          </w:tcPr>
          <w:p>
            <w:pPr>
              <w:jc w:val="center"/>
              <w:spacing w:after="0" w:line="119" w:lineRule="exact"/>
              <w:rPr>
                <w:sz w:val="20"/>
                <w:szCs w:val="20"/>
                <w:color w:val="auto"/>
              </w:rPr>
            </w:pPr>
            <w:r>
              <w:rPr>
                <w:rFonts w:ascii="Arial" w:cs="Arial" w:eastAsia="Arial" w:hAnsi="Arial"/>
                <w:sz w:val="11"/>
                <w:szCs w:val="11"/>
                <w:color w:val="auto"/>
                <w:w w:val="91"/>
              </w:rPr>
              <w:t>July</w:t>
            </w:r>
          </w:p>
        </w:tc>
        <w:tc>
          <w:tcPr>
            <w:tcW w:w="1000" w:type="dxa"/>
            <w:vAlign w:val="bottom"/>
            <w:shd w:val="clear" w:color="auto" w:fill="CCEEFF"/>
          </w:tcPr>
          <w:p>
            <w:pPr>
              <w:jc w:val="center"/>
              <w:spacing w:after="0" w:line="119" w:lineRule="exact"/>
              <w:rPr>
                <w:sz w:val="20"/>
                <w:szCs w:val="20"/>
                <w:color w:val="auto"/>
              </w:rPr>
            </w:pPr>
            <w:r>
              <w:rPr>
                <w:rFonts w:ascii="Arial" w:cs="Arial" w:eastAsia="Arial" w:hAnsi="Arial"/>
                <w:sz w:val="11"/>
                <w:szCs w:val="11"/>
                <w:color w:val="auto"/>
                <w:w w:val="91"/>
              </w:rPr>
              <w:t>July</w:t>
            </w:r>
          </w:p>
        </w:tc>
        <w:tc>
          <w:tcPr>
            <w:tcW w:w="5800" w:type="dxa"/>
            <w:vAlign w:val="bottom"/>
            <w:shd w:val="clear" w:color="auto" w:fill="CCEEFF"/>
          </w:tcPr>
          <w:p>
            <w:pPr>
              <w:ind w:left="100"/>
              <w:spacing w:after="0" w:line="119" w:lineRule="exact"/>
              <w:rPr>
                <w:sz w:val="20"/>
                <w:szCs w:val="20"/>
                <w:color w:val="auto"/>
              </w:rPr>
            </w:pPr>
            <w:r>
              <w:rPr>
                <w:rFonts w:ascii="Arial" w:cs="Arial" w:eastAsia="Arial" w:hAnsi="Arial"/>
                <w:sz w:val="11"/>
                <w:szCs w:val="11"/>
                <w:color w:val="auto"/>
                <w:w w:val="95"/>
              </w:rPr>
              <w:t>also includes refunds associated with the TCJA, resulting in no change to the previous credit provided, and a change in the</w:t>
            </w:r>
          </w:p>
        </w:tc>
        <w:tc>
          <w:tcPr>
            <w:tcW w:w="0" w:type="dxa"/>
            <w:vAlign w:val="bottom"/>
          </w:tcPr>
          <w:p>
            <w:pPr>
              <w:spacing w:after="0"/>
              <w:rPr>
                <w:sz w:val="1"/>
                <w:szCs w:val="1"/>
                <w:color w:val="auto"/>
              </w:rPr>
            </w:pPr>
          </w:p>
        </w:tc>
      </w:tr>
      <w:tr>
        <w:trPr>
          <w:trHeight w:val="155"/>
        </w:trPr>
        <w:tc>
          <w:tcPr>
            <w:tcW w:w="1500" w:type="dxa"/>
            <w:vAlign w:val="bottom"/>
            <w:shd w:val="clear" w:color="auto" w:fill="CCEEFF"/>
          </w:tcPr>
          <w:p>
            <w:pPr>
              <w:jc w:val="center"/>
              <w:spacing w:after="0"/>
              <w:rPr>
                <w:sz w:val="20"/>
                <w:szCs w:val="20"/>
                <w:color w:val="auto"/>
              </w:rPr>
            </w:pPr>
            <w:r>
              <w:rPr>
                <w:rFonts w:ascii="Arial" w:cs="Arial" w:eastAsia="Arial" w:hAnsi="Arial"/>
                <w:sz w:val="11"/>
                <w:szCs w:val="11"/>
                <w:color w:val="auto"/>
              </w:rPr>
              <w:t>CSIA</w:t>
            </w:r>
          </w:p>
        </w:tc>
        <w:tc>
          <w:tcPr>
            <w:tcW w:w="1120" w:type="dxa"/>
            <w:vAlign w:val="bottom"/>
            <w:shd w:val="clear" w:color="auto" w:fill="CCEEFF"/>
          </w:tcPr>
          <w:p>
            <w:pPr>
              <w:jc w:val="center"/>
              <w:ind w:left="3"/>
              <w:spacing w:after="0"/>
              <w:rPr>
                <w:sz w:val="20"/>
                <w:szCs w:val="20"/>
                <w:color w:val="auto"/>
              </w:rPr>
            </w:pPr>
            <w:r>
              <w:rPr>
                <w:rFonts w:ascii="Arial" w:cs="Arial" w:eastAsia="Arial" w:hAnsi="Arial"/>
                <w:sz w:val="11"/>
                <w:szCs w:val="11"/>
                <w:color w:val="auto"/>
                <w:w w:val="97"/>
              </w:rPr>
              <w:t>5</w:t>
            </w:r>
          </w:p>
        </w:tc>
        <w:tc>
          <w:tcPr>
            <w:tcW w:w="98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89"/>
              </w:rPr>
              <w:t>2019</w:t>
            </w:r>
          </w:p>
        </w:tc>
        <w:tc>
          <w:tcPr>
            <w:tcW w:w="106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89"/>
              </w:rPr>
              <w:t>2019</w:t>
            </w:r>
          </w:p>
        </w:tc>
        <w:tc>
          <w:tcPr>
            <w:tcW w:w="100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89"/>
              </w:rPr>
              <w:t>2019</w:t>
            </w:r>
          </w:p>
        </w:tc>
        <w:tc>
          <w:tcPr>
            <w:tcW w:w="5800" w:type="dxa"/>
            <w:vAlign w:val="bottom"/>
            <w:shd w:val="clear" w:color="auto" w:fill="CCEEFF"/>
          </w:tcPr>
          <w:p>
            <w:pPr>
              <w:ind w:left="100"/>
              <w:spacing w:after="0"/>
              <w:rPr>
                <w:sz w:val="20"/>
                <w:szCs w:val="20"/>
                <w:color w:val="auto"/>
              </w:rPr>
            </w:pPr>
            <w:r>
              <w:rPr>
                <w:rFonts w:ascii="Arial" w:cs="Arial" w:eastAsia="Arial" w:hAnsi="Arial"/>
                <w:sz w:val="11"/>
                <w:szCs w:val="11"/>
                <w:color w:val="auto"/>
              </w:rPr>
              <w:t>total (over)/under-recovery variance of $3 million annually.</w:t>
            </w:r>
          </w:p>
        </w:tc>
        <w:tc>
          <w:tcPr>
            <w:tcW w:w="0" w:type="dxa"/>
            <w:vAlign w:val="bottom"/>
          </w:tcPr>
          <w:p>
            <w:pPr>
              <w:spacing w:after="0"/>
              <w:rPr>
                <w:sz w:val="1"/>
                <w:szCs w:val="1"/>
                <w:color w:val="auto"/>
              </w:rPr>
            </w:pPr>
          </w:p>
        </w:tc>
      </w:tr>
      <w:tr>
        <w:trPr>
          <w:trHeight w:val="125"/>
        </w:trPr>
        <w:tc>
          <w:tcPr>
            <w:tcW w:w="15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5800" w:type="dxa"/>
            <w:vAlign w:val="bottom"/>
          </w:tcPr>
          <w:p>
            <w:pPr>
              <w:ind w:left="100"/>
              <w:spacing w:after="0" w:line="125" w:lineRule="exact"/>
              <w:rPr>
                <w:sz w:val="20"/>
                <w:szCs w:val="20"/>
                <w:color w:val="auto"/>
              </w:rPr>
            </w:pPr>
            <w:r>
              <w:rPr>
                <w:rFonts w:ascii="Arial" w:cs="Arial" w:eastAsia="Arial" w:hAnsi="Arial"/>
                <w:sz w:val="11"/>
                <w:szCs w:val="11"/>
                <w:color w:val="auto"/>
                <w:w w:val="95"/>
              </w:rPr>
              <w:t>Requested an increase of $18 million to rate base, which reflects a $3 million annual increase in current revenues. 80% of</w:t>
            </w:r>
          </w:p>
        </w:tc>
        <w:tc>
          <w:tcPr>
            <w:tcW w:w="0" w:type="dxa"/>
            <w:vAlign w:val="bottom"/>
          </w:tcPr>
          <w:p>
            <w:pPr>
              <w:spacing w:after="0"/>
              <w:rPr>
                <w:sz w:val="1"/>
                <w:szCs w:val="1"/>
                <w:color w:val="auto"/>
              </w:rPr>
            </w:pPr>
          </w:p>
        </w:tc>
      </w:tr>
      <w:tr>
        <w:trPr>
          <w:trHeight w:val="119"/>
        </w:trPr>
        <w:tc>
          <w:tcPr>
            <w:tcW w:w="15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5800" w:type="dxa"/>
            <w:vAlign w:val="bottom"/>
          </w:tcPr>
          <w:p>
            <w:pPr>
              <w:ind w:left="100"/>
              <w:spacing w:after="0" w:line="119" w:lineRule="exact"/>
              <w:rPr>
                <w:sz w:val="20"/>
                <w:szCs w:val="20"/>
                <w:color w:val="auto"/>
              </w:rPr>
            </w:pPr>
            <w:r>
              <w:rPr>
                <w:rFonts w:ascii="Arial" w:cs="Arial" w:eastAsia="Arial" w:hAnsi="Arial"/>
                <w:sz w:val="11"/>
                <w:szCs w:val="11"/>
                <w:color w:val="auto"/>
                <w:w w:val="96"/>
              </w:rPr>
              <w:t>revenue requirement is included in requested rate increase and 20% is deferred until the next rate case. The mechanism</w:t>
            </w:r>
          </w:p>
        </w:tc>
        <w:tc>
          <w:tcPr>
            <w:tcW w:w="0" w:type="dxa"/>
            <w:vAlign w:val="bottom"/>
          </w:tcPr>
          <w:p>
            <w:pPr>
              <w:spacing w:after="0"/>
              <w:rPr>
                <w:sz w:val="1"/>
                <w:szCs w:val="1"/>
                <w:color w:val="auto"/>
              </w:rPr>
            </w:pPr>
          </w:p>
        </w:tc>
      </w:tr>
      <w:tr>
        <w:trPr>
          <w:trHeight w:val="119"/>
        </w:trPr>
        <w:tc>
          <w:tcPr>
            <w:tcW w:w="15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5800" w:type="dxa"/>
            <w:vAlign w:val="bottom"/>
          </w:tcPr>
          <w:p>
            <w:pPr>
              <w:ind w:left="100"/>
              <w:spacing w:after="0" w:line="119" w:lineRule="exact"/>
              <w:rPr>
                <w:sz w:val="20"/>
                <w:szCs w:val="20"/>
                <w:color w:val="auto"/>
              </w:rPr>
            </w:pPr>
            <w:r>
              <w:rPr>
                <w:rFonts w:ascii="Arial" w:cs="Arial" w:eastAsia="Arial" w:hAnsi="Arial"/>
                <w:sz w:val="11"/>
                <w:szCs w:val="11"/>
                <w:color w:val="auto"/>
                <w:w w:val="95"/>
              </w:rPr>
              <w:t>also includes refunds associated with the TCJA, resulting in no change to the previous credit provided, and a change in the</w:t>
            </w:r>
          </w:p>
        </w:tc>
        <w:tc>
          <w:tcPr>
            <w:tcW w:w="0" w:type="dxa"/>
            <w:vAlign w:val="bottom"/>
          </w:tcPr>
          <w:p>
            <w:pPr>
              <w:spacing w:after="0"/>
              <w:rPr>
                <w:sz w:val="1"/>
                <w:szCs w:val="1"/>
                <w:color w:val="auto"/>
              </w:rPr>
            </w:pPr>
          </w:p>
        </w:tc>
      </w:tr>
      <w:tr>
        <w:trPr>
          <w:trHeight w:val="146"/>
        </w:trPr>
        <w:tc>
          <w:tcPr>
            <w:tcW w:w="1500" w:type="dxa"/>
            <w:vAlign w:val="bottom"/>
          </w:tcPr>
          <w:p>
            <w:pPr>
              <w:jc w:val="center"/>
              <w:spacing w:after="0"/>
              <w:rPr>
                <w:sz w:val="20"/>
                <w:szCs w:val="20"/>
                <w:color w:val="auto"/>
              </w:rPr>
            </w:pPr>
            <w:r>
              <w:rPr>
                <w:rFonts w:ascii="Arial" w:cs="Arial" w:eastAsia="Arial" w:hAnsi="Arial"/>
                <w:sz w:val="11"/>
                <w:szCs w:val="11"/>
                <w:color w:val="auto"/>
              </w:rPr>
              <w:t xml:space="preserve">CSIA </w:t>
            </w:r>
            <w:r>
              <w:rPr>
                <w:rFonts w:ascii="Arial" w:cs="Arial" w:eastAsia="Arial" w:hAnsi="Arial"/>
                <w:sz w:val="8"/>
                <w:szCs w:val="8"/>
                <w:color w:val="auto"/>
              </w:rPr>
              <w:t>(1)</w:t>
            </w:r>
          </w:p>
        </w:tc>
        <w:tc>
          <w:tcPr>
            <w:tcW w:w="1120" w:type="dxa"/>
            <w:vAlign w:val="bottom"/>
          </w:tcPr>
          <w:p>
            <w:pPr>
              <w:jc w:val="center"/>
              <w:ind w:left="3"/>
              <w:spacing w:after="0"/>
              <w:rPr>
                <w:sz w:val="20"/>
                <w:szCs w:val="20"/>
                <w:color w:val="auto"/>
              </w:rPr>
            </w:pPr>
            <w:r>
              <w:rPr>
                <w:rFonts w:ascii="Arial" w:cs="Arial" w:eastAsia="Arial" w:hAnsi="Arial"/>
                <w:sz w:val="11"/>
                <w:szCs w:val="11"/>
                <w:color w:val="auto"/>
                <w:w w:val="97"/>
              </w:rPr>
              <w:t>3</w:t>
            </w:r>
          </w:p>
        </w:tc>
        <w:tc>
          <w:tcPr>
            <w:tcW w:w="980" w:type="dxa"/>
            <w:vAlign w:val="bottom"/>
          </w:tcPr>
          <w:p>
            <w:pPr>
              <w:jc w:val="center"/>
              <w:spacing w:after="0"/>
              <w:rPr>
                <w:sz w:val="20"/>
                <w:szCs w:val="20"/>
                <w:color w:val="auto"/>
              </w:rPr>
            </w:pPr>
            <w:r>
              <w:rPr>
                <w:rFonts w:ascii="Arial" w:cs="Arial" w:eastAsia="Arial" w:hAnsi="Arial"/>
                <w:sz w:val="11"/>
                <w:szCs w:val="11"/>
                <w:color w:val="auto"/>
                <w:w w:val="92"/>
              </w:rPr>
              <w:t>October 2019</w:t>
            </w:r>
          </w:p>
        </w:tc>
        <w:tc>
          <w:tcPr>
            <w:tcW w:w="1060" w:type="dxa"/>
            <w:vAlign w:val="bottom"/>
          </w:tcPr>
          <w:p>
            <w:pPr>
              <w:jc w:val="center"/>
              <w:spacing w:after="0"/>
              <w:rPr>
                <w:sz w:val="20"/>
                <w:szCs w:val="20"/>
                <w:color w:val="auto"/>
              </w:rPr>
            </w:pPr>
            <w:r>
              <w:rPr>
                <w:rFonts w:ascii="Arial" w:cs="Arial" w:eastAsia="Arial" w:hAnsi="Arial"/>
                <w:sz w:val="11"/>
                <w:szCs w:val="11"/>
                <w:color w:val="auto"/>
                <w:w w:val="92"/>
              </w:rPr>
              <w:t>January 2020</w:t>
            </w:r>
          </w:p>
        </w:tc>
        <w:tc>
          <w:tcPr>
            <w:tcW w:w="1000" w:type="dxa"/>
            <w:vAlign w:val="bottom"/>
          </w:tcPr>
          <w:p>
            <w:pPr>
              <w:jc w:val="center"/>
              <w:spacing w:after="0"/>
              <w:rPr>
                <w:sz w:val="20"/>
                <w:szCs w:val="20"/>
                <w:color w:val="auto"/>
              </w:rPr>
            </w:pPr>
            <w:r>
              <w:rPr>
                <w:rFonts w:ascii="Arial" w:cs="Arial" w:eastAsia="Arial" w:hAnsi="Arial"/>
                <w:sz w:val="11"/>
                <w:szCs w:val="11"/>
                <w:color w:val="auto"/>
                <w:w w:val="99"/>
              </w:rPr>
              <w:t>TBD</w:t>
            </w:r>
          </w:p>
        </w:tc>
        <w:tc>
          <w:tcPr>
            <w:tcW w:w="5800" w:type="dxa"/>
            <w:vAlign w:val="bottom"/>
          </w:tcPr>
          <w:p>
            <w:pPr>
              <w:ind w:left="100"/>
              <w:spacing w:after="0"/>
              <w:rPr>
                <w:sz w:val="20"/>
                <w:szCs w:val="20"/>
                <w:color w:val="auto"/>
              </w:rPr>
            </w:pPr>
            <w:r>
              <w:rPr>
                <w:rFonts w:ascii="Arial" w:cs="Arial" w:eastAsia="Arial" w:hAnsi="Arial"/>
                <w:sz w:val="11"/>
                <w:szCs w:val="11"/>
                <w:color w:val="auto"/>
              </w:rPr>
              <w:t>total (over)/under-recovery variance of $(0.2) million annually.</w:t>
            </w:r>
          </w:p>
        </w:tc>
        <w:tc>
          <w:tcPr>
            <w:tcW w:w="0" w:type="dxa"/>
            <w:vAlign w:val="bottom"/>
          </w:tcPr>
          <w:p>
            <w:pPr>
              <w:spacing w:after="0"/>
              <w:rPr>
                <w:sz w:val="1"/>
                <w:szCs w:val="1"/>
                <w:color w:val="auto"/>
              </w:rPr>
            </w:pPr>
          </w:p>
        </w:tc>
      </w:tr>
    </w:tbl>
    <w:p>
      <w:pPr>
        <w:spacing w:after="0" w:line="1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86</w:t>
      </w:r>
    </w:p>
    <w:p>
      <w:pPr>
        <w:sectPr>
          <w:pgSz w:w="11900" w:h="16838" w:orient="portrait"/>
          <w:cols w:equalWidth="0" w:num="1">
            <w:col w:w="11460"/>
          </w:cols>
          <w:pgMar w:left="220" w:top="129" w:right="219" w:bottom="1440" w:gutter="0" w:footer="0" w:header="0"/>
        </w:sectPr>
      </w:pPr>
    </w:p>
    <w:bookmarkStart w:id="96" w:name="page97"/>
    <w:bookmarkEnd w:id="96"/>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380" w:type="dxa"/>
            <w:vAlign w:val="bottom"/>
          </w:tcPr>
          <w:p>
            <w:pPr>
              <w:spacing w:after="0"/>
              <w:rPr>
                <w:sz w:val="10"/>
                <w:szCs w:val="10"/>
                <w:color w:val="auto"/>
              </w:rPr>
            </w:pPr>
          </w:p>
        </w:tc>
        <w:tc>
          <w:tcPr>
            <w:tcW w:w="1280" w:type="dxa"/>
            <w:vAlign w:val="bottom"/>
          </w:tcPr>
          <w:p>
            <w:pPr>
              <w:jc w:val="center"/>
              <w:ind w:left="64"/>
              <w:spacing w:after="0"/>
              <w:rPr>
                <w:sz w:val="20"/>
                <w:szCs w:val="20"/>
                <w:color w:val="auto"/>
              </w:rPr>
            </w:pPr>
            <w:r>
              <w:rPr>
                <w:rFonts w:ascii="Arial" w:cs="Arial" w:eastAsia="Arial" w:hAnsi="Arial"/>
                <w:sz w:val="11"/>
                <w:szCs w:val="11"/>
                <w:b w:val="1"/>
                <w:bCs w:val="1"/>
                <w:color w:val="auto"/>
                <w:w w:val="94"/>
              </w:rPr>
              <w:t>Annual Increase</w:t>
            </w:r>
          </w:p>
        </w:tc>
        <w:tc>
          <w:tcPr>
            <w:tcW w:w="94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5"/>
              </w:rPr>
              <w:t>Filing</w:t>
            </w:r>
          </w:p>
        </w:tc>
        <w:tc>
          <w:tcPr>
            <w:tcW w:w="9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5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4"/>
        </w:trPr>
        <w:tc>
          <w:tcPr>
            <w:tcW w:w="1380" w:type="dxa"/>
            <w:vAlign w:val="bottom"/>
            <w:vMerge w:val="restart"/>
          </w:tcPr>
          <w:p>
            <w:pPr>
              <w:jc w:val="center"/>
              <w:ind w:left="83"/>
              <w:spacing w:after="0"/>
              <w:rPr>
                <w:sz w:val="20"/>
                <w:szCs w:val="20"/>
                <w:color w:val="auto"/>
              </w:rPr>
            </w:pPr>
            <w:r>
              <w:rPr>
                <w:rFonts w:ascii="Arial" w:cs="Arial" w:eastAsia="Arial" w:hAnsi="Arial"/>
                <w:sz w:val="11"/>
                <w:szCs w:val="11"/>
                <w:b w:val="1"/>
                <w:bCs w:val="1"/>
                <w:color w:val="auto"/>
                <w:w w:val="93"/>
              </w:rPr>
              <w:t>Mechanism</w:t>
            </w:r>
          </w:p>
        </w:tc>
        <w:tc>
          <w:tcPr>
            <w:tcW w:w="1280" w:type="dxa"/>
            <w:vAlign w:val="bottom"/>
          </w:tcPr>
          <w:p>
            <w:pPr>
              <w:jc w:val="center"/>
              <w:ind w:left="64"/>
              <w:spacing w:after="0" w:line="114" w:lineRule="exact"/>
              <w:rPr>
                <w:sz w:val="20"/>
                <w:szCs w:val="20"/>
                <w:color w:val="auto"/>
              </w:rPr>
            </w:pPr>
            <w:r>
              <w:rPr>
                <w:rFonts w:ascii="Arial" w:cs="Arial" w:eastAsia="Arial" w:hAnsi="Arial"/>
                <w:sz w:val="11"/>
                <w:szCs w:val="11"/>
                <w:b w:val="1"/>
                <w:bCs w:val="1"/>
                <w:color w:val="auto"/>
                <w:w w:val="92"/>
              </w:rPr>
              <w:t xml:space="preserve">(Decrease) </w:t>
            </w:r>
            <w:r>
              <w:rPr>
                <w:rFonts w:ascii="Arial" w:cs="Arial" w:eastAsia="Arial" w:hAnsi="Arial"/>
                <w:sz w:val="8"/>
                <w:szCs w:val="8"/>
                <w:b w:val="1"/>
                <w:bCs w:val="1"/>
                <w:color w:val="auto"/>
                <w:w w:val="92"/>
              </w:rPr>
              <w:t>(1)</w:t>
            </w:r>
          </w:p>
        </w:tc>
        <w:tc>
          <w:tcPr>
            <w:tcW w:w="940" w:type="dxa"/>
            <w:vAlign w:val="bottom"/>
            <w:vMerge w:val="continue"/>
          </w:tcPr>
          <w:p>
            <w:pPr>
              <w:spacing w:after="0"/>
              <w:rPr>
                <w:sz w:val="9"/>
                <w:szCs w:val="9"/>
                <w:color w:val="auto"/>
              </w:rPr>
            </w:pPr>
          </w:p>
        </w:tc>
        <w:tc>
          <w:tcPr>
            <w:tcW w:w="960" w:type="dxa"/>
            <w:vAlign w:val="bottom"/>
            <w:vMerge w:val="restart"/>
          </w:tcPr>
          <w:p>
            <w:pPr>
              <w:jc w:val="center"/>
              <w:ind w:left="83"/>
              <w:spacing w:after="0"/>
              <w:rPr>
                <w:sz w:val="20"/>
                <w:szCs w:val="20"/>
                <w:color w:val="auto"/>
              </w:rPr>
            </w:pPr>
            <w:r>
              <w:rPr>
                <w:rFonts w:ascii="Arial" w:cs="Arial" w:eastAsia="Arial" w:hAnsi="Arial"/>
                <w:sz w:val="11"/>
                <w:szCs w:val="11"/>
                <w:b w:val="1"/>
                <w:bCs w:val="1"/>
                <w:color w:val="auto"/>
                <w:w w:val="96"/>
              </w:rPr>
              <w:t>Effective Date</w:t>
            </w:r>
          </w:p>
        </w:tc>
        <w:tc>
          <w:tcPr>
            <w:tcW w:w="1080" w:type="dxa"/>
            <w:vAlign w:val="bottom"/>
            <w:vMerge w:val="restart"/>
          </w:tcPr>
          <w:p>
            <w:pPr>
              <w:jc w:val="center"/>
              <w:ind w:left="103"/>
              <w:spacing w:after="0"/>
              <w:rPr>
                <w:sz w:val="20"/>
                <w:szCs w:val="20"/>
                <w:color w:val="auto"/>
              </w:rPr>
            </w:pPr>
            <w:r>
              <w:rPr>
                <w:rFonts w:ascii="Arial" w:cs="Arial" w:eastAsia="Arial" w:hAnsi="Arial"/>
                <w:sz w:val="11"/>
                <w:szCs w:val="11"/>
                <w:b w:val="1"/>
                <w:bCs w:val="1"/>
                <w:color w:val="auto"/>
                <w:w w:val="96"/>
              </w:rPr>
              <w:t>Approval Date</w:t>
            </w:r>
          </w:p>
        </w:tc>
        <w:tc>
          <w:tcPr>
            <w:tcW w:w="5820" w:type="dxa"/>
            <w:vAlign w:val="bottom"/>
            <w:vMerge w:val="restart"/>
          </w:tcPr>
          <w:p>
            <w:pPr>
              <w:ind w:left="2380"/>
              <w:spacing w:after="0"/>
              <w:rPr>
                <w:sz w:val="20"/>
                <w:szCs w:val="20"/>
                <w:color w:val="auto"/>
              </w:rPr>
            </w:pPr>
            <w:r>
              <w:rPr>
                <w:rFonts w:ascii="Arial" w:cs="Arial" w:eastAsia="Arial" w:hAnsi="Arial"/>
                <w:sz w:val="11"/>
                <w:szCs w:val="11"/>
                <w:b w:val="1"/>
                <w:bCs w:val="1"/>
                <w:color w:val="auto"/>
              </w:rPr>
              <w:t>Additional Information</w:t>
            </w:r>
          </w:p>
        </w:tc>
        <w:tc>
          <w:tcPr>
            <w:tcW w:w="0" w:type="dxa"/>
            <w:vAlign w:val="bottom"/>
          </w:tcPr>
          <w:p>
            <w:pPr>
              <w:spacing w:after="0"/>
              <w:rPr>
                <w:sz w:val="1"/>
                <w:szCs w:val="1"/>
                <w:color w:val="auto"/>
              </w:rPr>
            </w:pPr>
          </w:p>
        </w:tc>
      </w:tr>
      <w:tr>
        <w:trPr>
          <w:trHeight w:val="140"/>
        </w:trPr>
        <w:tc>
          <w:tcPr>
            <w:tcW w:w="1380" w:type="dxa"/>
            <w:vAlign w:val="bottom"/>
            <w:tcBorders>
              <w:bottom w:val="single" w:sz="8" w:color="auto"/>
            </w:tcBorders>
            <w:vMerge w:val="continue"/>
          </w:tcPr>
          <w:p>
            <w:pPr>
              <w:spacing w:after="0"/>
              <w:rPr>
                <w:sz w:val="12"/>
                <w:szCs w:val="12"/>
                <w:color w:val="auto"/>
              </w:rPr>
            </w:pPr>
          </w:p>
        </w:tc>
        <w:tc>
          <w:tcPr>
            <w:tcW w:w="1280" w:type="dxa"/>
            <w:vAlign w:val="bottom"/>
            <w:tcBorders>
              <w:bottom w:val="single" w:sz="8" w:color="auto"/>
            </w:tcBorders>
          </w:tcPr>
          <w:p>
            <w:pPr>
              <w:jc w:val="center"/>
              <w:ind w:left="64"/>
              <w:spacing w:after="0"/>
              <w:rPr>
                <w:sz w:val="20"/>
                <w:szCs w:val="20"/>
                <w:color w:val="auto"/>
              </w:rPr>
            </w:pPr>
            <w:r>
              <w:rPr>
                <w:rFonts w:ascii="Arial" w:cs="Arial" w:eastAsia="Arial" w:hAnsi="Arial"/>
                <w:sz w:val="9"/>
                <w:szCs w:val="9"/>
                <w:b w:val="1"/>
                <w:bCs w:val="1"/>
                <w:color w:val="auto"/>
                <w:w w:val="87"/>
              </w:rPr>
              <w:t>(in millions)</w:t>
            </w:r>
          </w:p>
        </w:tc>
        <w:tc>
          <w:tcPr>
            <w:tcW w:w="940" w:type="dxa"/>
            <w:vAlign w:val="bottom"/>
            <w:tcBorders>
              <w:bottom w:val="single" w:sz="8" w:color="auto"/>
            </w:tcBorders>
          </w:tcPr>
          <w:p>
            <w:pPr>
              <w:ind w:left="360"/>
              <w:spacing w:after="0"/>
              <w:rPr>
                <w:sz w:val="20"/>
                <w:szCs w:val="20"/>
                <w:color w:val="auto"/>
              </w:rPr>
            </w:pPr>
            <w:r>
              <w:rPr>
                <w:rFonts w:ascii="Arial" w:cs="Arial" w:eastAsia="Arial" w:hAnsi="Arial"/>
                <w:sz w:val="11"/>
                <w:szCs w:val="11"/>
                <w:b w:val="1"/>
                <w:bCs w:val="1"/>
                <w:color w:val="auto"/>
              </w:rPr>
              <w:t>Date</w:t>
            </w:r>
          </w:p>
        </w:tc>
        <w:tc>
          <w:tcPr>
            <w:tcW w:w="960" w:type="dxa"/>
            <w:vAlign w:val="bottom"/>
            <w:tcBorders>
              <w:bottom w:val="single" w:sz="8" w:color="auto"/>
            </w:tcBorders>
            <w:vMerge w:val="continue"/>
          </w:tcPr>
          <w:p>
            <w:pPr>
              <w:spacing w:after="0"/>
              <w:rPr>
                <w:sz w:val="12"/>
                <w:szCs w:val="12"/>
                <w:color w:val="auto"/>
              </w:rPr>
            </w:pPr>
          </w:p>
        </w:tc>
        <w:tc>
          <w:tcPr>
            <w:tcW w:w="1080" w:type="dxa"/>
            <w:vAlign w:val="bottom"/>
            <w:tcBorders>
              <w:bottom w:val="single" w:sz="8" w:color="auto"/>
            </w:tcBorders>
            <w:vMerge w:val="continue"/>
          </w:tcPr>
          <w:p>
            <w:pPr>
              <w:spacing w:after="0"/>
              <w:rPr>
                <w:sz w:val="12"/>
                <w:szCs w:val="12"/>
                <w:color w:val="auto"/>
              </w:rPr>
            </w:pPr>
          </w:p>
        </w:tc>
        <w:tc>
          <w:tcPr>
            <w:tcW w:w="582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80" w:type="dxa"/>
            <w:vAlign w:val="bottom"/>
            <w:tcBorders>
              <w:bottom w:val="single" w:sz="8" w:color="auto"/>
            </w:tcBorders>
            <w:shd w:val="clear" w:color="auto" w:fill="CCEEFF"/>
          </w:tcPr>
          <w:p>
            <w:pPr>
              <w:spacing w:after="0"/>
              <w:rPr>
                <w:sz w:val="12"/>
                <w:szCs w:val="12"/>
                <w:color w:val="auto"/>
              </w:rPr>
            </w:pPr>
          </w:p>
        </w:tc>
        <w:tc>
          <w:tcPr>
            <w:tcW w:w="128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spacing w:after="0"/>
              <w:rPr>
                <w:sz w:val="12"/>
                <w:szCs w:val="12"/>
                <w:color w:val="auto"/>
              </w:rPr>
            </w:pPr>
          </w:p>
        </w:tc>
        <w:tc>
          <w:tcPr>
            <w:tcW w:w="7860" w:type="dxa"/>
            <w:vAlign w:val="bottom"/>
            <w:tcBorders>
              <w:bottom w:val="single" w:sz="8" w:color="auto"/>
            </w:tcBorders>
            <w:gridSpan w:val="3"/>
            <w:shd w:val="clear" w:color="auto" w:fill="CCEEFF"/>
          </w:tcPr>
          <w:p>
            <w:pPr>
              <w:jc w:val="center"/>
              <w:ind w:right="3523"/>
              <w:spacing w:after="0"/>
              <w:rPr>
                <w:sz w:val="20"/>
                <w:szCs w:val="20"/>
                <w:color w:val="auto"/>
              </w:rPr>
            </w:pPr>
            <w:r>
              <w:rPr>
                <w:rFonts w:ascii="Arial" w:cs="Arial" w:eastAsia="Arial" w:hAnsi="Arial"/>
                <w:sz w:val="11"/>
                <w:szCs w:val="11"/>
                <w:b w:val="1"/>
                <w:bCs w:val="1"/>
                <w:color w:val="auto"/>
                <w:w w:val="98"/>
              </w:rPr>
              <w:t>CenterPoint Energy - Indiana North - Gas (IURC)</w:t>
            </w:r>
          </w:p>
        </w:tc>
        <w:tc>
          <w:tcPr>
            <w:tcW w:w="0" w:type="dxa"/>
            <w:vAlign w:val="bottom"/>
          </w:tcPr>
          <w:p>
            <w:pPr>
              <w:spacing w:after="0"/>
              <w:rPr>
                <w:sz w:val="1"/>
                <w:szCs w:val="1"/>
                <w:color w:val="auto"/>
              </w:rPr>
            </w:pPr>
          </w:p>
        </w:tc>
      </w:tr>
      <w:tr>
        <w:trPr>
          <w:trHeight w:val="120"/>
        </w:trPr>
        <w:tc>
          <w:tcPr>
            <w:tcW w:w="138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5820" w:type="dxa"/>
            <w:vAlign w:val="bottom"/>
          </w:tcPr>
          <w:p>
            <w:pPr>
              <w:ind w:left="120"/>
              <w:spacing w:after="0" w:line="120" w:lineRule="exact"/>
              <w:rPr>
                <w:sz w:val="20"/>
                <w:szCs w:val="20"/>
                <w:color w:val="auto"/>
              </w:rPr>
            </w:pPr>
            <w:r>
              <w:rPr>
                <w:rFonts w:ascii="Arial" w:cs="Arial" w:eastAsia="Arial" w:hAnsi="Arial"/>
                <w:sz w:val="11"/>
                <w:szCs w:val="11"/>
                <w:color w:val="auto"/>
                <w:w w:val="95"/>
              </w:rPr>
              <w:t>Requested an increase of $54 million to rate base, which reflects a $3 million annual increase in current revenues. 80% of</w:t>
            </w:r>
          </w:p>
        </w:tc>
        <w:tc>
          <w:tcPr>
            <w:tcW w:w="0" w:type="dxa"/>
            <w:vAlign w:val="bottom"/>
          </w:tcPr>
          <w:p>
            <w:pPr>
              <w:spacing w:after="0"/>
              <w:rPr>
                <w:sz w:val="1"/>
                <w:szCs w:val="1"/>
                <w:color w:val="auto"/>
              </w:rPr>
            </w:pPr>
          </w:p>
        </w:tc>
      </w:tr>
      <w:tr>
        <w:trPr>
          <w:trHeight w:val="119"/>
        </w:trPr>
        <w:tc>
          <w:tcPr>
            <w:tcW w:w="138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5820" w:type="dxa"/>
            <w:vAlign w:val="bottom"/>
          </w:tcPr>
          <w:p>
            <w:pPr>
              <w:ind w:left="120"/>
              <w:spacing w:after="0" w:line="119" w:lineRule="exact"/>
              <w:rPr>
                <w:sz w:val="20"/>
                <w:szCs w:val="20"/>
                <w:color w:val="auto"/>
              </w:rPr>
            </w:pPr>
            <w:r>
              <w:rPr>
                <w:rFonts w:ascii="Arial" w:cs="Arial" w:eastAsia="Arial" w:hAnsi="Arial"/>
                <w:sz w:val="11"/>
                <w:szCs w:val="11"/>
                <w:color w:val="auto"/>
                <w:w w:val="96"/>
              </w:rPr>
              <w:t>revenue requirement is included in requested rate increase and 20% is deferred until next rate case. The mechanism also</w:t>
            </w:r>
          </w:p>
        </w:tc>
        <w:tc>
          <w:tcPr>
            <w:tcW w:w="0" w:type="dxa"/>
            <w:vAlign w:val="bottom"/>
          </w:tcPr>
          <w:p>
            <w:pPr>
              <w:spacing w:after="0"/>
              <w:rPr>
                <w:sz w:val="1"/>
                <w:szCs w:val="1"/>
                <w:color w:val="auto"/>
              </w:rPr>
            </w:pPr>
          </w:p>
        </w:tc>
      </w:tr>
      <w:tr>
        <w:trPr>
          <w:trHeight w:val="119"/>
        </w:trPr>
        <w:tc>
          <w:tcPr>
            <w:tcW w:w="138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940" w:type="dxa"/>
            <w:vAlign w:val="bottom"/>
          </w:tcPr>
          <w:p>
            <w:pPr>
              <w:jc w:val="center"/>
              <w:spacing w:after="0" w:line="119" w:lineRule="exact"/>
              <w:rPr>
                <w:sz w:val="20"/>
                <w:szCs w:val="20"/>
                <w:color w:val="auto"/>
              </w:rPr>
            </w:pPr>
            <w:r>
              <w:rPr>
                <w:rFonts w:ascii="Arial" w:cs="Arial" w:eastAsia="Arial" w:hAnsi="Arial"/>
                <w:sz w:val="11"/>
                <w:szCs w:val="11"/>
                <w:color w:val="auto"/>
                <w:w w:val="96"/>
              </w:rPr>
              <w:t>October</w:t>
            </w:r>
          </w:p>
        </w:tc>
        <w:tc>
          <w:tcPr>
            <w:tcW w:w="960" w:type="dxa"/>
            <w:vAlign w:val="bottom"/>
          </w:tcPr>
          <w:p>
            <w:pPr>
              <w:jc w:val="center"/>
              <w:ind w:left="83"/>
              <w:spacing w:after="0" w:line="119" w:lineRule="exact"/>
              <w:rPr>
                <w:sz w:val="20"/>
                <w:szCs w:val="20"/>
                <w:color w:val="auto"/>
              </w:rPr>
            </w:pPr>
            <w:r>
              <w:rPr>
                <w:rFonts w:ascii="Arial" w:cs="Arial" w:eastAsia="Arial" w:hAnsi="Arial"/>
                <w:sz w:val="11"/>
                <w:szCs w:val="11"/>
                <w:color w:val="auto"/>
                <w:w w:val="86"/>
              </w:rPr>
              <w:t>January</w:t>
            </w:r>
          </w:p>
        </w:tc>
        <w:tc>
          <w:tcPr>
            <w:tcW w:w="1080" w:type="dxa"/>
            <w:vAlign w:val="bottom"/>
          </w:tcPr>
          <w:p>
            <w:pPr>
              <w:jc w:val="center"/>
              <w:ind w:left="103"/>
              <w:spacing w:after="0" w:line="119" w:lineRule="exact"/>
              <w:rPr>
                <w:sz w:val="20"/>
                <w:szCs w:val="20"/>
                <w:color w:val="auto"/>
              </w:rPr>
            </w:pPr>
            <w:r>
              <w:rPr>
                <w:rFonts w:ascii="Arial" w:cs="Arial" w:eastAsia="Arial" w:hAnsi="Arial"/>
                <w:sz w:val="11"/>
                <w:szCs w:val="11"/>
                <w:color w:val="auto"/>
                <w:w w:val="91"/>
              </w:rPr>
              <w:t>January</w:t>
            </w:r>
          </w:p>
        </w:tc>
        <w:tc>
          <w:tcPr>
            <w:tcW w:w="5820" w:type="dxa"/>
            <w:vAlign w:val="bottom"/>
          </w:tcPr>
          <w:p>
            <w:pPr>
              <w:ind w:left="120"/>
              <w:spacing w:after="0" w:line="119" w:lineRule="exact"/>
              <w:rPr>
                <w:sz w:val="20"/>
                <w:szCs w:val="20"/>
                <w:color w:val="auto"/>
              </w:rPr>
            </w:pPr>
            <w:r>
              <w:rPr>
                <w:rFonts w:ascii="Arial" w:cs="Arial" w:eastAsia="Arial" w:hAnsi="Arial"/>
                <w:sz w:val="11"/>
                <w:szCs w:val="11"/>
                <w:color w:val="auto"/>
                <w:w w:val="97"/>
              </w:rPr>
              <w:t>includes refunds associated with the TCJA, resulting in a change of $(11) million, and a change in the total (over)/under-</w:t>
            </w:r>
          </w:p>
        </w:tc>
        <w:tc>
          <w:tcPr>
            <w:tcW w:w="0" w:type="dxa"/>
            <w:vAlign w:val="bottom"/>
          </w:tcPr>
          <w:p>
            <w:pPr>
              <w:spacing w:after="0"/>
              <w:rPr>
                <w:sz w:val="1"/>
                <w:szCs w:val="1"/>
                <w:color w:val="auto"/>
              </w:rPr>
            </w:pPr>
          </w:p>
        </w:tc>
      </w:tr>
      <w:tr>
        <w:trPr>
          <w:trHeight w:val="151"/>
        </w:trPr>
        <w:tc>
          <w:tcPr>
            <w:tcW w:w="1380" w:type="dxa"/>
            <w:vAlign w:val="bottom"/>
          </w:tcPr>
          <w:p>
            <w:pPr>
              <w:jc w:val="center"/>
              <w:ind w:left="63"/>
              <w:spacing w:after="0"/>
              <w:rPr>
                <w:sz w:val="20"/>
                <w:szCs w:val="20"/>
                <w:color w:val="auto"/>
              </w:rPr>
            </w:pPr>
            <w:r>
              <w:rPr>
                <w:rFonts w:ascii="Arial" w:cs="Arial" w:eastAsia="Arial" w:hAnsi="Arial"/>
                <w:sz w:val="11"/>
                <w:szCs w:val="11"/>
                <w:color w:val="auto"/>
              </w:rPr>
              <w:t>CSIA</w:t>
            </w:r>
          </w:p>
        </w:tc>
        <w:tc>
          <w:tcPr>
            <w:tcW w:w="1280" w:type="dxa"/>
            <w:vAlign w:val="bottom"/>
          </w:tcPr>
          <w:p>
            <w:pPr>
              <w:jc w:val="center"/>
              <w:ind w:left="84"/>
              <w:spacing w:after="0"/>
              <w:rPr>
                <w:sz w:val="20"/>
                <w:szCs w:val="20"/>
                <w:color w:val="auto"/>
              </w:rPr>
            </w:pPr>
            <w:r>
              <w:rPr>
                <w:rFonts w:ascii="Arial" w:cs="Arial" w:eastAsia="Arial" w:hAnsi="Arial"/>
                <w:sz w:val="11"/>
                <w:szCs w:val="11"/>
                <w:color w:val="auto"/>
                <w:w w:val="97"/>
              </w:rPr>
              <w:t>3</w:t>
            </w:r>
          </w:p>
        </w:tc>
        <w:tc>
          <w:tcPr>
            <w:tcW w:w="940" w:type="dxa"/>
            <w:vAlign w:val="bottom"/>
          </w:tcPr>
          <w:p>
            <w:pPr>
              <w:jc w:val="center"/>
              <w:spacing w:after="0"/>
              <w:rPr>
                <w:sz w:val="20"/>
                <w:szCs w:val="20"/>
                <w:color w:val="auto"/>
              </w:rPr>
            </w:pPr>
            <w:r>
              <w:rPr>
                <w:rFonts w:ascii="Arial" w:cs="Arial" w:eastAsia="Arial" w:hAnsi="Arial"/>
                <w:sz w:val="11"/>
                <w:szCs w:val="11"/>
                <w:color w:val="auto"/>
                <w:w w:val="89"/>
              </w:rPr>
              <w:t>2018</w:t>
            </w:r>
          </w:p>
        </w:tc>
        <w:tc>
          <w:tcPr>
            <w:tcW w:w="960" w:type="dxa"/>
            <w:vAlign w:val="bottom"/>
          </w:tcPr>
          <w:p>
            <w:pPr>
              <w:jc w:val="center"/>
              <w:ind w:left="83"/>
              <w:spacing w:after="0"/>
              <w:rPr>
                <w:sz w:val="20"/>
                <w:szCs w:val="20"/>
                <w:color w:val="auto"/>
              </w:rPr>
            </w:pPr>
            <w:r>
              <w:rPr>
                <w:rFonts w:ascii="Arial" w:cs="Arial" w:eastAsia="Arial" w:hAnsi="Arial"/>
                <w:sz w:val="11"/>
                <w:szCs w:val="11"/>
                <w:color w:val="auto"/>
                <w:w w:val="89"/>
              </w:rPr>
              <w:t>2019</w:t>
            </w:r>
          </w:p>
        </w:tc>
        <w:tc>
          <w:tcPr>
            <w:tcW w:w="1080" w:type="dxa"/>
            <w:vAlign w:val="bottom"/>
          </w:tcPr>
          <w:p>
            <w:pPr>
              <w:jc w:val="center"/>
              <w:ind w:left="83"/>
              <w:spacing w:after="0"/>
              <w:rPr>
                <w:sz w:val="20"/>
                <w:szCs w:val="20"/>
                <w:color w:val="auto"/>
              </w:rPr>
            </w:pPr>
            <w:r>
              <w:rPr>
                <w:rFonts w:ascii="Arial" w:cs="Arial" w:eastAsia="Arial" w:hAnsi="Arial"/>
                <w:sz w:val="11"/>
                <w:szCs w:val="11"/>
                <w:color w:val="auto"/>
                <w:w w:val="89"/>
              </w:rPr>
              <w:t>2019</w:t>
            </w:r>
          </w:p>
        </w:tc>
        <w:tc>
          <w:tcPr>
            <w:tcW w:w="5820" w:type="dxa"/>
            <w:vAlign w:val="bottom"/>
          </w:tcPr>
          <w:p>
            <w:pPr>
              <w:ind w:left="120"/>
              <w:spacing w:after="0"/>
              <w:rPr>
                <w:sz w:val="20"/>
                <w:szCs w:val="20"/>
                <w:color w:val="auto"/>
              </w:rPr>
            </w:pPr>
            <w:r>
              <w:rPr>
                <w:rFonts w:ascii="Arial" w:cs="Arial" w:eastAsia="Arial" w:hAnsi="Arial"/>
                <w:sz w:val="11"/>
                <w:szCs w:val="11"/>
                <w:color w:val="auto"/>
              </w:rPr>
              <w:t>recovery variance of $(19) million annually.</w:t>
            </w:r>
          </w:p>
        </w:tc>
        <w:tc>
          <w:tcPr>
            <w:tcW w:w="0" w:type="dxa"/>
            <w:vAlign w:val="bottom"/>
          </w:tcPr>
          <w:p>
            <w:pPr>
              <w:spacing w:after="0"/>
              <w:rPr>
                <w:sz w:val="1"/>
                <w:szCs w:val="1"/>
                <w:color w:val="auto"/>
              </w:rPr>
            </w:pPr>
          </w:p>
        </w:tc>
      </w:tr>
      <w:tr>
        <w:trPr>
          <w:trHeight w:val="129"/>
        </w:trPr>
        <w:tc>
          <w:tcPr>
            <w:tcW w:w="138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5820" w:type="dxa"/>
            <w:vAlign w:val="bottom"/>
            <w:shd w:val="clear" w:color="auto" w:fill="CCEEFF"/>
          </w:tcPr>
          <w:p>
            <w:pPr>
              <w:ind w:left="120"/>
              <w:spacing w:after="0"/>
              <w:rPr>
                <w:sz w:val="20"/>
                <w:szCs w:val="20"/>
                <w:color w:val="auto"/>
              </w:rPr>
            </w:pPr>
            <w:r>
              <w:rPr>
                <w:rFonts w:ascii="Arial" w:cs="Arial" w:eastAsia="Arial" w:hAnsi="Arial"/>
                <w:sz w:val="11"/>
                <w:szCs w:val="11"/>
                <w:color w:val="auto"/>
                <w:w w:val="94"/>
              </w:rPr>
              <w:t>Requested an increase of $58 million to rate base, which reflects a $12 million annual increase in current revenues. 80% of</w:t>
            </w:r>
          </w:p>
        </w:tc>
        <w:tc>
          <w:tcPr>
            <w:tcW w:w="0" w:type="dxa"/>
            <w:vAlign w:val="bottom"/>
          </w:tcPr>
          <w:p>
            <w:pPr>
              <w:spacing w:after="0"/>
              <w:rPr>
                <w:sz w:val="1"/>
                <w:szCs w:val="1"/>
                <w:color w:val="auto"/>
              </w:rPr>
            </w:pPr>
          </w:p>
        </w:tc>
      </w:tr>
      <w:tr>
        <w:trPr>
          <w:trHeight w:val="119"/>
        </w:trPr>
        <w:tc>
          <w:tcPr>
            <w:tcW w:w="1380" w:type="dxa"/>
            <w:vAlign w:val="bottom"/>
            <w:shd w:val="clear" w:color="auto" w:fill="CCEEFF"/>
          </w:tcPr>
          <w:p>
            <w:pPr>
              <w:spacing w:after="0"/>
              <w:rPr>
                <w:sz w:val="10"/>
                <w:szCs w:val="10"/>
                <w:color w:val="auto"/>
              </w:rPr>
            </w:pPr>
          </w:p>
        </w:tc>
        <w:tc>
          <w:tcPr>
            <w:tcW w:w="128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5820" w:type="dxa"/>
            <w:vAlign w:val="bottom"/>
            <w:shd w:val="clear" w:color="auto" w:fill="CCEEFF"/>
          </w:tcPr>
          <w:p>
            <w:pPr>
              <w:ind w:left="120"/>
              <w:spacing w:after="0" w:line="119" w:lineRule="exact"/>
              <w:rPr>
                <w:sz w:val="20"/>
                <w:szCs w:val="20"/>
                <w:color w:val="auto"/>
              </w:rPr>
            </w:pPr>
            <w:r>
              <w:rPr>
                <w:rFonts w:ascii="Arial" w:cs="Arial" w:eastAsia="Arial" w:hAnsi="Arial"/>
                <w:sz w:val="11"/>
                <w:szCs w:val="11"/>
                <w:color w:val="auto"/>
                <w:w w:val="96"/>
              </w:rPr>
              <w:t>revenue requirement is included in requested rate increase and 20% is deferred until next rate case. The mechanism also</w:t>
            </w:r>
          </w:p>
        </w:tc>
        <w:tc>
          <w:tcPr>
            <w:tcW w:w="0" w:type="dxa"/>
            <w:vAlign w:val="bottom"/>
          </w:tcPr>
          <w:p>
            <w:pPr>
              <w:spacing w:after="0"/>
              <w:rPr>
                <w:sz w:val="1"/>
                <w:szCs w:val="1"/>
                <w:color w:val="auto"/>
              </w:rPr>
            </w:pPr>
          </w:p>
        </w:tc>
      </w:tr>
      <w:tr>
        <w:trPr>
          <w:trHeight w:val="119"/>
        </w:trPr>
        <w:tc>
          <w:tcPr>
            <w:tcW w:w="1380" w:type="dxa"/>
            <w:vAlign w:val="bottom"/>
            <w:shd w:val="clear" w:color="auto" w:fill="CCEEFF"/>
          </w:tcPr>
          <w:p>
            <w:pPr>
              <w:spacing w:after="0"/>
              <w:rPr>
                <w:sz w:val="10"/>
                <w:szCs w:val="10"/>
                <w:color w:val="auto"/>
              </w:rPr>
            </w:pPr>
          </w:p>
        </w:tc>
        <w:tc>
          <w:tcPr>
            <w:tcW w:w="1280" w:type="dxa"/>
            <w:vAlign w:val="bottom"/>
            <w:shd w:val="clear" w:color="auto" w:fill="CCEEFF"/>
          </w:tcPr>
          <w:p>
            <w:pPr>
              <w:spacing w:after="0"/>
              <w:rPr>
                <w:sz w:val="10"/>
                <w:szCs w:val="10"/>
                <w:color w:val="auto"/>
              </w:rPr>
            </w:pPr>
          </w:p>
        </w:tc>
        <w:tc>
          <w:tcPr>
            <w:tcW w:w="940" w:type="dxa"/>
            <w:vAlign w:val="bottom"/>
            <w:shd w:val="clear" w:color="auto" w:fill="CCEEFF"/>
          </w:tcPr>
          <w:p>
            <w:pPr>
              <w:jc w:val="center"/>
              <w:spacing w:after="0" w:line="119" w:lineRule="exact"/>
              <w:rPr>
                <w:sz w:val="20"/>
                <w:szCs w:val="20"/>
                <w:color w:val="auto"/>
              </w:rPr>
            </w:pPr>
            <w:r>
              <w:rPr>
                <w:rFonts w:ascii="Arial" w:cs="Arial" w:eastAsia="Arial" w:hAnsi="Arial"/>
                <w:sz w:val="11"/>
                <w:szCs w:val="11"/>
                <w:color w:val="auto"/>
              </w:rPr>
              <w:t>April</w:t>
            </w:r>
          </w:p>
        </w:tc>
        <w:tc>
          <w:tcPr>
            <w:tcW w:w="960" w:type="dxa"/>
            <w:vAlign w:val="bottom"/>
            <w:shd w:val="clear" w:color="auto" w:fill="CCEEFF"/>
          </w:tcPr>
          <w:p>
            <w:pPr>
              <w:jc w:val="center"/>
              <w:ind w:left="83"/>
              <w:spacing w:after="0" w:line="119" w:lineRule="exact"/>
              <w:rPr>
                <w:sz w:val="20"/>
                <w:szCs w:val="20"/>
                <w:color w:val="auto"/>
              </w:rPr>
            </w:pPr>
            <w:r>
              <w:rPr>
                <w:rFonts w:ascii="Arial" w:cs="Arial" w:eastAsia="Arial" w:hAnsi="Arial"/>
                <w:sz w:val="11"/>
                <w:szCs w:val="11"/>
                <w:color w:val="auto"/>
                <w:w w:val="91"/>
              </w:rPr>
              <w:t>July</w:t>
            </w:r>
          </w:p>
        </w:tc>
        <w:tc>
          <w:tcPr>
            <w:tcW w:w="1080" w:type="dxa"/>
            <w:vAlign w:val="bottom"/>
            <w:shd w:val="clear" w:color="auto" w:fill="CCEEFF"/>
          </w:tcPr>
          <w:p>
            <w:pPr>
              <w:jc w:val="center"/>
              <w:ind w:left="83"/>
              <w:spacing w:after="0" w:line="119" w:lineRule="exact"/>
              <w:rPr>
                <w:sz w:val="20"/>
                <w:szCs w:val="20"/>
                <w:color w:val="auto"/>
              </w:rPr>
            </w:pPr>
            <w:r>
              <w:rPr>
                <w:rFonts w:ascii="Arial" w:cs="Arial" w:eastAsia="Arial" w:hAnsi="Arial"/>
                <w:sz w:val="11"/>
                <w:szCs w:val="11"/>
                <w:color w:val="auto"/>
                <w:w w:val="91"/>
              </w:rPr>
              <w:t>July</w:t>
            </w:r>
          </w:p>
        </w:tc>
        <w:tc>
          <w:tcPr>
            <w:tcW w:w="5820" w:type="dxa"/>
            <w:vAlign w:val="bottom"/>
            <w:shd w:val="clear" w:color="auto" w:fill="CCEEFF"/>
          </w:tcPr>
          <w:p>
            <w:pPr>
              <w:ind w:left="120"/>
              <w:spacing w:after="0" w:line="119" w:lineRule="exact"/>
              <w:rPr>
                <w:sz w:val="20"/>
                <w:szCs w:val="20"/>
                <w:color w:val="auto"/>
              </w:rPr>
            </w:pPr>
            <w:r>
              <w:rPr>
                <w:rFonts w:ascii="Arial" w:cs="Arial" w:eastAsia="Arial" w:hAnsi="Arial"/>
                <w:sz w:val="11"/>
                <w:szCs w:val="11"/>
                <w:color w:val="auto"/>
                <w:w w:val="94"/>
              </w:rPr>
              <w:t>includes refunds associated with the TCJA, resulting in no change to the previous credit provided, and a change in the total</w:t>
            </w:r>
          </w:p>
        </w:tc>
        <w:tc>
          <w:tcPr>
            <w:tcW w:w="0" w:type="dxa"/>
            <w:vAlign w:val="bottom"/>
          </w:tcPr>
          <w:p>
            <w:pPr>
              <w:spacing w:after="0"/>
              <w:rPr>
                <w:sz w:val="1"/>
                <w:szCs w:val="1"/>
                <w:color w:val="auto"/>
              </w:rPr>
            </w:pPr>
          </w:p>
        </w:tc>
      </w:tr>
      <w:tr>
        <w:trPr>
          <w:trHeight w:val="155"/>
        </w:trPr>
        <w:tc>
          <w:tcPr>
            <w:tcW w:w="1380" w:type="dxa"/>
            <w:vAlign w:val="bottom"/>
            <w:shd w:val="clear" w:color="auto" w:fill="CCEEFF"/>
          </w:tcPr>
          <w:p>
            <w:pPr>
              <w:jc w:val="center"/>
              <w:ind w:left="63"/>
              <w:spacing w:after="0"/>
              <w:rPr>
                <w:sz w:val="20"/>
                <w:szCs w:val="20"/>
                <w:color w:val="auto"/>
              </w:rPr>
            </w:pPr>
            <w:r>
              <w:rPr>
                <w:rFonts w:ascii="Arial" w:cs="Arial" w:eastAsia="Arial" w:hAnsi="Arial"/>
                <w:sz w:val="11"/>
                <w:szCs w:val="11"/>
                <w:color w:val="auto"/>
              </w:rPr>
              <w:t>CSIA</w:t>
            </w:r>
          </w:p>
        </w:tc>
        <w:tc>
          <w:tcPr>
            <w:tcW w:w="1280" w:type="dxa"/>
            <w:vAlign w:val="bottom"/>
            <w:shd w:val="clear" w:color="auto" w:fill="CCEEFF"/>
          </w:tcPr>
          <w:p>
            <w:pPr>
              <w:jc w:val="center"/>
              <w:ind w:left="64"/>
              <w:spacing w:after="0"/>
              <w:rPr>
                <w:sz w:val="20"/>
                <w:szCs w:val="20"/>
                <w:color w:val="auto"/>
              </w:rPr>
            </w:pPr>
            <w:r>
              <w:rPr>
                <w:rFonts w:ascii="Arial" w:cs="Arial" w:eastAsia="Arial" w:hAnsi="Arial"/>
                <w:sz w:val="11"/>
                <w:szCs w:val="11"/>
                <w:color w:val="auto"/>
                <w:w w:val="97"/>
              </w:rPr>
              <w:t>12</w:t>
            </w:r>
          </w:p>
        </w:tc>
        <w:tc>
          <w:tcPr>
            <w:tcW w:w="94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89"/>
              </w:rPr>
              <w:t>2019</w:t>
            </w:r>
          </w:p>
        </w:tc>
        <w:tc>
          <w:tcPr>
            <w:tcW w:w="960" w:type="dxa"/>
            <w:vAlign w:val="bottom"/>
            <w:shd w:val="clear" w:color="auto" w:fill="CCEEFF"/>
          </w:tcPr>
          <w:p>
            <w:pPr>
              <w:jc w:val="center"/>
              <w:ind w:left="83"/>
              <w:spacing w:after="0"/>
              <w:rPr>
                <w:sz w:val="20"/>
                <w:szCs w:val="20"/>
                <w:color w:val="auto"/>
              </w:rPr>
            </w:pPr>
            <w:r>
              <w:rPr>
                <w:rFonts w:ascii="Arial" w:cs="Arial" w:eastAsia="Arial" w:hAnsi="Arial"/>
                <w:sz w:val="11"/>
                <w:szCs w:val="11"/>
                <w:color w:val="auto"/>
                <w:w w:val="89"/>
              </w:rPr>
              <w:t>2019</w:t>
            </w:r>
          </w:p>
        </w:tc>
        <w:tc>
          <w:tcPr>
            <w:tcW w:w="1080" w:type="dxa"/>
            <w:vAlign w:val="bottom"/>
            <w:shd w:val="clear" w:color="auto" w:fill="CCEEFF"/>
          </w:tcPr>
          <w:p>
            <w:pPr>
              <w:jc w:val="center"/>
              <w:ind w:left="83"/>
              <w:spacing w:after="0"/>
              <w:rPr>
                <w:sz w:val="20"/>
                <w:szCs w:val="20"/>
                <w:color w:val="auto"/>
              </w:rPr>
            </w:pPr>
            <w:r>
              <w:rPr>
                <w:rFonts w:ascii="Arial" w:cs="Arial" w:eastAsia="Arial" w:hAnsi="Arial"/>
                <w:sz w:val="11"/>
                <w:szCs w:val="11"/>
                <w:color w:val="auto"/>
                <w:w w:val="89"/>
              </w:rPr>
              <w:t>2019</w:t>
            </w:r>
          </w:p>
        </w:tc>
        <w:tc>
          <w:tcPr>
            <w:tcW w:w="5820" w:type="dxa"/>
            <w:vAlign w:val="bottom"/>
            <w:shd w:val="clear" w:color="auto" w:fill="CCEEFF"/>
          </w:tcPr>
          <w:p>
            <w:pPr>
              <w:ind w:left="120"/>
              <w:spacing w:after="0"/>
              <w:rPr>
                <w:sz w:val="20"/>
                <w:szCs w:val="20"/>
                <w:color w:val="auto"/>
              </w:rPr>
            </w:pPr>
            <w:r>
              <w:rPr>
                <w:rFonts w:ascii="Arial" w:cs="Arial" w:eastAsia="Arial" w:hAnsi="Arial"/>
                <w:sz w:val="11"/>
                <w:szCs w:val="11"/>
                <w:color w:val="auto"/>
              </w:rPr>
              <w:t>(over)/under-recovery variance of $14 million annually.</w:t>
            </w:r>
          </w:p>
        </w:tc>
        <w:tc>
          <w:tcPr>
            <w:tcW w:w="0" w:type="dxa"/>
            <w:vAlign w:val="bottom"/>
          </w:tcPr>
          <w:p>
            <w:pPr>
              <w:spacing w:after="0"/>
              <w:rPr>
                <w:sz w:val="1"/>
                <w:szCs w:val="1"/>
                <w:color w:val="auto"/>
              </w:rPr>
            </w:pPr>
          </w:p>
        </w:tc>
      </w:tr>
      <w:tr>
        <w:trPr>
          <w:trHeight w:val="125"/>
        </w:trPr>
        <w:tc>
          <w:tcPr>
            <w:tcW w:w="138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5820" w:type="dxa"/>
            <w:vAlign w:val="bottom"/>
          </w:tcPr>
          <w:p>
            <w:pPr>
              <w:ind w:left="120"/>
              <w:spacing w:after="0" w:line="125" w:lineRule="exact"/>
              <w:rPr>
                <w:sz w:val="20"/>
                <w:szCs w:val="20"/>
                <w:color w:val="auto"/>
              </w:rPr>
            </w:pPr>
            <w:r>
              <w:rPr>
                <w:rFonts w:ascii="Arial" w:cs="Arial" w:eastAsia="Arial" w:hAnsi="Arial"/>
                <w:sz w:val="11"/>
                <w:szCs w:val="11"/>
                <w:color w:val="auto"/>
                <w:w w:val="95"/>
              </w:rPr>
              <w:t>Requested an increase of $29 million to rate base, which reflects a $4 million annual increase in current revenues. 80% of</w:t>
            </w:r>
          </w:p>
        </w:tc>
        <w:tc>
          <w:tcPr>
            <w:tcW w:w="0" w:type="dxa"/>
            <w:vAlign w:val="bottom"/>
          </w:tcPr>
          <w:p>
            <w:pPr>
              <w:spacing w:after="0"/>
              <w:rPr>
                <w:sz w:val="1"/>
                <w:szCs w:val="1"/>
                <w:color w:val="auto"/>
              </w:rPr>
            </w:pPr>
          </w:p>
        </w:tc>
      </w:tr>
      <w:tr>
        <w:trPr>
          <w:trHeight w:val="119"/>
        </w:trPr>
        <w:tc>
          <w:tcPr>
            <w:tcW w:w="138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5820" w:type="dxa"/>
            <w:vAlign w:val="bottom"/>
          </w:tcPr>
          <w:p>
            <w:pPr>
              <w:ind w:left="120"/>
              <w:spacing w:after="0" w:line="119" w:lineRule="exact"/>
              <w:rPr>
                <w:sz w:val="20"/>
                <w:szCs w:val="20"/>
                <w:color w:val="auto"/>
              </w:rPr>
            </w:pPr>
            <w:r>
              <w:rPr>
                <w:rFonts w:ascii="Arial" w:cs="Arial" w:eastAsia="Arial" w:hAnsi="Arial"/>
                <w:sz w:val="11"/>
                <w:szCs w:val="11"/>
                <w:color w:val="auto"/>
                <w:w w:val="96"/>
              </w:rPr>
              <w:t>revenue requirement is included in requested rate increase and 20% is deferred until next rate case. The mechanism also</w:t>
            </w:r>
          </w:p>
        </w:tc>
        <w:tc>
          <w:tcPr>
            <w:tcW w:w="0" w:type="dxa"/>
            <w:vAlign w:val="bottom"/>
          </w:tcPr>
          <w:p>
            <w:pPr>
              <w:spacing w:after="0"/>
              <w:rPr>
                <w:sz w:val="1"/>
                <w:szCs w:val="1"/>
                <w:color w:val="auto"/>
              </w:rPr>
            </w:pPr>
          </w:p>
        </w:tc>
      </w:tr>
      <w:tr>
        <w:trPr>
          <w:trHeight w:val="119"/>
        </w:trPr>
        <w:tc>
          <w:tcPr>
            <w:tcW w:w="138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5820" w:type="dxa"/>
            <w:vAlign w:val="bottom"/>
          </w:tcPr>
          <w:p>
            <w:pPr>
              <w:ind w:left="120"/>
              <w:spacing w:after="0" w:line="119" w:lineRule="exact"/>
              <w:rPr>
                <w:sz w:val="20"/>
                <w:szCs w:val="20"/>
                <w:color w:val="auto"/>
              </w:rPr>
            </w:pPr>
            <w:r>
              <w:rPr>
                <w:rFonts w:ascii="Arial" w:cs="Arial" w:eastAsia="Arial" w:hAnsi="Arial"/>
                <w:sz w:val="11"/>
                <w:szCs w:val="11"/>
                <w:color w:val="auto"/>
                <w:w w:val="94"/>
              </w:rPr>
              <w:t>includes refunds associated with the TCJA, resulting in no change to the previous credit provided, and a change in the total</w:t>
            </w:r>
          </w:p>
        </w:tc>
        <w:tc>
          <w:tcPr>
            <w:tcW w:w="0" w:type="dxa"/>
            <w:vAlign w:val="bottom"/>
          </w:tcPr>
          <w:p>
            <w:pPr>
              <w:spacing w:after="0"/>
              <w:rPr>
                <w:sz w:val="1"/>
                <w:szCs w:val="1"/>
                <w:color w:val="auto"/>
              </w:rPr>
            </w:pPr>
          </w:p>
        </w:tc>
      </w:tr>
      <w:tr>
        <w:trPr>
          <w:trHeight w:val="151"/>
        </w:trPr>
        <w:tc>
          <w:tcPr>
            <w:tcW w:w="1380" w:type="dxa"/>
            <w:vAlign w:val="bottom"/>
          </w:tcPr>
          <w:p>
            <w:pPr>
              <w:jc w:val="center"/>
              <w:ind w:left="83"/>
              <w:spacing w:after="0"/>
              <w:rPr>
                <w:sz w:val="20"/>
                <w:szCs w:val="20"/>
                <w:color w:val="auto"/>
              </w:rPr>
            </w:pPr>
            <w:r>
              <w:rPr>
                <w:rFonts w:ascii="Arial" w:cs="Arial" w:eastAsia="Arial" w:hAnsi="Arial"/>
                <w:sz w:val="11"/>
                <w:szCs w:val="11"/>
                <w:color w:val="auto"/>
              </w:rPr>
              <w:t xml:space="preserve">CSIA </w:t>
            </w:r>
            <w:r>
              <w:rPr>
                <w:rFonts w:ascii="Arial" w:cs="Arial" w:eastAsia="Arial" w:hAnsi="Arial"/>
                <w:sz w:val="8"/>
                <w:szCs w:val="8"/>
                <w:color w:val="auto"/>
              </w:rPr>
              <w:t>(1)</w:t>
            </w:r>
          </w:p>
        </w:tc>
        <w:tc>
          <w:tcPr>
            <w:tcW w:w="1280" w:type="dxa"/>
            <w:vAlign w:val="bottom"/>
          </w:tcPr>
          <w:p>
            <w:pPr>
              <w:jc w:val="center"/>
              <w:ind w:left="84"/>
              <w:spacing w:after="0"/>
              <w:rPr>
                <w:sz w:val="20"/>
                <w:szCs w:val="20"/>
                <w:color w:val="auto"/>
              </w:rPr>
            </w:pPr>
            <w:r>
              <w:rPr>
                <w:rFonts w:ascii="Arial" w:cs="Arial" w:eastAsia="Arial" w:hAnsi="Arial"/>
                <w:sz w:val="11"/>
                <w:szCs w:val="11"/>
                <w:color w:val="auto"/>
                <w:w w:val="97"/>
              </w:rPr>
              <w:t>4</w:t>
            </w:r>
          </w:p>
        </w:tc>
        <w:tc>
          <w:tcPr>
            <w:tcW w:w="940" w:type="dxa"/>
            <w:vAlign w:val="bottom"/>
          </w:tcPr>
          <w:p>
            <w:pPr>
              <w:jc w:val="center"/>
              <w:spacing w:after="0"/>
              <w:rPr>
                <w:sz w:val="20"/>
                <w:szCs w:val="20"/>
                <w:color w:val="auto"/>
              </w:rPr>
            </w:pPr>
            <w:r>
              <w:rPr>
                <w:rFonts w:ascii="Arial" w:cs="Arial" w:eastAsia="Arial" w:hAnsi="Arial"/>
                <w:sz w:val="11"/>
                <w:szCs w:val="11"/>
                <w:color w:val="auto"/>
                <w:w w:val="92"/>
              </w:rPr>
              <w:t>October 2019</w:t>
            </w:r>
          </w:p>
        </w:tc>
        <w:tc>
          <w:tcPr>
            <w:tcW w:w="960" w:type="dxa"/>
            <w:vAlign w:val="bottom"/>
          </w:tcPr>
          <w:p>
            <w:pPr>
              <w:jc w:val="center"/>
              <w:ind w:left="83"/>
              <w:spacing w:after="0"/>
              <w:rPr>
                <w:sz w:val="20"/>
                <w:szCs w:val="20"/>
                <w:color w:val="auto"/>
              </w:rPr>
            </w:pPr>
            <w:r>
              <w:rPr>
                <w:rFonts w:ascii="Arial" w:cs="Arial" w:eastAsia="Arial" w:hAnsi="Arial"/>
                <w:sz w:val="11"/>
                <w:szCs w:val="11"/>
                <w:color w:val="auto"/>
                <w:w w:val="92"/>
              </w:rPr>
              <w:t>January 2020</w:t>
            </w:r>
          </w:p>
        </w:tc>
        <w:tc>
          <w:tcPr>
            <w:tcW w:w="1080" w:type="dxa"/>
            <w:vAlign w:val="bottom"/>
          </w:tcPr>
          <w:p>
            <w:pPr>
              <w:jc w:val="center"/>
              <w:ind w:left="83"/>
              <w:spacing w:after="0"/>
              <w:rPr>
                <w:sz w:val="20"/>
                <w:szCs w:val="20"/>
                <w:color w:val="auto"/>
              </w:rPr>
            </w:pPr>
            <w:r>
              <w:rPr>
                <w:rFonts w:ascii="Arial" w:cs="Arial" w:eastAsia="Arial" w:hAnsi="Arial"/>
                <w:sz w:val="11"/>
                <w:szCs w:val="11"/>
                <w:color w:val="auto"/>
                <w:w w:val="99"/>
              </w:rPr>
              <w:t>TBD</w:t>
            </w:r>
          </w:p>
        </w:tc>
        <w:tc>
          <w:tcPr>
            <w:tcW w:w="5820" w:type="dxa"/>
            <w:vAlign w:val="bottom"/>
          </w:tcPr>
          <w:p>
            <w:pPr>
              <w:ind w:left="120"/>
              <w:spacing w:after="0"/>
              <w:rPr>
                <w:sz w:val="20"/>
                <w:szCs w:val="20"/>
                <w:color w:val="auto"/>
              </w:rPr>
            </w:pPr>
            <w:r>
              <w:rPr>
                <w:rFonts w:ascii="Arial" w:cs="Arial" w:eastAsia="Arial" w:hAnsi="Arial"/>
                <w:sz w:val="11"/>
                <w:szCs w:val="11"/>
                <w:color w:val="auto"/>
              </w:rPr>
              <w:t>(over)/under-recovery variance of $(7) million annually.</w:t>
            </w:r>
          </w:p>
        </w:tc>
        <w:tc>
          <w:tcPr>
            <w:tcW w:w="0" w:type="dxa"/>
            <w:vAlign w:val="bottom"/>
          </w:tcPr>
          <w:p>
            <w:pPr>
              <w:spacing w:after="0"/>
              <w:rPr>
                <w:sz w:val="1"/>
                <w:szCs w:val="1"/>
                <w:color w:val="auto"/>
              </w:rPr>
            </w:pPr>
          </w:p>
        </w:tc>
      </w:tr>
      <w:tr>
        <w:trPr>
          <w:trHeight w:val="162"/>
        </w:trPr>
        <w:tc>
          <w:tcPr>
            <w:tcW w:w="1380" w:type="dxa"/>
            <w:vAlign w:val="bottom"/>
            <w:tcBorders>
              <w:bottom w:val="single" w:sz="8" w:color="auto"/>
            </w:tcBorders>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spacing w:after="0"/>
              <w:rPr>
                <w:sz w:val="14"/>
                <w:szCs w:val="14"/>
                <w:color w:val="auto"/>
              </w:rPr>
            </w:pPr>
          </w:p>
        </w:tc>
        <w:tc>
          <w:tcPr>
            <w:tcW w:w="6900" w:type="dxa"/>
            <w:vAlign w:val="bottom"/>
            <w:tcBorders>
              <w:bottom w:val="single" w:sz="8" w:color="auto"/>
            </w:tcBorders>
            <w:gridSpan w:val="2"/>
            <w:shd w:val="clear" w:color="auto" w:fill="CCEEFF"/>
          </w:tcPr>
          <w:p>
            <w:pPr>
              <w:jc w:val="center"/>
              <w:ind w:right="4483"/>
              <w:spacing w:after="0"/>
              <w:rPr>
                <w:sz w:val="20"/>
                <w:szCs w:val="20"/>
                <w:color w:val="auto"/>
              </w:rPr>
            </w:pPr>
            <w:r>
              <w:rPr>
                <w:rFonts w:ascii="Arial" w:cs="Arial" w:eastAsia="Arial" w:hAnsi="Arial"/>
                <w:sz w:val="11"/>
                <w:szCs w:val="11"/>
                <w:b w:val="1"/>
                <w:bCs w:val="1"/>
                <w:color w:val="auto"/>
                <w:w w:val="97"/>
              </w:rPr>
              <w:t>CenterPoint Energy - Ohio (PUCO)</w:t>
            </w:r>
          </w:p>
        </w:tc>
        <w:tc>
          <w:tcPr>
            <w:tcW w:w="0" w:type="dxa"/>
            <w:vAlign w:val="bottom"/>
          </w:tcPr>
          <w:p>
            <w:pPr>
              <w:spacing w:after="0"/>
              <w:rPr>
                <w:sz w:val="1"/>
                <w:szCs w:val="1"/>
                <w:color w:val="auto"/>
              </w:rPr>
            </w:pPr>
          </w:p>
        </w:tc>
      </w:tr>
      <w:tr>
        <w:trPr>
          <w:trHeight w:val="120"/>
        </w:trPr>
        <w:tc>
          <w:tcPr>
            <w:tcW w:w="138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5820" w:type="dxa"/>
            <w:vAlign w:val="bottom"/>
          </w:tcPr>
          <w:p>
            <w:pPr>
              <w:ind w:left="120"/>
              <w:spacing w:after="0" w:line="120" w:lineRule="exact"/>
              <w:rPr>
                <w:sz w:val="20"/>
                <w:szCs w:val="20"/>
                <w:color w:val="auto"/>
              </w:rPr>
            </w:pPr>
            <w:r>
              <w:rPr>
                <w:rFonts w:ascii="Arial" w:cs="Arial" w:eastAsia="Arial" w:hAnsi="Arial"/>
                <w:sz w:val="11"/>
                <w:szCs w:val="11"/>
                <w:color w:val="auto"/>
              </w:rPr>
              <w:t>Requested an increase of $78 million to rate base for investments made in 2018, which reflects a $11 million annual</w:t>
            </w:r>
          </w:p>
        </w:tc>
        <w:tc>
          <w:tcPr>
            <w:tcW w:w="0" w:type="dxa"/>
            <w:vAlign w:val="bottom"/>
          </w:tcPr>
          <w:p>
            <w:pPr>
              <w:spacing w:after="0"/>
              <w:rPr>
                <w:sz w:val="1"/>
                <w:szCs w:val="1"/>
                <w:color w:val="auto"/>
              </w:rPr>
            </w:pPr>
          </w:p>
        </w:tc>
      </w:tr>
      <w:tr>
        <w:trPr>
          <w:trHeight w:val="119"/>
        </w:trPr>
        <w:tc>
          <w:tcPr>
            <w:tcW w:w="138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940" w:type="dxa"/>
            <w:vAlign w:val="bottom"/>
          </w:tcPr>
          <w:p>
            <w:pPr>
              <w:jc w:val="center"/>
              <w:spacing w:after="0" w:line="119" w:lineRule="exact"/>
              <w:rPr>
                <w:sz w:val="20"/>
                <w:szCs w:val="20"/>
                <w:color w:val="auto"/>
              </w:rPr>
            </w:pPr>
            <w:r>
              <w:rPr>
                <w:rFonts w:ascii="Arial" w:cs="Arial" w:eastAsia="Arial" w:hAnsi="Arial"/>
                <w:sz w:val="11"/>
                <w:szCs w:val="11"/>
                <w:color w:val="auto"/>
              </w:rPr>
              <w:t>May</w:t>
            </w:r>
          </w:p>
        </w:tc>
        <w:tc>
          <w:tcPr>
            <w:tcW w:w="960" w:type="dxa"/>
            <w:vAlign w:val="bottom"/>
          </w:tcPr>
          <w:p>
            <w:pPr>
              <w:jc w:val="center"/>
              <w:ind w:left="83"/>
              <w:spacing w:after="0" w:line="119" w:lineRule="exact"/>
              <w:rPr>
                <w:sz w:val="20"/>
                <w:szCs w:val="20"/>
                <w:color w:val="auto"/>
              </w:rPr>
            </w:pPr>
            <w:r>
              <w:rPr>
                <w:rFonts w:ascii="Arial" w:cs="Arial" w:eastAsia="Arial" w:hAnsi="Arial"/>
                <w:sz w:val="11"/>
                <w:szCs w:val="11"/>
                <w:color w:val="auto"/>
                <w:w w:val="92"/>
              </w:rPr>
              <w:t>September</w:t>
            </w:r>
          </w:p>
        </w:tc>
        <w:tc>
          <w:tcPr>
            <w:tcW w:w="1080" w:type="dxa"/>
            <w:vAlign w:val="bottom"/>
          </w:tcPr>
          <w:p>
            <w:pPr>
              <w:spacing w:after="0"/>
              <w:rPr>
                <w:sz w:val="10"/>
                <w:szCs w:val="10"/>
                <w:color w:val="auto"/>
              </w:rPr>
            </w:pPr>
          </w:p>
        </w:tc>
        <w:tc>
          <w:tcPr>
            <w:tcW w:w="5820" w:type="dxa"/>
            <w:vAlign w:val="bottom"/>
          </w:tcPr>
          <w:p>
            <w:pPr>
              <w:ind w:left="120"/>
              <w:spacing w:after="0" w:line="119" w:lineRule="exact"/>
              <w:rPr>
                <w:sz w:val="20"/>
                <w:szCs w:val="20"/>
                <w:color w:val="auto"/>
              </w:rPr>
            </w:pPr>
            <w:r>
              <w:rPr>
                <w:rFonts w:ascii="Arial" w:cs="Arial" w:eastAsia="Arial" w:hAnsi="Arial"/>
                <w:sz w:val="11"/>
                <w:szCs w:val="11"/>
                <w:color w:val="auto"/>
                <w:w w:val="96"/>
              </w:rPr>
              <w:t>increase in current revenues. A change in (over)/under-recovery variance of $(3) million annually is also included in rates.</w:t>
            </w:r>
          </w:p>
        </w:tc>
        <w:tc>
          <w:tcPr>
            <w:tcW w:w="0" w:type="dxa"/>
            <w:vAlign w:val="bottom"/>
          </w:tcPr>
          <w:p>
            <w:pPr>
              <w:spacing w:after="0"/>
              <w:rPr>
                <w:sz w:val="1"/>
                <w:szCs w:val="1"/>
                <w:color w:val="auto"/>
              </w:rPr>
            </w:pPr>
          </w:p>
        </w:tc>
      </w:tr>
      <w:tr>
        <w:trPr>
          <w:trHeight w:val="151"/>
        </w:trPr>
        <w:tc>
          <w:tcPr>
            <w:tcW w:w="1380" w:type="dxa"/>
            <w:vAlign w:val="bottom"/>
          </w:tcPr>
          <w:p>
            <w:pPr>
              <w:jc w:val="center"/>
              <w:ind w:left="83"/>
              <w:spacing w:after="0"/>
              <w:rPr>
                <w:sz w:val="20"/>
                <w:szCs w:val="20"/>
                <w:color w:val="auto"/>
              </w:rPr>
            </w:pPr>
            <w:r>
              <w:rPr>
                <w:rFonts w:ascii="Arial" w:cs="Arial" w:eastAsia="Arial" w:hAnsi="Arial"/>
                <w:sz w:val="11"/>
                <w:szCs w:val="11"/>
                <w:color w:val="auto"/>
              </w:rPr>
              <w:t>DRR</w:t>
            </w:r>
          </w:p>
        </w:tc>
        <w:tc>
          <w:tcPr>
            <w:tcW w:w="1280" w:type="dxa"/>
            <w:vAlign w:val="bottom"/>
          </w:tcPr>
          <w:p>
            <w:pPr>
              <w:jc w:val="center"/>
              <w:ind w:left="84"/>
              <w:spacing w:after="0"/>
              <w:rPr>
                <w:sz w:val="20"/>
                <w:szCs w:val="20"/>
                <w:color w:val="auto"/>
              </w:rPr>
            </w:pPr>
            <w:r>
              <w:rPr>
                <w:rFonts w:ascii="Arial" w:cs="Arial" w:eastAsia="Arial" w:hAnsi="Arial"/>
                <w:sz w:val="11"/>
                <w:szCs w:val="11"/>
                <w:color w:val="auto"/>
                <w:w w:val="81"/>
              </w:rPr>
              <w:t>11</w:t>
            </w:r>
          </w:p>
        </w:tc>
        <w:tc>
          <w:tcPr>
            <w:tcW w:w="940" w:type="dxa"/>
            <w:vAlign w:val="bottom"/>
          </w:tcPr>
          <w:p>
            <w:pPr>
              <w:jc w:val="center"/>
              <w:spacing w:after="0"/>
              <w:rPr>
                <w:sz w:val="20"/>
                <w:szCs w:val="20"/>
                <w:color w:val="auto"/>
              </w:rPr>
            </w:pPr>
            <w:r>
              <w:rPr>
                <w:rFonts w:ascii="Arial" w:cs="Arial" w:eastAsia="Arial" w:hAnsi="Arial"/>
                <w:sz w:val="11"/>
                <w:szCs w:val="11"/>
                <w:color w:val="auto"/>
                <w:w w:val="89"/>
              </w:rPr>
              <w:t>2019</w:t>
            </w:r>
          </w:p>
        </w:tc>
        <w:tc>
          <w:tcPr>
            <w:tcW w:w="960" w:type="dxa"/>
            <w:vAlign w:val="bottom"/>
          </w:tcPr>
          <w:p>
            <w:pPr>
              <w:jc w:val="center"/>
              <w:ind w:left="83"/>
              <w:spacing w:after="0"/>
              <w:rPr>
                <w:sz w:val="20"/>
                <w:szCs w:val="20"/>
                <w:color w:val="auto"/>
              </w:rPr>
            </w:pPr>
            <w:r>
              <w:rPr>
                <w:rFonts w:ascii="Arial" w:cs="Arial" w:eastAsia="Arial" w:hAnsi="Arial"/>
                <w:sz w:val="11"/>
                <w:szCs w:val="11"/>
                <w:color w:val="auto"/>
                <w:w w:val="89"/>
              </w:rPr>
              <w:t>2019</w:t>
            </w:r>
          </w:p>
        </w:tc>
        <w:tc>
          <w:tcPr>
            <w:tcW w:w="1080" w:type="dxa"/>
            <w:vAlign w:val="bottom"/>
          </w:tcPr>
          <w:p>
            <w:pPr>
              <w:jc w:val="center"/>
              <w:ind w:left="83"/>
              <w:spacing w:after="0"/>
              <w:rPr>
                <w:sz w:val="20"/>
                <w:szCs w:val="20"/>
                <w:color w:val="auto"/>
              </w:rPr>
            </w:pPr>
            <w:r>
              <w:rPr>
                <w:rFonts w:ascii="Arial" w:cs="Arial" w:eastAsia="Arial" w:hAnsi="Arial"/>
                <w:sz w:val="11"/>
                <w:szCs w:val="11"/>
                <w:color w:val="auto"/>
                <w:w w:val="93"/>
              </w:rPr>
              <w:t>August 2019</w:t>
            </w:r>
          </w:p>
        </w:tc>
        <w:tc>
          <w:tcPr>
            <w:tcW w:w="5820" w:type="dxa"/>
            <w:vAlign w:val="bottom"/>
          </w:tcPr>
          <w:p>
            <w:pPr>
              <w:ind w:left="120"/>
              <w:spacing w:after="0"/>
              <w:rPr>
                <w:sz w:val="20"/>
                <w:szCs w:val="20"/>
                <w:color w:val="auto"/>
              </w:rPr>
            </w:pPr>
            <w:r>
              <w:rPr>
                <w:rFonts w:ascii="Arial" w:cs="Arial" w:eastAsia="Arial" w:hAnsi="Arial"/>
                <w:sz w:val="11"/>
                <w:szCs w:val="11"/>
                <w:color w:val="auto"/>
              </w:rPr>
              <w:t>All pre-2018 investments are included in rate case request.</w:t>
            </w:r>
          </w:p>
        </w:tc>
        <w:tc>
          <w:tcPr>
            <w:tcW w:w="0" w:type="dxa"/>
            <w:vAlign w:val="bottom"/>
          </w:tcPr>
          <w:p>
            <w:pPr>
              <w:spacing w:after="0"/>
              <w:rPr>
                <w:sz w:val="1"/>
                <w:szCs w:val="1"/>
                <w:color w:val="auto"/>
              </w:rPr>
            </w:pPr>
          </w:p>
        </w:tc>
      </w:tr>
      <w:tr>
        <w:trPr>
          <w:trHeight w:val="129"/>
        </w:trPr>
        <w:tc>
          <w:tcPr>
            <w:tcW w:w="138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5820" w:type="dxa"/>
            <w:vAlign w:val="bottom"/>
            <w:shd w:val="clear" w:color="auto" w:fill="CCEEFF"/>
          </w:tcPr>
          <w:p>
            <w:pPr>
              <w:ind w:left="120"/>
              <w:spacing w:after="0"/>
              <w:rPr>
                <w:sz w:val="20"/>
                <w:szCs w:val="20"/>
                <w:color w:val="auto"/>
              </w:rPr>
            </w:pPr>
            <w:r>
              <w:rPr>
                <w:rFonts w:ascii="Arial" w:cs="Arial" w:eastAsia="Arial" w:hAnsi="Arial"/>
                <w:sz w:val="11"/>
                <w:szCs w:val="11"/>
                <w:color w:val="auto"/>
                <w:w w:val="95"/>
              </w:rPr>
              <w:t>Settlement agreement approved by PUCO Order that provides for a $23 million annual increase in current revenues. Order</w:t>
            </w:r>
          </w:p>
        </w:tc>
        <w:tc>
          <w:tcPr>
            <w:tcW w:w="0" w:type="dxa"/>
            <w:vAlign w:val="bottom"/>
          </w:tcPr>
          <w:p>
            <w:pPr>
              <w:spacing w:after="0"/>
              <w:rPr>
                <w:sz w:val="1"/>
                <w:szCs w:val="1"/>
                <w:color w:val="auto"/>
              </w:rPr>
            </w:pPr>
          </w:p>
        </w:tc>
      </w:tr>
      <w:tr>
        <w:trPr>
          <w:trHeight w:val="119"/>
        </w:trPr>
        <w:tc>
          <w:tcPr>
            <w:tcW w:w="1380" w:type="dxa"/>
            <w:vAlign w:val="bottom"/>
            <w:shd w:val="clear" w:color="auto" w:fill="CCEEFF"/>
          </w:tcPr>
          <w:p>
            <w:pPr>
              <w:spacing w:after="0"/>
              <w:rPr>
                <w:sz w:val="10"/>
                <w:szCs w:val="10"/>
                <w:color w:val="auto"/>
              </w:rPr>
            </w:pPr>
          </w:p>
        </w:tc>
        <w:tc>
          <w:tcPr>
            <w:tcW w:w="1280" w:type="dxa"/>
            <w:vAlign w:val="bottom"/>
            <w:shd w:val="clear" w:color="auto" w:fill="CCEEFF"/>
          </w:tcPr>
          <w:p>
            <w:pPr>
              <w:spacing w:after="0"/>
              <w:rPr>
                <w:sz w:val="10"/>
                <w:szCs w:val="10"/>
                <w:color w:val="auto"/>
              </w:rPr>
            </w:pPr>
          </w:p>
        </w:tc>
        <w:tc>
          <w:tcPr>
            <w:tcW w:w="940" w:type="dxa"/>
            <w:vAlign w:val="bottom"/>
            <w:shd w:val="clear" w:color="auto" w:fill="CCEEFF"/>
          </w:tcPr>
          <w:p>
            <w:pPr>
              <w:jc w:val="center"/>
              <w:spacing w:after="0" w:line="119" w:lineRule="exact"/>
              <w:rPr>
                <w:sz w:val="20"/>
                <w:szCs w:val="20"/>
                <w:color w:val="auto"/>
              </w:rPr>
            </w:pPr>
            <w:r>
              <w:rPr>
                <w:rFonts w:ascii="Arial" w:cs="Arial" w:eastAsia="Arial" w:hAnsi="Arial"/>
                <w:sz w:val="11"/>
                <w:szCs w:val="11"/>
                <w:color w:val="auto"/>
                <w:w w:val="98"/>
              </w:rPr>
              <w:t>March</w:t>
            </w:r>
          </w:p>
        </w:tc>
        <w:tc>
          <w:tcPr>
            <w:tcW w:w="96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5820" w:type="dxa"/>
            <w:vAlign w:val="bottom"/>
            <w:shd w:val="clear" w:color="auto" w:fill="CCEEFF"/>
          </w:tcPr>
          <w:p>
            <w:pPr>
              <w:ind w:left="120"/>
              <w:spacing w:after="0" w:line="119" w:lineRule="exact"/>
              <w:rPr>
                <w:sz w:val="20"/>
                <w:szCs w:val="20"/>
                <w:color w:val="auto"/>
              </w:rPr>
            </w:pPr>
            <w:r>
              <w:rPr>
                <w:rFonts w:ascii="Arial" w:cs="Arial" w:eastAsia="Arial" w:hAnsi="Arial"/>
                <w:sz w:val="11"/>
                <w:szCs w:val="11"/>
                <w:color w:val="auto"/>
              </w:rPr>
              <w:t>based upon $622 million of total rate base, a 7.48% overall rate of return, and extension of conservation and DRR</w:t>
            </w:r>
          </w:p>
        </w:tc>
        <w:tc>
          <w:tcPr>
            <w:tcW w:w="0" w:type="dxa"/>
            <w:vAlign w:val="bottom"/>
          </w:tcPr>
          <w:p>
            <w:pPr>
              <w:spacing w:after="0"/>
              <w:rPr>
                <w:sz w:val="1"/>
                <w:szCs w:val="1"/>
                <w:color w:val="auto"/>
              </w:rPr>
            </w:pPr>
          </w:p>
        </w:tc>
      </w:tr>
      <w:tr>
        <w:trPr>
          <w:trHeight w:val="155"/>
        </w:trPr>
        <w:tc>
          <w:tcPr>
            <w:tcW w:w="1380" w:type="dxa"/>
            <w:vAlign w:val="bottom"/>
            <w:shd w:val="clear" w:color="auto" w:fill="CCEEFF"/>
          </w:tcPr>
          <w:p>
            <w:pPr>
              <w:jc w:val="center"/>
              <w:ind w:left="63"/>
              <w:spacing w:after="0"/>
              <w:rPr>
                <w:sz w:val="20"/>
                <w:szCs w:val="20"/>
                <w:color w:val="auto"/>
              </w:rPr>
            </w:pPr>
            <w:r>
              <w:rPr>
                <w:rFonts w:ascii="Arial" w:cs="Arial" w:eastAsia="Arial" w:hAnsi="Arial"/>
                <w:sz w:val="11"/>
                <w:szCs w:val="11"/>
                <w:color w:val="auto"/>
                <w:w w:val="88"/>
              </w:rPr>
              <w:t>Rate Case</w:t>
            </w:r>
          </w:p>
        </w:tc>
        <w:tc>
          <w:tcPr>
            <w:tcW w:w="1280" w:type="dxa"/>
            <w:vAlign w:val="bottom"/>
            <w:shd w:val="clear" w:color="auto" w:fill="CCEEFF"/>
          </w:tcPr>
          <w:p>
            <w:pPr>
              <w:jc w:val="center"/>
              <w:ind w:left="64"/>
              <w:spacing w:after="0"/>
              <w:rPr>
                <w:sz w:val="20"/>
                <w:szCs w:val="20"/>
                <w:color w:val="auto"/>
              </w:rPr>
            </w:pPr>
            <w:r>
              <w:rPr>
                <w:rFonts w:ascii="Arial" w:cs="Arial" w:eastAsia="Arial" w:hAnsi="Arial"/>
                <w:sz w:val="11"/>
                <w:szCs w:val="11"/>
                <w:color w:val="auto"/>
                <w:w w:val="97"/>
              </w:rPr>
              <w:t>23</w:t>
            </w:r>
          </w:p>
        </w:tc>
        <w:tc>
          <w:tcPr>
            <w:tcW w:w="94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89"/>
              </w:rPr>
              <w:t>2018</w:t>
            </w:r>
          </w:p>
        </w:tc>
        <w:tc>
          <w:tcPr>
            <w:tcW w:w="960" w:type="dxa"/>
            <w:vAlign w:val="bottom"/>
            <w:shd w:val="clear" w:color="auto" w:fill="CCEEFF"/>
          </w:tcPr>
          <w:p>
            <w:pPr>
              <w:jc w:val="center"/>
              <w:ind w:left="83"/>
              <w:spacing w:after="0"/>
              <w:rPr>
                <w:sz w:val="20"/>
                <w:szCs w:val="20"/>
                <w:color w:val="auto"/>
              </w:rPr>
            </w:pPr>
            <w:r>
              <w:rPr>
                <w:rFonts w:ascii="Arial" w:cs="Arial" w:eastAsia="Arial" w:hAnsi="Arial"/>
                <w:sz w:val="11"/>
                <w:szCs w:val="11"/>
                <w:color w:val="auto"/>
                <w:w w:val="90"/>
              </w:rPr>
              <w:t>September 2019</w:t>
            </w:r>
          </w:p>
        </w:tc>
        <w:tc>
          <w:tcPr>
            <w:tcW w:w="1080" w:type="dxa"/>
            <w:vAlign w:val="bottom"/>
            <w:shd w:val="clear" w:color="auto" w:fill="CCEEFF"/>
          </w:tcPr>
          <w:p>
            <w:pPr>
              <w:jc w:val="center"/>
              <w:ind w:left="83"/>
              <w:spacing w:after="0"/>
              <w:rPr>
                <w:sz w:val="20"/>
                <w:szCs w:val="20"/>
                <w:color w:val="auto"/>
              </w:rPr>
            </w:pPr>
            <w:r>
              <w:rPr>
                <w:rFonts w:ascii="Arial" w:cs="Arial" w:eastAsia="Arial" w:hAnsi="Arial"/>
                <w:sz w:val="11"/>
                <w:szCs w:val="11"/>
                <w:color w:val="auto"/>
                <w:w w:val="93"/>
              </w:rPr>
              <w:t>August 2019</w:t>
            </w:r>
          </w:p>
        </w:tc>
        <w:tc>
          <w:tcPr>
            <w:tcW w:w="5820" w:type="dxa"/>
            <w:vAlign w:val="bottom"/>
            <w:shd w:val="clear" w:color="auto" w:fill="CCEEFF"/>
          </w:tcPr>
          <w:p>
            <w:pPr>
              <w:ind w:left="120"/>
              <w:spacing w:after="0"/>
              <w:rPr>
                <w:sz w:val="20"/>
                <w:szCs w:val="20"/>
                <w:color w:val="auto"/>
              </w:rPr>
            </w:pPr>
            <w:r>
              <w:rPr>
                <w:rFonts w:ascii="Arial" w:cs="Arial" w:eastAsia="Arial" w:hAnsi="Arial"/>
                <w:sz w:val="11"/>
                <w:szCs w:val="11"/>
                <w:color w:val="auto"/>
              </w:rPr>
              <w:t>programs.</w:t>
            </w:r>
          </w:p>
        </w:tc>
        <w:tc>
          <w:tcPr>
            <w:tcW w:w="0" w:type="dxa"/>
            <w:vAlign w:val="bottom"/>
          </w:tcPr>
          <w:p>
            <w:pPr>
              <w:spacing w:after="0"/>
              <w:rPr>
                <w:sz w:val="1"/>
                <w:szCs w:val="1"/>
                <w:color w:val="auto"/>
              </w:rPr>
            </w:pPr>
          </w:p>
        </w:tc>
      </w:tr>
      <w:tr>
        <w:trPr>
          <w:trHeight w:val="125"/>
        </w:trPr>
        <w:tc>
          <w:tcPr>
            <w:tcW w:w="138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5820" w:type="dxa"/>
            <w:vAlign w:val="bottom"/>
          </w:tcPr>
          <w:p>
            <w:pPr>
              <w:ind w:left="120"/>
              <w:spacing w:after="0" w:line="125" w:lineRule="exact"/>
              <w:rPr>
                <w:sz w:val="20"/>
                <w:szCs w:val="20"/>
                <w:color w:val="auto"/>
              </w:rPr>
            </w:pPr>
            <w:r>
              <w:rPr>
                <w:rFonts w:ascii="Arial" w:cs="Arial" w:eastAsia="Arial" w:hAnsi="Arial"/>
                <w:sz w:val="11"/>
                <w:szCs w:val="11"/>
                <w:color w:val="auto"/>
              </w:rPr>
              <w:t>Application to flow back to customers certain benefits from the TCJA. Initial impact reflects credits for 2018 of $(10)</w:t>
            </w:r>
          </w:p>
        </w:tc>
        <w:tc>
          <w:tcPr>
            <w:tcW w:w="0" w:type="dxa"/>
            <w:vAlign w:val="bottom"/>
          </w:tcPr>
          <w:p>
            <w:pPr>
              <w:spacing w:after="0"/>
              <w:rPr>
                <w:sz w:val="1"/>
                <w:szCs w:val="1"/>
                <w:color w:val="auto"/>
              </w:rPr>
            </w:pPr>
          </w:p>
        </w:tc>
      </w:tr>
      <w:tr>
        <w:trPr>
          <w:trHeight w:val="119"/>
        </w:trPr>
        <w:tc>
          <w:tcPr>
            <w:tcW w:w="138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940" w:type="dxa"/>
            <w:vAlign w:val="bottom"/>
          </w:tcPr>
          <w:p>
            <w:pPr>
              <w:jc w:val="center"/>
              <w:spacing w:after="0" w:line="119" w:lineRule="exact"/>
              <w:rPr>
                <w:sz w:val="20"/>
                <w:szCs w:val="20"/>
                <w:color w:val="auto"/>
              </w:rPr>
            </w:pPr>
            <w:r>
              <w:rPr>
                <w:rFonts w:ascii="Arial" w:cs="Arial" w:eastAsia="Arial" w:hAnsi="Arial"/>
                <w:sz w:val="11"/>
                <w:szCs w:val="11"/>
                <w:color w:val="auto"/>
                <w:w w:val="91"/>
              </w:rPr>
              <w:t>January</w:t>
            </w:r>
          </w:p>
        </w:tc>
        <w:tc>
          <w:tcPr>
            <w:tcW w:w="9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5820" w:type="dxa"/>
            <w:vAlign w:val="bottom"/>
          </w:tcPr>
          <w:p>
            <w:pPr>
              <w:ind w:left="120"/>
              <w:spacing w:after="0" w:line="119" w:lineRule="exact"/>
              <w:rPr>
                <w:sz w:val="20"/>
                <w:szCs w:val="20"/>
                <w:color w:val="auto"/>
              </w:rPr>
            </w:pPr>
            <w:r>
              <w:rPr>
                <w:rFonts w:ascii="Arial" w:cs="Arial" w:eastAsia="Arial" w:hAnsi="Arial"/>
                <w:sz w:val="11"/>
                <w:szCs w:val="11"/>
                <w:color w:val="auto"/>
                <w:w w:val="97"/>
              </w:rPr>
              <w:t>million and 2019 of $(8) million, with mechanism to begin subsequent to new base rates. Order is expected in the fourth</w:t>
            </w:r>
          </w:p>
        </w:tc>
        <w:tc>
          <w:tcPr>
            <w:tcW w:w="0" w:type="dxa"/>
            <w:vAlign w:val="bottom"/>
          </w:tcPr>
          <w:p>
            <w:pPr>
              <w:spacing w:after="0"/>
              <w:rPr>
                <w:sz w:val="1"/>
                <w:szCs w:val="1"/>
                <w:color w:val="auto"/>
              </w:rPr>
            </w:pPr>
          </w:p>
        </w:tc>
      </w:tr>
      <w:tr>
        <w:trPr>
          <w:trHeight w:val="151"/>
        </w:trPr>
        <w:tc>
          <w:tcPr>
            <w:tcW w:w="1380" w:type="dxa"/>
            <w:vAlign w:val="bottom"/>
          </w:tcPr>
          <w:p>
            <w:pPr>
              <w:jc w:val="center"/>
              <w:ind w:left="63"/>
              <w:spacing w:after="0"/>
              <w:rPr>
                <w:sz w:val="20"/>
                <w:szCs w:val="20"/>
                <w:color w:val="auto"/>
              </w:rPr>
            </w:pPr>
            <w:r>
              <w:rPr>
                <w:rFonts w:ascii="Arial" w:cs="Arial" w:eastAsia="Arial" w:hAnsi="Arial"/>
                <w:sz w:val="11"/>
                <w:szCs w:val="11"/>
                <w:color w:val="auto"/>
                <w:w w:val="98"/>
              </w:rPr>
              <w:t xml:space="preserve">TSCR </w:t>
            </w:r>
            <w:r>
              <w:rPr>
                <w:rFonts w:ascii="Arial" w:cs="Arial" w:eastAsia="Arial" w:hAnsi="Arial"/>
                <w:sz w:val="8"/>
                <w:szCs w:val="8"/>
                <w:color w:val="auto"/>
                <w:w w:val="98"/>
              </w:rPr>
              <w:t>(1)</w:t>
            </w:r>
          </w:p>
        </w:tc>
        <w:tc>
          <w:tcPr>
            <w:tcW w:w="1280" w:type="dxa"/>
            <w:vAlign w:val="bottom"/>
          </w:tcPr>
          <w:p>
            <w:pPr>
              <w:jc w:val="center"/>
              <w:ind w:left="84"/>
              <w:spacing w:after="0"/>
              <w:rPr>
                <w:sz w:val="20"/>
                <w:szCs w:val="20"/>
                <w:color w:val="auto"/>
              </w:rPr>
            </w:pPr>
            <w:r>
              <w:rPr>
                <w:rFonts w:ascii="Arial" w:cs="Arial" w:eastAsia="Arial" w:hAnsi="Arial"/>
                <w:sz w:val="11"/>
                <w:szCs w:val="11"/>
                <w:color w:val="auto"/>
                <w:w w:val="91"/>
              </w:rPr>
              <w:t>(18)</w:t>
            </w:r>
          </w:p>
        </w:tc>
        <w:tc>
          <w:tcPr>
            <w:tcW w:w="940" w:type="dxa"/>
            <w:vAlign w:val="bottom"/>
          </w:tcPr>
          <w:p>
            <w:pPr>
              <w:jc w:val="center"/>
              <w:spacing w:after="0"/>
              <w:rPr>
                <w:sz w:val="20"/>
                <w:szCs w:val="20"/>
                <w:color w:val="auto"/>
              </w:rPr>
            </w:pPr>
            <w:r>
              <w:rPr>
                <w:rFonts w:ascii="Arial" w:cs="Arial" w:eastAsia="Arial" w:hAnsi="Arial"/>
                <w:sz w:val="11"/>
                <w:szCs w:val="11"/>
                <w:color w:val="auto"/>
                <w:w w:val="89"/>
              </w:rPr>
              <w:t>2019</w:t>
            </w:r>
          </w:p>
        </w:tc>
        <w:tc>
          <w:tcPr>
            <w:tcW w:w="960" w:type="dxa"/>
            <w:vAlign w:val="bottom"/>
          </w:tcPr>
          <w:p>
            <w:pPr>
              <w:jc w:val="center"/>
              <w:ind w:left="83"/>
              <w:spacing w:after="0"/>
              <w:rPr>
                <w:sz w:val="20"/>
                <w:szCs w:val="20"/>
                <w:color w:val="auto"/>
              </w:rPr>
            </w:pPr>
            <w:r>
              <w:rPr>
                <w:rFonts w:ascii="Arial" w:cs="Arial" w:eastAsia="Arial" w:hAnsi="Arial"/>
                <w:sz w:val="11"/>
                <w:szCs w:val="11"/>
                <w:color w:val="auto"/>
                <w:w w:val="99"/>
              </w:rPr>
              <w:t>TBD</w:t>
            </w:r>
          </w:p>
        </w:tc>
        <w:tc>
          <w:tcPr>
            <w:tcW w:w="1080" w:type="dxa"/>
            <w:vAlign w:val="bottom"/>
          </w:tcPr>
          <w:p>
            <w:pPr>
              <w:jc w:val="center"/>
              <w:ind w:left="83"/>
              <w:spacing w:after="0"/>
              <w:rPr>
                <w:sz w:val="20"/>
                <w:szCs w:val="20"/>
                <w:color w:val="auto"/>
              </w:rPr>
            </w:pPr>
            <w:r>
              <w:rPr>
                <w:rFonts w:ascii="Arial" w:cs="Arial" w:eastAsia="Arial" w:hAnsi="Arial"/>
                <w:sz w:val="11"/>
                <w:szCs w:val="11"/>
                <w:color w:val="auto"/>
                <w:w w:val="99"/>
              </w:rPr>
              <w:t>TBD</w:t>
            </w:r>
          </w:p>
        </w:tc>
        <w:tc>
          <w:tcPr>
            <w:tcW w:w="5820" w:type="dxa"/>
            <w:vAlign w:val="bottom"/>
          </w:tcPr>
          <w:p>
            <w:pPr>
              <w:ind w:left="120"/>
              <w:spacing w:after="0"/>
              <w:rPr>
                <w:sz w:val="20"/>
                <w:szCs w:val="20"/>
                <w:color w:val="auto"/>
              </w:rPr>
            </w:pPr>
            <w:r>
              <w:rPr>
                <w:rFonts w:ascii="Arial" w:cs="Arial" w:eastAsia="Arial" w:hAnsi="Arial"/>
                <w:sz w:val="11"/>
                <w:szCs w:val="11"/>
                <w:color w:val="auto"/>
              </w:rPr>
              <w:t>quarter of 2019 or early 2020.</w:t>
            </w:r>
          </w:p>
        </w:tc>
        <w:tc>
          <w:tcPr>
            <w:tcW w:w="0" w:type="dxa"/>
            <w:vAlign w:val="bottom"/>
          </w:tcPr>
          <w:p>
            <w:pPr>
              <w:spacing w:after="0"/>
              <w:rPr>
                <w:sz w:val="1"/>
                <w:szCs w:val="1"/>
                <w:color w:val="auto"/>
              </w:rPr>
            </w:pPr>
          </w:p>
        </w:tc>
      </w:tr>
      <w:tr>
        <w:trPr>
          <w:trHeight w:val="162"/>
        </w:trPr>
        <w:tc>
          <w:tcPr>
            <w:tcW w:w="1380" w:type="dxa"/>
            <w:vAlign w:val="bottom"/>
            <w:tcBorders>
              <w:bottom w:val="single" w:sz="8" w:color="auto"/>
            </w:tcBorders>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spacing w:after="0"/>
              <w:rPr>
                <w:sz w:val="14"/>
                <w:szCs w:val="14"/>
                <w:color w:val="auto"/>
              </w:rPr>
            </w:pPr>
          </w:p>
        </w:tc>
        <w:tc>
          <w:tcPr>
            <w:tcW w:w="6900" w:type="dxa"/>
            <w:vAlign w:val="bottom"/>
            <w:tcBorders>
              <w:bottom w:val="single" w:sz="8" w:color="auto"/>
            </w:tcBorders>
            <w:gridSpan w:val="2"/>
            <w:shd w:val="clear" w:color="auto" w:fill="CCEEFF"/>
          </w:tcPr>
          <w:p>
            <w:pPr>
              <w:jc w:val="center"/>
              <w:ind w:right="4483"/>
              <w:spacing w:after="0"/>
              <w:rPr>
                <w:sz w:val="20"/>
                <w:szCs w:val="20"/>
                <w:color w:val="auto"/>
              </w:rPr>
            </w:pPr>
            <w:r>
              <w:rPr>
                <w:rFonts w:ascii="Arial" w:cs="Arial" w:eastAsia="Arial" w:hAnsi="Arial"/>
                <w:sz w:val="11"/>
                <w:szCs w:val="11"/>
                <w:b w:val="1"/>
                <w:bCs w:val="1"/>
                <w:color w:val="auto"/>
                <w:w w:val="98"/>
              </w:rPr>
              <w:t>CenterPoint Energy - Indiana Electric (IURC)</w:t>
            </w:r>
          </w:p>
        </w:tc>
        <w:tc>
          <w:tcPr>
            <w:tcW w:w="0" w:type="dxa"/>
            <w:vAlign w:val="bottom"/>
          </w:tcPr>
          <w:p>
            <w:pPr>
              <w:spacing w:after="0"/>
              <w:rPr>
                <w:sz w:val="1"/>
                <w:szCs w:val="1"/>
                <w:color w:val="auto"/>
              </w:rPr>
            </w:pPr>
          </w:p>
        </w:tc>
      </w:tr>
      <w:tr>
        <w:trPr>
          <w:trHeight w:val="120"/>
        </w:trPr>
        <w:tc>
          <w:tcPr>
            <w:tcW w:w="138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5820" w:type="dxa"/>
            <w:vAlign w:val="bottom"/>
          </w:tcPr>
          <w:p>
            <w:pPr>
              <w:ind w:left="120"/>
              <w:spacing w:after="0" w:line="120" w:lineRule="exact"/>
              <w:rPr>
                <w:sz w:val="20"/>
                <w:szCs w:val="20"/>
                <w:color w:val="auto"/>
              </w:rPr>
            </w:pPr>
            <w:r>
              <w:rPr>
                <w:rFonts w:ascii="Arial" w:cs="Arial" w:eastAsia="Arial" w:hAnsi="Arial"/>
                <w:sz w:val="11"/>
                <w:szCs w:val="11"/>
                <w:color w:val="auto"/>
                <w:w w:val="95"/>
              </w:rPr>
              <w:t>Requested an increase of $24 million to rate base, which reflects a $3 million annual increase in current revenues. 80% of</w:t>
            </w:r>
          </w:p>
        </w:tc>
        <w:tc>
          <w:tcPr>
            <w:tcW w:w="0" w:type="dxa"/>
            <w:vAlign w:val="bottom"/>
          </w:tcPr>
          <w:p>
            <w:pPr>
              <w:spacing w:after="0"/>
              <w:rPr>
                <w:sz w:val="1"/>
                <w:szCs w:val="1"/>
                <w:color w:val="auto"/>
              </w:rPr>
            </w:pPr>
          </w:p>
        </w:tc>
      </w:tr>
      <w:tr>
        <w:trPr>
          <w:trHeight w:val="119"/>
        </w:trPr>
        <w:tc>
          <w:tcPr>
            <w:tcW w:w="138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5820" w:type="dxa"/>
            <w:vAlign w:val="bottom"/>
          </w:tcPr>
          <w:p>
            <w:pPr>
              <w:ind w:left="120"/>
              <w:spacing w:after="0" w:line="119" w:lineRule="exact"/>
              <w:rPr>
                <w:sz w:val="20"/>
                <w:szCs w:val="20"/>
                <w:color w:val="auto"/>
              </w:rPr>
            </w:pPr>
            <w:r>
              <w:rPr>
                <w:rFonts w:ascii="Arial" w:cs="Arial" w:eastAsia="Arial" w:hAnsi="Arial"/>
                <w:sz w:val="11"/>
                <w:szCs w:val="11"/>
                <w:color w:val="auto"/>
                <w:w w:val="96"/>
              </w:rPr>
              <w:t>revenue requirement is included in requested rate increase and 20% is deferred until next rate case. The mechanism also</w:t>
            </w:r>
          </w:p>
        </w:tc>
        <w:tc>
          <w:tcPr>
            <w:tcW w:w="0" w:type="dxa"/>
            <w:vAlign w:val="bottom"/>
          </w:tcPr>
          <w:p>
            <w:pPr>
              <w:spacing w:after="0"/>
              <w:rPr>
                <w:sz w:val="1"/>
                <w:szCs w:val="1"/>
                <w:color w:val="auto"/>
              </w:rPr>
            </w:pPr>
          </w:p>
        </w:tc>
      </w:tr>
      <w:tr>
        <w:trPr>
          <w:trHeight w:val="119"/>
        </w:trPr>
        <w:tc>
          <w:tcPr>
            <w:tcW w:w="138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940" w:type="dxa"/>
            <w:vAlign w:val="bottom"/>
          </w:tcPr>
          <w:p>
            <w:pPr>
              <w:jc w:val="center"/>
              <w:spacing w:after="0" w:line="119" w:lineRule="exact"/>
              <w:rPr>
                <w:sz w:val="20"/>
                <w:szCs w:val="20"/>
                <w:color w:val="auto"/>
              </w:rPr>
            </w:pPr>
            <w:r>
              <w:rPr>
                <w:rFonts w:ascii="Arial" w:cs="Arial" w:eastAsia="Arial" w:hAnsi="Arial"/>
                <w:sz w:val="11"/>
                <w:szCs w:val="11"/>
                <w:color w:val="auto"/>
                <w:w w:val="95"/>
              </w:rPr>
              <w:t>February</w:t>
            </w:r>
          </w:p>
        </w:tc>
        <w:tc>
          <w:tcPr>
            <w:tcW w:w="960" w:type="dxa"/>
            <w:vAlign w:val="bottom"/>
          </w:tcPr>
          <w:p>
            <w:pPr>
              <w:jc w:val="center"/>
              <w:ind w:left="83"/>
              <w:spacing w:after="0" w:line="119" w:lineRule="exact"/>
              <w:rPr>
                <w:sz w:val="20"/>
                <w:szCs w:val="20"/>
                <w:color w:val="auto"/>
              </w:rPr>
            </w:pPr>
            <w:r>
              <w:rPr>
                <w:rFonts w:ascii="Arial" w:cs="Arial" w:eastAsia="Arial" w:hAnsi="Arial"/>
                <w:sz w:val="11"/>
                <w:szCs w:val="11"/>
                <w:color w:val="auto"/>
              </w:rPr>
              <w:t>May</w:t>
            </w:r>
          </w:p>
        </w:tc>
        <w:tc>
          <w:tcPr>
            <w:tcW w:w="1080" w:type="dxa"/>
            <w:vAlign w:val="bottom"/>
          </w:tcPr>
          <w:p>
            <w:pPr>
              <w:jc w:val="center"/>
              <w:ind w:left="83"/>
              <w:spacing w:after="0" w:line="119" w:lineRule="exact"/>
              <w:rPr>
                <w:sz w:val="20"/>
                <w:szCs w:val="20"/>
                <w:color w:val="auto"/>
              </w:rPr>
            </w:pPr>
            <w:r>
              <w:rPr>
                <w:rFonts w:ascii="Arial" w:cs="Arial" w:eastAsia="Arial" w:hAnsi="Arial"/>
                <w:sz w:val="11"/>
                <w:szCs w:val="11"/>
                <w:color w:val="auto"/>
              </w:rPr>
              <w:t>May</w:t>
            </w:r>
          </w:p>
        </w:tc>
        <w:tc>
          <w:tcPr>
            <w:tcW w:w="5820" w:type="dxa"/>
            <w:vAlign w:val="bottom"/>
          </w:tcPr>
          <w:p>
            <w:pPr>
              <w:ind w:left="120"/>
              <w:spacing w:after="0" w:line="119" w:lineRule="exact"/>
              <w:rPr>
                <w:sz w:val="20"/>
                <w:szCs w:val="20"/>
                <w:color w:val="auto"/>
              </w:rPr>
            </w:pPr>
            <w:r>
              <w:rPr>
                <w:rFonts w:ascii="Arial" w:cs="Arial" w:eastAsia="Arial" w:hAnsi="Arial"/>
                <w:sz w:val="11"/>
                <w:szCs w:val="11"/>
                <w:color w:val="auto"/>
                <w:w w:val="99"/>
              </w:rPr>
              <w:t>includes refunds associated with the TCJA, resulting in a change of $5 million, and a change in the total (over)/under-</w:t>
            </w:r>
          </w:p>
        </w:tc>
        <w:tc>
          <w:tcPr>
            <w:tcW w:w="0" w:type="dxa"/>
            <w:vAlign w:val="bottom"/>
          </w:tcPr>
          <w:p>
            <w:pPr>
              <w:spacing w:after="0"/>
              <w:rPr>
                <w:sz w:val="1"/>
                <w:szCs w:val="1"/>
                <w:color w:val="auto"/>
              </w:rPr>
            </w:pPr>
          </w:p>
        </w:tc>
      </w:tr>
      <w:tr>
        <w:trPr>
          <w:trHeight w:val="151"/>
        </w:trPr>
        <w:tc>
          <w:tcPr>
            <w:tcW w:w="1380" w:type="dxa"/>
            <w:vAlign w:val="bottom"/>
          </w:tcPr>
          <w:p>
            <w:pPr>
              <w:jc w:val="center"/>
              <w:ind w:left="63"/>
              <w:spacing w:after="0"/>
              <w:rPr>
                <w:sz w:val="20"/>
                <w:szCs w:val="20"/>
                <w:color w:val="auto"/>
              </w:rPr>
            </w:pPr>
            <w:r>
              <w:rPr>
                <w:rFonts w:ascii="Arial" w:cs="Arial" w:eastAsia="Arial" w:hAnsi="Arial"/>
                <w:sz w:val="11"/>
                <w:szCs w:val="11"/>
                <w:color w:val="auto"/>
              </w:rPr>
              <w:t>TDSIC</w:t>
            </w:r>
          </w:p>
        </w:tc>
        <w:tc>
          <w:tcPr>
            <w:tcW w:w="1280" w:type="dxa"/>
            <w:vAlign w:val="bottom"/>
          </w:tcPr>
          <w:p>
            <w:pPr>
              <w:jc w:val="center"/>
              <w:ind w:left="84"/>
              <w:spacing w:after="0"/>
              <w:rPr>
                <w:sz w:val="20"/>
                <w:szCs w:val="20"/>
                <w:color w:val="auto"/>
              </w:rPr>
            </w:pPr>
            <w:r>
              <w:rPr>
                <w:rFonts w:ascii="Arial" w:cs="Arial" w:eastAsia="Arial" w:hAnsi="Arial"/>
                <w:sz w:val="11"/>
                <w:szCs w:val="11"/>
                <w:color w:val="auto"/>
                <w:w w:val="97"/>
              </w:rPr>
              <w:t>3</w:t>
            </w:r>
          </w:p>
        </w:tc>
        <w:tc>
          <w:tcPr>
            <w:tcW w:w="940" w:type="dxa"/>
            <w:vAlign w:val="bottom"/>
          </w:tcPr>
          <w:p>
            <w:pPr>
              <w:jc w:val="center"/>
              <w:spacing w:after="0"/>
              <w:rPr>
                <w:sz w:val="20"/>
                <w:szCs w:val="20"/>
                <w:color w:val="auto"/>
              </w:rPr>
            </w:pPr>
            <w:r>
              <w:rPr>
                <w:rFonts w:ascii="Arial" w:cs="Arial" w:eastAsia="Arial" w:hAnsi="Arial"/>
                <w:sz w:val="11"/>
                <w:szCs w:val="11"/>
                <w:color w:val="auto"/>
                <w:w w:val="89"/>
              </w:rPr>
              <w:t>2019</w:t>
            </w:r>
          </w:p>
        </w:tc>
        <w:tc>
          <w:tcPr>
            <w:tcW w:w="960" w:type="dxa"/>
            <w:vAlign w:val="bottom"/>
          </w:tcPr>
          <w:p>
            <w:pPr>
              <w:jc w:val="center"/>
              <w:ind w:left="83"/>
              <w:spacing w:after="0"/>
              <w:rPr>
                <w:sz w:val="20"/>
                <w:szCs w:val="20"/>
                <w:color w:val="auto"/>
              </w:rPr>
            </w:pPr>
            <w:r>
              <w:rPr>
                <w:rFonts w:ascii="Arial" w:cs="Arial" w:eastAsia="Arial" w:hAnsi="Arial"/>
                <w:sz w:val="11"/>
                <w:szCs w:val="11"/>
                <w:color w:val="auto"/>
                <w:w w:val="89"/>
              </w:rPr>
              <w:t>2019</w:t>
            </w:r>
          </w:p>
        </w:tc>
        <w:tc>
          <w:tcPr>
            <w:tcW w:w="1080" w:type="dxa"/>
            <w:vAlign w:val="bottom"/>
          </w:tcPr>
          <w:p>
            <w:pPr>
              <w:jc w:val="center"/>
              <w:ind w:left="83"/>
              <w:spacing w:after="0"/>
              <w:rPr>
                <w:sz w:val="20"/>
                <w:szCs w:val="20"/>
                <w:color w:val="auto"/>
              </w:rPr>
            </w:pPr>
            <w:r>
              <w:rPr>
                <w:rFonts w:ascii="Arial" w:cs="Arial" w:eastAsia="Arial" w:hAnsi="Arial"/>
                <w:sz w:val="11"/>
                <w:szCs w:val="11"/>
                <w:color w:val="auto"/>
                <w:w w:val="89"/>
              </w:rPr>
              <w:t>2019</w:t>
            </w:r>
          </w:p>
        </w:tc>
        <w:tc>
          <w:tcPr>
            <w:tcW w:w="5820" w:type="dxa"/>
            <w:vAlign w:val="bottom"/>
          </w:tcPr>
          <w:p>
            <w:pPr>
              <w:ind w:left="120"/>
              <w:spacing w:after="0"/>
              <w:rPr>
                <w:sz w:val="20"/>
                <w:szCs w:val="20"/>
                <w:color w:val="auto"/>
              </w:rPr>
            </w:pPr>
            <w:r>
              <w:rPr>
                <w:rFonts w:ascii="Arial" w:cs="Arial" w:eastAsia="Arial" w:hAnsi="Arial"/>
                <w:sz w:val="11"/>
                <w:szCs w:val="11"/>
                <w:color w:val="auto"/>
              </w:rPr>
              <w:t>recovery variance of $5 million annually.</w:t>
            </w:r>
          </w:p>
        </w:tc>
        <w:tc>
          <w:tcPr>
            <w:tcW w:w="0" w:type="dxa"/>
            <w:vAlign w:val="bottom"/>
          </w:tcPr>
          <w:p>
            <w:pPr>
              <w:spacing w:after="0"/>
              <w:rPr>
                <w:sz w:val="1"/>
                <w:szCs w:val="1"/>
                <w:color w:val="auto"/>
              </w:rPr>
            </w:pPr>
          </w:p>
        </w:tc>
      </w:tr>
      <w:tr>
        <w:trPr>
          <w:trHeight w:val="129"/>
        </w:trPr>
        <w:tc>
          <w:tcPr>
            <w:tcW w:w="138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5820" w:type="dxa"/>
            <w:vAlign w:val="bottom"/>
            <w:shd w:val="clear" w:color="auto" w:fill="CCEEFF"/>
          </w:tcPr>
          <w:p>
            <w:pPr>
              <w:ind w:left="120"/>
              <w:spacing w:after="0"/>
              <w:rPr>
                <w:sz w:val="20"/>
                <w:szCs w:val="20"/>
                <w:color w:val="auto"/>
              </w:rPr>
            </w:pPr>
            <w:r>
              <w:rPr>
                <w:rFonts w:ascii="Arial" w:cs="Arial" w:eastAsia="Arial" w:hAnsi="Arial"/>
                <w:sz w:val="11"/>
                <w:szCs w:val="11"/>
                <w:color w:val="auto"/>
                <w:w w:val="95"/>
              </w:rPr>
              <w:t>Requested an increase of $35 million to rate base, which reflects a $4 million annual increase in current revenues. 80% of</w:t>
            </w:r>
          </w:p>
        </w:tc>
        <w:tc>
          <w:tcPr>
            <w:tcW w:w="0" w:type="dxa"/>
            <w:vAlign w:val="bottom"/>
          </w:tcPr>
          <w:p>
            <w:pPr>
              <w:spacing w:after="0"/>
              <w:rPr>
                <w:sz w:val="1"/>
                <w:szCs w:val="1"/>
                <w:color w:val="auto"/>
              </w:rPr>
            </w:pPr>
          </w:p>
        </w:tc>
      </w:tr>
      <w:tr>
        <w:trPr>
          <w:trHeight w:val="119"/>
        </w:trPr>
        <w:tc>
          <w:tcPr>
            <w:tcW w:w="1380" w:type="dxa"/>
            <w:vAlign w:val="bottom"/>
            <w:shd w:val="clear" w:color="auto" w:fill="CCEEFF"/>
          </w:tcPr>
          <w:p>
            <w:pPr>
              <w:spacing w:after="0"/>
              <w:rPr>
                <w:sz w:val="10"/>
                <w:szCs w:val="10"/>
                <w:color w:val="auto"/>
              </w:rPr>
            </w:pPr>
          </w:p>
        </w:tc>
        <w:tc>
          <w:tcPr>
            <w:tcW w:w="1280" w:type="dxa"/>
            <w:vAlign w:val="bottom"/>
            <w:shd w:val="clear" w:color="auto" w:fill="CCEEFF"/>
          </w:tcPr>
          <w:p>
            <w:pPr>
              <w:spacing w:after="0"/>
              <w:rPr>
                <w:sz w:val="10"/>
                <w:szCs w:val="10"/>
                <w:color w:val="auto"/>
              </w:rPr>
            </w:pPr>
          </w:p>
        </w:tc>
        <w:tc>
          <w:tcPr>
            <w:tcW w:w="940" w:type="dxa"/>
            <w:vAlign w:val="bottom"/>
            <w:shd w:val="clear" w:color="auto" w:fill="CCEEFF"/>
          </w:tcPr>
          <w:p>
            <w:pPr>
              <w:jc w:val="center"/>
              <w:spacing w:after="0" w:line="119" w:lineRule="exact"/>
              <w:rPr>
                <w:sz w:val="20"/>
                <w:szCs w:val="20"/>
                <w:color w:val="auto"/>
              </w:rPr>
            </w:pPr>
            <w:r>
              <w:rPr>
                <w:rFonts w:ascii="Arial" w:cs="Arial" w:eastAsia="Arial" w:hAnsi="Arial"/>
                <w:sz w:val="11"/>
                <w:szCs w:val="11"/>
                <w:color w:val="auto"/>
                <w:w w:val="99"/>
              </w:rPr>
              <w:t>August</w:t>
            </w:r>
          </w:p>
        </w:tc>
        <w:tc>
          <w:tcPr>
            <w:tcW w:w="960" w:type="dxa"/>
            <w:vAlign w:val="bottom"/>
            <w:shd w:val="clear" w:color="auto" w:fill="CCEEFF"/>
          </w:tcPr>
          <w:p>
            <w:pPr>
              <w:jc w:val="center"/>
              <w:ind w:left="83"/>
              <w:spacing w:after="0" w:line="119" w:lineRule="exact"/>
              <w:rPr>
                <w:sz w:val="20"/>
                <w:szCs w:val="20"/>
                <w:color w:val="auto"/>
              </w:rPr>
            </w:pPr>
            <w:r>
              <w:rPr>
                <w:rFonts w:ascii="Arial" w:cs="Arial" w:eastAsia="Arial" w:hAnsi="Arial"/>
                <w:sz w:val="11"/>
                <w:szCs w:val="11"/>
                <w:color w:val="auto"/>
                <w:w w:val="98"/>
              </w:rPr>
              <w:t>November</w:t>
            </w:r>
          </w:p>
        </w:tc>
        <w:tc>
          <w:tcPr>
            <w:tcW w:w="1080" w:type="dxa"/>
            <w:vAlign w:val="bottom"/>
            <w:shd w:val="clear" w:color="auto" w:fill="CCEEFF"/>
          </w:tcPr>
          <w:p>
            <w:pPr>
              <w:spacing w:after="0"/>
              <w:rPr>
                <w:sz w:val="10"/>
                <w:szCs w:val="10"/>
                <w:color w:val="auto"/>
              </w:rPr>
            </w:pPr>
          </w:p>
        </w:tc>
        <w:tc>
          <w:tcPr>
            <w:tcW w:w="5820" w:type="dxa"/>
            <w:vAlign w:val="bottom"/>
            <w:shd w:val="clear" w:color="auto" w:fill="CCEEFF"/>
          </w:tcPr>
          <w:p>
            <w:pPr>
              <w:ind w:left="120"/>
              <w:spacing w:after="0" w:line="119" w:lineRule="exact"/>
              <w:rPr>
                <w:sz w:val="20"/>
                <w:szCs w:val="20"/>
                <w:color w:val="auto"/>
              </w:rPr>
            </w:pPr>
            <w:r>
              <w:rPr>
                <w:rFonts w:ascii="Arial" w:cs="Arial" w:eastAsia="Arial" w:hAnsi="Arial"/>
                <w:sz w:val="11"/>
                <w:szCs w:val="11"/>
                <w:color w:val="auto"/>
                <w:w w:val="96"/>
              </w:rPr>
              <w:t>revenue requirement is included in requested rate increase and 20% is deferred until next rate case. The mechanism also</w:t>
            </w:r>
          </w:p>
        </w:tc>
        <w:tc>
          <w:tcPr>
            <w:tcW w:w="0" w:type="dxa"/>
            <w:vAlign w:val="bottom"/>
          </w:tcPr>
          <w:p>
            <w:pPr>
              <w:spacing w:after="0"/>
              <w:rPr>
                <w:sz w:val="1"/>
                <w:szCs w:val="1"/>
                <w:color w:val="auto"/>
              </w:rPr>
            </w:pPr>
          </w:p>
        </w:tc>
      </w:tr>
      <w:tr>
        <w:trPr>
          <w:trHeight w:val="155"/>
        </w:trPr>
        <w:tc>
          <w:tcPr>
            <w:tcW w:w="1380" w:type="dxa"/>
            <w:vAlign w:val="bottom"/>
            <w:shd w:val="clear" w:color="auto" w:fill="CCEEFF"/>
          </w:tcPr>
          <w:p>
            <w:pPr>
              <w:jc w:val="center"/>
              <w:ind w:left="63"/>
              <w:spacing w:after="0"/>
              <w:rPr>
                <w:sz w:val="20"/>
                <w:szCs w:val="20"/>
                <w:color w:val="auto"/>
              </w:rPr>
            </w:pPr>
            <w:r>
              <w:rPr>
                <w:rFonts w:ascii="Arial" w:cs="Arial" w:eastAsia="Arial" w:hAnsi="Arial"/>
                <w:sz w:val="11"/>
                <w:szCs w:val="11"/>
                <w:color w:val="auto"/>
              </w:rPr>
              <w:t xml:space="preserve">TDSIC </w:t>
            </w:r>
            <w:r>
              <w:rPr>
                <w:rFonts w:ascii="Arial" w:cs="Arial" w:eastAsia="Arial" w:hAnsi="Arial"/>
                <w:sz w:val="8"/>
                <w:szCs w:val="8"/>
                <w:color w:val="auto"/>
              </w:rPr>
              <w:t>(1)</w:t>
            </w:r>
          </w:p>
        </w:tc>
        <w:tc>
          <w:tcPr>
            <w:tcW w:w="1280" w:type="dxa"/>
            <w:vAlign w:val="bottom"/>
            <w:shd w:val="clear" w:color="auto" w:fill="CCEEFF"/>
          </w:tcPr>
          <w:p>
            <w:pPr>
              <w:jc w:val="center"/>
              <w:ind w:left="84"/>
              <w:spacing w:after="0"/>
              <w:rPr>
                <w:sz w:val="20"/>
                <w:szCs w:val="20"/>
                <w:color w:val="auto"/>
              </w:rPr>
            </w:pPr>
            <w:r>
              <w:rPr>
                <w:rFonts w:ascii="Arial" w:cs="Arial" w:eastAsia="Arial" w:hAnsi="Arial"/>
                <w:sz w:val="11"/>
                <w:szCs w:val="11"/>
                <w:color w:val="auto"/>
                <w:w w:val="97"/>
              </w:rPr>
              <w:t>4</w:t>
            </w:r>
          </w:p>
        </w:tc>
        <w:tc>
          <w:tcPr>
            <w:tcW w:w="94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89"/>
              </w:rPr>
              <w:t>2019</w:t>
            </w:r>
          </w:p>
        </w:tc>
        <w:tc>
          <w:tcPr>
            <w:tcW w:w="960" w:type="dxa"/>
            <w:vAlign w:val="bottom"/>
            <w:shd w:val="clear" w:color="auto" w:fill="CCEEFF"/>
          </w:tcPr>
          <w:p>
            <w:pPr>
              <w:jc w:val="center"/>
              <w:ind w:left="83"/>
              <w:spacing w:after="0"/>
              <w:rPr>
                <w:sz w:val="20"/>
                <w:szCs w:val="20"/>
                <w:color w:val="auto"/>
              </w:rPr>
            </w:pPr>
            <w:r>
              <w:rPr>
                <w:rFonts w:ascii="Arial" w:cs="Arial" w:eastAsia="Arial" w:hAnsi="Arial"/>
                <w:sz w:val="11"/>
                <w:szCs w:val="11"/>
                <w:color w:val="auto"/>
                <w:w w:val="89"/>
              </w:rPr>
              <w:t>2019</w:t>
            </w:r>
          </w:p>
        </w:tc>
        <w:tc>
          <w:tcPr>
            <w:tcW w:w="1080" w:type="dxa"/>
            <w:vAlign w:val="bottom"/>
            <w:shd w:val="clear" w:color="auto" w:fill="CCEEFF"/>
          </w:tcPr>
          <w:p>
            <w:pPr>
              <w:jc w:val="center"/>
              <w:ind w:left="83"/>
              <w:spacing w:after="0"/>
              <w:rPr>
                <w:sz w:val="20"/>
                <w:szCs w:val="20"/>
                <w:color w:val="auto"/>
              </w:rPr>
            </w:pPr>
            <w:r>
              <w:rPr>
                <w:rFonts w:ascii="Arial" w:cs="Arial" w:eastAsia="Arial" w:hAnsi="Arial"/>
                <w:sz w:val="11"/>
                <w:szCs w:val="11"/>
                <w:color w:val="auto"/>
                <w:w w:val="99"/>
              </w:rPr>
              <w:t>TBD</w:t>
            </w:r>
          </w:p>
        </w:tc>
        <w:tc>
          <w:tcPr>
            <w:tcW w:w="5820" w:type="dxa"/>
            <w:vAlign w:val="bottom"/>
            <w:shd w:val="clear" w:color="auto" w:fill="CCEEFF"/>
          </w:tcPr>
          <w:p>
            <w:pPr>
              <w:ind w:left="120"/>
              <w:spacing w:after="0"/>
              <w:rPr>
                <w:sz w:val="20"/>
                <w:szCs w:val="20"/>
                <w:color w:val="auto"/>
              </w:rPr>
            </w:pPr>
            <w:r>
              <w:rPr>
                <w:rFonts w:ascii="Arial" w:cs="Arial" w:eastAsia="Arial" w:hAnsi="Arial"/>
                <w:sz w:val="11"/>
                <w:szCs w:val="11"/>
                <w:color w:val="auto"/>
              </w:rPr>
              <w:t>includes a change in (over)/under-recovery variance of $4 million annually.</w:t>
            </w:r>
          </w:p>
        </w:tc>
        <w:tc>
          <w:tcPr>
            <w:tcW w:w="0" w:type="dxa"/>
            <w:vAlign w:val="bottom"/>
          </w:tcPr>
          <w:p>
            <w:pPr>
              <w:spacing w:after="0"/>
              <w:rPr>
                <w:sz w:val="1"/>
                <w:szCs w:val="1"/>
                <w:color w:val="auto"/>
              </w:rPr>
            </w:pPr>
          </w:p>
        </w:tc>
      </w:tr>
      <w:tr>
        <w:trPr>
          <w:trHeight w:val="125"/>
        </w:trPr>
        <w:tc>
          <w:tcPr>
            <w:tcW w:w="138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5820" w:type="dxa"/>
            <w:vAlign w:val="bottom"/>
          </w:tcPr>
          <w:p>
            <w:pPr>
              <w:ind w:left="120"/>
              <w:spacing w:after="0" w:line="125" w:lineRule="exact"/>
              <w:rPr>
                <w:sz w:val="20"/>
                <w:szCs w:val="20"/>
                <w:color w:val="auto"/>
              </w:rPr>
            </w:pPr>
            <w:r>
              <w:rPr>
                <w:rFonts w:ascii="Arial" w:cs="Arial" w:eastAsia="Arial" w:hAnsi="Arial"/>
                <w:sz w:val="11"/>
                <w:szCs w:val="11"/>
                <w:color w:val="auto"/>
                <w:w w:val="94"/>
              </w:rPr>
              <w:t>Requested an increase of $58 million to rate base, which reflects a $13 million annual increase in current revenues. 80% of</w:t>
            </w:r>
          </w:p>
        </w:tc>
        <w:tc>
          <w:tcPr>
            <w:tcW w:w="0" w:type="dxa"/>
            <w:vAlign w:val="bottom"/>
          </w:tcPr>
          <w:p>
            <w:pPr>
              <w:spacing w:after="0"/>
              <w:rPr>
                <w:sz w:val="1"/>
                <w:szCs w:val="1"/>
                <w:color w:val="auto"/>
              </w:rPr>
            </w:pPr>
          </w:p>
        </w:tc>
      </w:tr>
      <w:tr>
        <w:trPr>
          <w:trHeight w:val="119"/>
        </w:trPr>
        <w:tc>
          <w:tcPr>
            <w:tcW w:w="138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5820" w:type="dxa"/>
            <w:vAlign w:val="bottom"/>
          </w:tcPr>
          <w:p>
            <w:pPr>
              <w:ind w:left="120"/>
              <w:spacing w:after="0" w:line="119" w:lineRule="exact"/>
              <w:rPr>
                <w:sz w:val="20"/>
                <w:szCs w:val="20"/>
                <w:color w:val="auto"/>
              </w:rPr>
            </w:pPr>
            <w:r>
              <w:rPr>
                <w:rFonts w:ascii="Arial" w:cs="Arial" w:eastAsia="Arial" w:hAnsi="Arial"/>
                <w:sz w:val="11"/>
                <w:szCs w:val="11"/>
                <w:color w:val="auto"/>
                <w:w w:val="99"/>
              </w:rPr>
              <w:t>revenue requirement is included in requested rate increase and 20% is deferred until next rate case. The mechanism</w:t>
            </w:r>
          </w:p>
        </w:tc>
        <w:tc>
          <w:tcPr>
            <w:tcW w:w="0" w:type="dxa"/>
            <w:vAlign w:val="bottom"/>
          </w:tcPr>
          <w:p>
            <w:pPr>
              <w:spacing w:after="0"/>
              <w:rPr>
                <w:sz w:val="1"/>
                <w:szCs w:val="1"/>
                <w:color w:val="auto"/>
              </w:rPr>
            </w:pPr>
          </w:p>
        </w:tc>
      </w:tr>
      <w:tr>
        <w:trPr>
          <w:trHeight w:val="119"/>
        </w:trPr>
        <w:tc>
          <w:tcPr>
            <w:tcW w:w="138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940" w:type="dxa"/>
            <w:vAlign w:val="bottom"/>
          </w:tcPr>
          <w:p>
            <w:pPr>
              <w:jc w:val="center"/>
              <w:spacing w:after="0" w:line="119" w:lineRule="exact"/>
              <w:rPr>
                <w:sz w:val="20"/>
                <w:szCs w:val="20"/>
                <w:color w:val="auto"/>
              </w:rPr>
            </w:pPr>
            <w:r>
              <w:rPr>
                <w:rFonts w:ascii="Arial" w:cs="Arial" w:eastAsia="Arial" w:hAnsi="Arial"/>
                <w:sz w:val="11"/>
                <w:szCs w:val="11"/>
                <w:color w:val="auto"/>
                <w:w w:val="95"/>
              </w:rPr>
              <w:t>February</w:t>
            </w:r>
          </w:p>
        </w:tc>
        <w:tc>
          <w:tcPr>
            <w:tcW w:w="960" w:type="dxa"/>
            <w:vAlign w:val="bottom"/>
          </w:tcPr>
          <w:p>
            <w:pPr>
              <w:jc w:val="center"/>
              <w:ind w:left="83"/>
              <w:spacing w:after="0" w:line="119" w:lineRule="exact"/>
              <w:rPr>
                <w:sz w:val="20"/>
                <w:szCs w:val="20"/>
                <w:color w:val="auto"/>
              </w:rPr>
            </w:pPr>
            <w:r>
              <w:rPr>
                <w:rFonts w:ascii="Arial" w:cs="Arial" w:eastAsia="Arial" w:hAnsi="Arial"/>
                <w:sz w:val="11"/>
                <w:szCs w:val="11"/>
                <w:color w:val="auto"/>
                <w:w w:val="86"/>
              </w:rPr>
              <w:t>January</w:t>
            </w:r>
          </w:p>
        </w:tc>
        <w:tc>
          <w:tcPr>
            <w:tcW w:w="1080" w:type="dxa"/>
            <w:vAlign w:val="bottom"/>
          </w:tcPr>
          <w:p>
            <w:pPr>
              <w:jc w:val="center"/>
              <w:ind w:left="103"/>
              <w:spacing w:after="0" w:line="119" w:lineRule="exact"/>
              <w:rPr>
                <w:sz w:val="20"/>
                <w:szCs w:val="20"/>
                <w:color w:val="auto"/>
              </w:rPr>
            </w:pPr>
            <w:r>
              <w:rPr>
                <w:rFonts w:ascii="Arial" w:cs="Arial" w:eastAsia="Arial" w:hAnsi="Arial"/>
                <w:sz w:val="11"/>
                <w:szCs w:val="11"/>
                <w:color w:val="auto"/>
              </w:rPr>
              <w:t>April</w:t>
            </w:r>
          </w:p>
        </w:tc>
        <w:tc>
          <w:tcPr>
            <w:tcW w:w="5820" w:type="dxa"/>
            <w:vAlign w:val="bottom"/>
          </w:tcPr>
          <w:p>
            <w:pPr>
              <w:ind w:left="120"/>
              <w:spacing w:after="0" w:line="119" w:lineRule="exact"/>
              <w:rPr>
                <w:sz w:val="20"/>
                <w:szCs w:val="20"/>
                <w:color w:val="auto"/>
              </w:rPr>
            </w:pPr>
            <w:r>
              <w:rPr>
                <w:rFonts w:ascii="Arial" w:cs="Arial" w:eastAsia="Arial" w:hAnsi="Arial"/>
                <w:sz w:val="11"/>
                <w:szCs w:val="11"/>
                <w:color w:val="auto"/>
              </w:rPr>
              <w:t>includes recovery of prior accounting deferrals associated with investments (depreciation, carrying costs, operating</w:t>
            </w:r>
          </w:p>
        </w:tc>
        <w:tc>
          <w:tcPr>
            <w:tcW w:w="0" w:type="dxa"/>
            <w:vAlign w:val="bottom"/>
          </w:tcPr>
          <w:p>
            <w:pPr>
              <w:spacing w:after="0"/>
              <w:rPr>
                <w:sz w:val="1"/>
                <w:szCs w:val="1"/>
                <w:color w:val="auto"/>
              </w:rPr>
            </w:pPr>
          </w:p>
        </w:tc>
      </w:tr>
      <w:tr>
        <w:trPr>
          <w:trHeight w:val="151"/>
        </w:trPr>
        <w:tc>
          <w:tcPr>
            <w:tcW w:w="1380" w:type="dxa"/>
            <w:vAlign w:val="bottom"/>
          </w:tcPr>
          <w:p>
            <w:pPr>
              <w:jc w:val="center"/>
              <w:ind w:left="83"/>
              <w:spacing w:after="0"/>
              <w:rPr>
                <w:sz w:val="20"/>
                <w:szCs w:val="20"/>
                <w:color w:val="auto"/>
              </w:rPr>
            </w:pPr>
            <w:r>
              <w:rPr>
                <w:rFonts w:ascii="Arial" w:cs="Arial" w:eastAsia="Arial" w:hAnsi="Arial"/>
                <w:sz w:val="11"/>
                <w:szCs w:val="11"/>
                <w:color w:val="auto"/>
              </w:rPr>
              <w:t>ECA - MATS</w:t>
            </w:r>
          </w:p>
        </w:tc>
        <w:tc>
          <w:tcPr>
            <w:tcW w:w="1280" w:type="dxa"/>
            <w:vAlign w:val="bottom"/>
          </w:tcPr>
          <w:p>
            <w:pPr>
              <w:jc w:val="center"/>
              <w:ind w:left="64"/>
              <w:spacing w:after="0"/>
              <w:rPr>
                <w:sz w:val="20"/>
                <w:szCs w:val="20"/>
                <w:color w:val="auto"/>
              </w:rPr>
            </w:pPr>
            <w:r>
              <w:rPr>
                <w:rFonts w:ascii="Arial" w:cs="Arial" w:eastAsia="Arial" w:hAnsi="Arial"/>
                <w:sz w:val="11"/>
                <w:szCs w:val="11"/>
                <w:color w:val="auto"/>
                <w:w w:val="97"/>
              </w:rPr>
              <w:t>13</w:t>
            </w:r>
          </w:p>
        </w:tc>
        <w:tc>
          <w:tcPr>
            <w:tcW w:w="940" w:type="dxa"/>
            <w:vAlign w:val="bottom"/>
          </w:tcPr>
          <w:p>
            <w:pPr>
              <w:jc w:val="center"/>
              <w:spacing w:after="0"/>
              <w:rPr>
                <w:sz w:val="20"/>
                <w:szCs w:val="20"/>
                <w:color w:val="auto"/>
              </w:rPr>
            </w:pPr>
            <w:r>
              <w:rPr>
                <w:rFonts w:ascii="Arial" w:cs="Arial" w:eastAsia="Arial" w:hAnsi="Arial"/>
                <w:sz w:val="11"/>
                <w:szCs w:val="11"/>
                <w:color w:val="auto"/>
                <w:w w:val="89"/>
              </w:rPr>
              <w:t>2018</w:t>
            </w:r>
          </w:p>
        </w:tc>
        <w:tc>
          <w:tcPr>
            <w:tcW w:w="960" w:type="dxa"/>
            <w:vAlign w:val="bottom"/>
          </w:tcPr>
          <w:p>
            <w:pPr>
              <w:jc w:val="center"/>
              <w:ind w:left="83"/>
              <w:spacing w:after="0"/>
              <w:rPr>
                <w:sz w:val="20"/>
                <w:szCs w:val="20"/>
                <w:color w:val="auto"/>
              </w:rPr>
            </w:pPr>
            <w:r>
              <w:rPr>
                <w:rFonts w:ascii="Arial" w:cs="Arial" w:eastAsia="Arial" w:hAnsi="Arial"/>
                <w:sz w:val="11"/>
                <w:szCs w:val="11"/>
                <w:color w:val="auto"/>
                <w:w w:val="89"/>
              </w:rPr>
              <w:t>2019</w:t>
            </w:r>
          </w:p>
        </w:tc>
        <w:tc>
          <w:tcPr>
            <w:tcW w:w="1080" w:type="dxa"/>
            <w:vAlign w:val="bottom"/>
          </w:tcPr>
          <w:p>
            <w:pPr>
              <w:jc w:val="center"/>
              <w:ind w:left="83"/>
              <w:spacing w:after="0"/>
              <w:rPr>
                <w:sz w:val="20"/>
                <w:szCs w:val="20"/>
                <w:color w:val="auto"/>
              </w:rPr>
            </w:pPr>
            <w:r>
              <w:rPr>
                <w:rFonts w:ascii="Arial" w:cs="Arial" w:eastAsia="Arial" w:hAnsi="Arial"/>
                <w:sz w:val="11"/>
                <w:szCs w:val="11"/>
                <w:color w:val="auto"/>
                <w:w w:val="89"/>
              </w:rPr>
              <w:t>2019</w:t>
            </w:r>
          </w:p>
        </w:tc>
        <w:tc>
          <w:tcPr>
            <w:tcW w:w="5820" w:type="dxa"/>
            <w:vAlign w:val="bottom"/>
          </w:tcPr>
          <w:p>
            <w:pPr>
              <w:ind w:left="120"/>
              <w:spacing w:after="0"/>
              <w:rPr>
                <w:sz w:val="20"/>
                <w:szCs w:val="20"/>
                <w:color w:val="auto"/>
              </w:rPr>
            </w:pPr>
            <w:r>
              <w:rPr>
                <w:rFonts w:ascii="Arial" w:cs="Arial" w:eastAsia="Arial" w:hAnsi="Arial"/>
                <w:sz w:val="11"/>
                <w:szCs w:val="11"/>
                <w:color w:val="auto"/>
              </w:rPr>
              <w:t>expenses).</w:t>
            </w:r>
          </w:p>
        </w:tc>
        <w:tc>
          <w:tcPr>
            <w:tcW w:w="0" w:type="dxa"/>
            <w:vAlign w:val="bottom"/>
          </w:tcPr>
          <w:p>
            <w:pPr>
              <w:spacing w:after="0"/>
              <w:rPr>
                <w:sz w:val="1"/>
                <w:szCs w:val="1"/>
                <w:color w:val="auto"/>
              </w:rPr>
            </w:pPr>
          </w:p>
        </w:tc>
      </w:tr>
      <w:tr>
        <w:trPr>
          <w:trHeight w:val="129"/>
        </w:trPr>
        <w:tc>
          <w:tcPr>
            <w:tcW w:w="138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5820" w:type="dxa"/>
            <w:vAlign w:val="bottom"/>
            <w:shd w:val="clear" w:color="auto" w:fill="CCEEFF"/>
          </w:tcPr>
          <w:p>
            <w:pPr>
              <w:ind w:left="120"/>
              <w:spacing w:after="0"/>
              <w:rPr>
                <w:sz w:val="20"/>
                <w:szCs w:val="20"/>
                <w:color w:val="auto"/>
              </w:rPr>
            </w:pPr>
            <w:r>
              <w:rPr>
                <w:rFonts w:ascii="Arial" w:cs="Arial" w:eastAsia="Arial" w:hAnsi="Arial"/>
                <w:sz w:val="11"/>
                <w:szCs w:val="11"/>
                <w:color w:val="auto"/>
                <w:w w:val="99"/>
              </w:rPr>
              <w:t>Requested an increase of $13 million to rate base related to solar pilot investments, which reflects a $2 million annual</w:t>
            </w:r>
          </w:p>
        </w:tc>
        <w:tc>
          <w:tcPr>
            <w:tcW w:w="0" w:type="dxa"/>
            <w:vAlign w:val="bottom"/>
          </w:tcPr>
          <w:p>
            <w:pPr>
              <w:spacing w:after="0"/>
              <w:rPr>
                <w:sz w:val="1"/>
                <w:szCs w:val="1"/>
                <w:color w:val="auto"/>
              </w:rPr>
            </w:pPr>
          </w:p>
        </w:tc>
      </w:tr>
      <w:tr>
        <w:trPr>
          <w:trHeight w:val="119"/>
        </w:trPr>
        <w:tc>
          <w:tcPr>
            <w:tcW w:w="1380" w:type="dxa"/>
            <w:vAlign w:val="bottom"/>
            <w:shd w:val="clear" w:color="auto" w:fill="CCEEFF"/>
          </w:tcPr>
          <w:p>
            <w:pPr>
              <w:spacing w:after="0"/>
              <w:rPr>
                <w:sz w:val="10"/>
                <w:szCs w:val="10"/>
                <w:color w:val="auto"/>
              </w:rPr>
            </w:pPr>
          </w:p>
        </w:tc>
        <w:tc>
          <w:tcPr>
            <w:tcW w:w="1280" w:type="dxa"/>
            <w:vAlign w:val="bottom"/>
            <w:shd w:val="clear" w:color="auto" w:fill="CCEEFF"/>
          </w:tcPr>
          <w:p>
            <w:pPr>
              <w:spacing w:after="0"/>
              <w:rPr>
                <w:sz w:val="10"/>
                <w:szCs w:val="10"/>
                <w:color w:val="auto"/>
              </w:rPr>
            </w:pPr>
          </w:p>
        </w:tc>
        <w:tc>
          <w:tcPr>
            <w:tcW w:w="940" w:type="dxa"/>
            <w:vAlign w:val="bottom"/>
            <w:shd w:val="clear" w:color="auto" w:fill="CCEEFF"/>
          </w:tcPr>
          <w:p>
            <w:pPr>
              <w:jc w:val="center"/>
              <w:spacing w:after="0" w:line="119" w:lineRule="exact"/>
              <w:rPr>
                <w:sz w:val="20"/>
                <w:szCs w:val="20"/>
                <w:color w:val="auto"/>
              </w:rPr>
            </w:pPr>
            <w:r>
              <w:rPr>
                <w:rFonts w:ascii="Arial" w:cs="Arial" w:eastAsia="Arial" w:hAnsi="Arial"/>
                <w:sz w:val="11"/>
                <w:szCs w:val="11"/>
                <w:color w:val="auto"/>
                <w:w w:val="95"/>
              </w:rPr>
              <w:t>February</w:t>
            </w:r>
          </w:p>
        </w:tc>
        <w:tc>
          <w:tcPr>
            <w:tcW w:w="960" w:type="dxa"/>
            <w:vAlign w:val="bottom"/>
            <w:shd w:val="clear" w:color="auto" w:fill="CCEEFF"/>
          </w:tcPr>
          <w:p>
            <w:pPr>
              <w:jc w:val="center"/>
              <w:ind w:left="83"/>
              <w:spacing w:after="0" w:line="119" w:lineRule="exact"/>
              <w:rPr>
                <w:sz w:val="20"/>
                <w:szCs w:val="20"/>
                <w:color w:val="auto"/>
              </w:rPr>
            </w:pPr>
            <w:r>
              <w:rPr>
                <w:rFonts w:ascii="Arial" w:cs="Arial" w:eastAsia="Arial" w:hAnsi="Arial"/>
                <w:sz w:val="11"/>
                <w:szCs w:val="11"/>
                <w:color w:val="auto"/>
                <w:w w:val="92"/>
              </w:rPr>
              <w:t>June</w:t>
            </w:r>
          </w:p>
        </w:tc>
        <w:tc>
          <w:tcPr>
            <w:tcW w:w="1080" w:type="dxa"/>
            <w:vAlign w:val="bottom"/>
            <w:shd w:val="clear" w:color="auto" w:fill="CCEEFF"/>
          </w:tcPr>
          <w:p>
            <w:pPr>
              <w:jc w:val="center"/>
              <w:ind w:left="83"/>
              <w:spacing w:after="0" w:line="119" w:lineRule="exact"/>
              <w:rPr>
                <w:sz w:val="20"/>
                <w:szCs w:val="20"/>
                <w:color w:val="auto"/>
              </w:rPr>
            </w:pPr>
            <w:r>
              <w:rPr>
                <w:rFonts w:ascii="Arial" w:cs="Arial" w:eastAsia="Arial" w:hAnsi="Arial"/>
                <w:sz w:val="11"/>
                <w:szCs w:val="11"/>
                <w:color w:val="auto"/>
              </w:rPr>
              <w:t>May</w:t>
            </w:r>
          </w:p>
        </w:tc>
        <w:tc>
          <w:tcPr>
            <w:tcW w:w="5820" w:type="dxa"/>
            <w:vAlign w:val="bottom"/>
            <w:shd w:val="clear" w:color="auto" w:fill="CCEEFF"/>
          </w:tcPr>
          <w:p>
            <w:pPr>
              <w:ind w:left="120"/>
              <w:spacing w:after="0" w:line="119" w:lineRule="exact"/>
              <w:rPr>
                <w:sz w:val="20"/>
                <w:szCs w:val="20"/>
                <w:color w:val="auto"/>
              </w:rPr>
            </w:pPr>
            <w:r>
              <w:rPr>
                <w:rFonts w:ascii="Arial" w:cs="Arial" w:eastAsia="Arial" w:hAnsi="Arial"/>
                <w:sz w:val="11"/>
                <w:szCs w:val="11"/>
                <w:color w:val="auto"/>
              </w:rPr>
              <w:t>increase in current revenues. Additional solar investment to supply 50 MW of solar capacity is approved and will be</w:t>
            </w:r>
          </w:p>
        </w:tc>
        <w:tc>
          <w:tcPr>
            <w:tcW w:w="0" w:type="dxa"/>
            <w:vAlign w:val="bottom"/>
          </w:tcPr>
          <w:p>
            <w:pPr>
              <w:spacing w:after="0"/>
              <w:rPr>
                <w:sz w:val="1"/>
                <w:szCs w:val="1"/>
                <w:color w:val="auto"/>
              </w:rPr>
            </w:pPr>
          </w:p>
        </w:tc>
      </w:tr>
      <w:tr>
        <w:trPr>
          <w:trHeight w:val="155"/>
        </w:trPr>
        <w:tc>
          <w:tcPr>
            <w:tcW w:w="1380" w:type="dxa"/>
            <w:vAlign w:val="bottom"/>
            <w:shd w:val="clear" w:color="auto" w:fill="CCEEFF"/>
          </w:tcPr>
          <w:p>
            <w:pPr>
              <w:jc w:val="center"/>
              <w:ind w:left="63"/>
              <w:spacing w:after="0"/>
              <w:rPr>
                <w:sz w:val="20"/>
                <w:szCs w:val="20"/>
                <w:color w:val="auto"/>
              </w:rPr>
            </w:pPr>
            <w:r>
              <w:rPr>
                <w:rFonts w:ascii="Arial" w:cs="Arial" w:eastAsia="Arial" w:hAnsi="Arial"/>
                <w:sz w:val="11"/>
                <w:szCs w:val="11"/>
                <w:color w:val="auto"/>
                <w:w w:val="98"/>
              </w:rPr>
              <w:t>CECA</w:t>
            </w:r>
          </w:p>
        </w:tc>
        <w:tc>
          <w:tcPr>
            <w:tcW w:w="1280" w:type="dxa"/>
            <w:vAlign w:val="bottom"/>
            <w:shd w:val="clear" w:color="auto" w:fill="CCEEFF"/>
          </w:tcPr>
          <w:p>
            <w:pPr>
              <w:jc w:val="center"/>
              <w:ind w:left="84"/>
              <w:spacing w:after="0"/>
              <w:rPr>
                <w:sz w:val="20"/>
                <w:szCs w:val="20"/>
                <w:color w:val="auto"/>
              </w:rPr>
            </w:pPr>
            <w:r>
              <w:rPr>
                <w:rFonts w:ascii="Arial" w:cs="Arial" w:eastAsia="Arial" w:hAnsi="Arial"/>
                <w:sz w:val="11"/>
                <w:szCs w:val="11"/>
                <w:color w:val="auto"/>
                <w:w w:val="97"/>
              </w:rPr>
              <w:t>2</w:t>
            </w:r>
          </w:p>
        </w:tc>
        <w:tc>
          <w:tcPr>
            <w:tcW w:w="94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89"/>
              </w:rPr>
              <w:t>2019</w:t>
            </w:r>
          </w:p>
        </w:tc>
        <w:tc>
          <w:tcPr>
            <w:tcW w:w="960" w:type="dxa"/>
            <w:vAlign w:val="bottom"/>
            <w:shd w:val="clear" w:color="auto" w:fill="CCEEFF"/>
          </w:tcPr>
          <w:p>
            <w:pPr>
              <w:jc w:val="center"/>
              <w:ind w:left="83"/>
              <w:spacing w:after="0"/>
              <w:rPr>
                <w:sz w:val="20"/>
                <w:szCs w:val="20"/>
                <w:color w:val="auto"/>
              </w:rPr>
            </w:pPr>
            <w:r>
              <w:rPr>
                <w:rFonts w:ascii="Arial" w:cs="Arial" w:eastAsia="Arial" w:hAnsi="Arial"/>
                <w:sz w:val="11"/>
                <w:szCs w:val="11"/>
                <w:color w:val="auto"/>
                <w:w w:val="89"/>
              </w:rPr>
              <w:t>2019</w:t>
            </w:r>
          </w:p>
        </w:tc>
        <w:tc>
          <w:tcPr>
            <w:tcW w:w="1080" w:type="dxa"/>
            <w:vAlign w:val="bottom"/>
            <w:shd w:val="clear" w:color="auto" w:fill="CCEEFF"/>
          </w:tcPr>
          <w:p>
            <w:pPr>
              <w:jc w:val="center"/>
              <w:ind w:left="83"/>
              <w:spacing w:after="0"/>
              <w:rPr>
                <w:sz w:val="20"/>
                <w:szCs w:val="20"/>
                <w:color w:val="auto"/>
              </w:rPr>
            </w:pPr>
            <w:r>
              <w:rPr>
                <w:rFonts w:ascii="Arial" w:cs="Arial" w:eastAsia="Arial" w:hAnsi="Arial"/>
                <w:sz w:val="11"/>
                <w:szCs w:val="11"/>
                <w:color w:val="auto"/>
                <w:w w:val="89"/>
              </w:rPr>
              <w:t>2019</w:t>
            </w:r>
          </w:p>
        </w:tc>
        <w:tc>
          <w:tcPr>
            <w:tcW w:w="5820" w:type="dxa"/>
            <w:vAlign w:val="bottom"/>
            <w:shd w:val="clear" w:color="auto" w:fill="CCEEFF"/>
          </w:tcPr>
          <w:p>
            <w:pPr>
              <w:ind w:left="120"/>
              <w:spacing w:after="0"/>
              <w:rPr>
                <w:sz w:val="20"/>
                <w:szCs w:val="20"/>
                <w:color w:val="auto"/>
              </w:rPr>
            </w:pPr>
            <w:r>
              <w:rPr>
                <w:rFonts w:ascii="Arial" w:cs="Arial" w:eastAsia="Arial" w:hAnsi="Arial"/>
                <w:sz w:val="11"/>
                <w:szCs w:val="11"/>
                <w:color w:val="auto"/>
              </w:rPr>
              <w:t>included for recovery once completed in 2021.</w:t>
            </w:r>
          </w:p>
        </w:tc>
        <w:tc>
          <w:tcPr>
            <w:tcW w:w="0" w:type="dxa"/>
            <w:vAlign w:val="bottom"/>
          </w:tcPr>
          <w:p>
            <w:pPr>
              <w:spacing w:after="0"/>
              <w:rPr>
                <w:sz w:val="1"/>
                <w:szCs w:val="1"/>
                <w:color w:val="auto"/>
              </w:rPr>
            </w:pPr>
          </w:p>
        </w:tc>
      </w:tr>
    </w:tbl>
    <w:p>
      <w:pPr>
        <w:spacing w:after="0" w:line="162" w:lineRule="exact"/>
        <w:rPr>
          <w:sz w:val="20"/>
          <w:szCs w:val="20"/>
          <w:color w:val="auto"/>
        </w:rPr>
      </w:pPr>
    </w:p>
    <w:p>
      <w:pPr>
        <w:ind w:left="260"/>
        <w:spacing w:after="0"/>
        <w:rPr>
          <w:sz w:val="20"/>
          <w:szCs w:val="20"/>
          <w:color w:val="auto"/>
        </w:rPr>
      </w:pPr>
      <w:r>
        <w:rPr>
          <w:rFonts w:ascii="Arial" w:cs="Arial" w:eastAsia="Arial" w:hAnsi="Arial"/>
          <w:sz w:val="14"/>
          <w:szCs w:val="14"/>
          <w:color w:val="auto"/>
        </w:rPr>
        <w:t>(1)  Represents proposed increases (decreases) when effective date and/or approval date is not yet determined. Approved rates could differ materially from proposed rates.</w:t>
      </w:r>
    </w:p>
    <w:p>
      <w:pPr>
        <w:spacing w:after="0" w:line="184" w:lineRule="exact"/>
        <w:rPr>
          <w:sz w:val="20"/>
          <w:szCs w:val="20"/>
          <w:color w:val="auto"/>
        </w:rPr>
      </w:pPr>
    </w:p>
    <w:p>
      <w:pPr>
        <w:ind w:left="140"/>
        <w:spacing w:after="0"/>
        <w:rPr>
          <w:sz w:val="20"/>
          <w:szCs w:val="20"/>
          <w:color w:val="auto"/>
        </w:rPr>
      </w:pPr>
      <w:r>
        <w:rPr>
          <w:rFonts w:ascii="Arial" w:cs="Arial" w:eastAsia="Arial" w:hAnsi="Arial"/>
          <w:sz w:val="14"/>
          <w:szCs w:val="14"/>
          <w:b w:val="1"/>
          <w:bCs w:val="1"/>
          <w:i w:val="1"/>
          <w:iCs w:val="1"/>
          <w:color w:val="auto"/>
        </w:rPr>
        <w:t>Tax Reform</w:t>
      </w:r>
    </w:p>
    <w:p>
      <w:pPr>
        <w:spacing w:after="0" w:line="184" w:lineRule="exact"/>
        <w:rPr>
          <w:sz w:val="20"/>
          <w:szCs w:val="20"/>
          <w:color w:val="auto"/>
        </w:rPr>
      </w:pPr>
    </w:p>
    <w:p>
      <w:pPr>
        <w:jc w:val="both"/>
        <w:ind w:firstLine="259"/>
        <w:spacing w:after="0" w:line="267" w:lineRule="auto"/>
        <w:rPr>
          <w:sz w:val="20"/>
          <w:szCs w:val="20"/>
          <w:color w:val="auto"/>
        </w:rPr>
      </w:pPr>
      <w:r>
        <w:rPr>
          <w:rFonts w:ascii="Arial" w:cs="Arial" w:eastAsia="Arial" w:hAnsi="Arial"/>
          <w:sz w:val="14"/>
          <w:szCs w:val="14"/>
          <w:color w:val="auto"/>
        </w:rPr>
        <w:t>TCJA-related 2018 tax expense refunds are currently included in the Registrants’ existing rates and are therefore reducing the Registrants’ current annual revenue. The TCJA-related 2018 tax expense refunds for Houston Electric were completed in September 2019. However, in Houston Electric’s rate case filed in April 2019, and subsequently adjusted in errata filings in May and June 2019, Houston Electric is proposing to continue returning other benefits of the TCJA through a separate rider that will return approximately $119 million to customers over the next three years. The TCJA is also expected to continue to return benefits to customers through Houston Electric’s base rates by approximately $73 million per year.</w:t>
      </w:r>
    </w:p>
    <w:p>
      <w:pPr>
        <w:spacing w:after="0" w:line="146" w:lineRule="exact"/>
        <w:rPr>
          <w:sz w:val="20"/>
          <w:szCs w:val="20"/>
          <w:color w:val="auto"/>
        </w:rPr>
      </w:pPr>
    </w:p>
    <w:p>
      <w:pPr>
        <w:jc w:val="both"/>
        <w:ind w:firstLine="259"/>
        <w:spacing w:after="0" w:line="288" w:lineRule="auto"/>
        <w:rPr>
          <w:sz w:val="20"/>
          <w:szCs w:val="20"/>
          <w:color w:val="auto"/>
        </w:rPr>
      </w:pPr>
      <w:r>
        <w:rPr>
          <w:rFonts w:ascii="Arial" w:cs="Arial" w:eastAsia="Arial" w:hAnsi="Arial"/>
          <w:sz w:val="14"/>
          <w:szCs w:val="14"/>
          <w:color w:val="auto"/>
        </w:rPr>
        <w:t>CenterPoint Energy’s electric and natural gas utilities in Indiana and Ohio, which were acquired during the Merger, currently recover corporate income tax expense in approved rates charged to customers. The IURC and the PUCO both issued orders which</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87</w:t>
      </w:r>
    </w:p>
    <w:p>
      <w:pPr>
        <w:sectPr>
          <w:pgSz w:w="11900" w:h="16838" w:orient="portrait"/>
          <w:cols w:equalWidth="0" w:num="1">
            <w:col w:w="11460"/>
          </w:cols>
          <w:pgMar w:left="220" w:top="129" w:right="219" w:bottom="1440" w:gutter="0" w:footer="0" w:header="0"/>
        </w:sectPr>
      </w:pPr>
    </w:p>
    <w:bookmarkStart w:id="97" w:name="page98"/>
    <w:bookmarkEnd w:id="97"/>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205" w:lineRule="exact"/>
        <w:rPr>
          <w:sz w:val="20"/>
          <w:szCs w:val="20"/>
          <w:color w:val="auto"/>
        </w:rPr>
      </w:pPr>
    </w:p>
    <w:p>
      <w:pPr>
        <w:jc w:val="both"/>
        <w:spacing w:after="0" w:line="261" w:lineRule="auto"/>
        <w:rPr>
          <w:sz w:val="20"/>
          <w:szCs w:val="20"/>
          <w:color w:val="auto"/>
        </w:rPr>
      </w:pPr>
      <w:r>
        <w:rPr>
          <w:rFonts w:ascii="Arial" w:cs="Arial" w:eastAsia="Arial" w:hAnsi="Arial"/>
          <w:sz w:val="14"/>
          <w:szCs w:val="14"/>
          <w:color w:val="auto"/>
        </w:rPr>
        <w:t>initiated proceedings to investigate the impact of the TCJA on utility companies and customers within Indiana and Ohio, respectively. In addition, the IURC and PUCO have ordered each utility to establish regulatory liabilities to record all estimated impacts of tax reform starting January 1, 2018 until the date when rates are adjusted to capture these impacts. In Indiana, in response to Vectren’s pre-Merger filing for proposed changes to its rates and charges to consider the impact of the lower federal income tax rates, the IURC approved an initial reduction to current rates and charges, effective June 1, 2018, to capture the immediate impact of the lower corporate federal income tax rate. The refund of EDIT and regulatory liabilities commenced in November 2018 for Indiana electric customers and in January 2019 for Indiana gas customers. In Ohio, the initial rate reduction to current rates and charges became effective upon conclusion of its pending base rate case on August 28, 2019. In January 2019, an application was filed with PUCO in compliance with its October 2018 order requiring utilities to file for a request to adjust rates to reflect the impact of the TCJA, requesting authority to implement a rider to flow back to customers the tax benefits realized under the TCJA, including the refund of EDIT and regulatory liabilities. CenterPoint Energy expects this proceeding to be approved in the fourth quarter of 2019 or early 2020.</w:t>
      </w:r>
    </w:p>
    <w:p>
      <w:pPr>
        <w:spacing w:after="0" w:line="151" w:lineRule="exact"/>
        <w:rPr>
          <w:sz w:val="20"/>
          <w:szCs w:val="20"/>
          <w:color w:val="auto"/>
        </w:rPr>
      </w:pPr>
    </w:p>
    <w:p>
      <w:pPr>
        <w:ind w:left="140"/>
        <w:spacing w:after="0"/>
        <w:rPr>
          <w:sz w:val="20"/>
          <w:szCs w:val="20"/>
          <w:color w:val="auto"/>
        </w:rPr>
      </w:pPr>
      <w:r>
        <w:rPr>
          <w:rFonts w:ascii="Arial" w:cs="Arial" w:eastAsia="Arial" w:hAnsi="Arial"/>
          <w:sz w:val="14"/>
          <w:szCs w:val="14"/>
          <w:b w:val="1"/>
          <w:bCs w:val="1"/>
          <w:i w:val="1"/>
          <w:iCs w:val="1"/>
          <w:color w:val="auto"/>
        </w:rPr>
        <w:t>ELG (CenterPoint Energy)</w:t>
      </w:r>
    </w:p>
    <w:p>
      <w:pPr>
        <w:spacing w:after="0" w:line="184" w:lineRule="exact"/>
        <w:rPr>
          <w:sz w:val="20"/>
          <w:szCs w:val="20"/>
          <w:color w:val="auto"/>
        </w:rPr>
      </w:pPr>
    </w:p>
    <w:p>
      <w:pPr>
        <w:jc w:val="both"/>
        <w:ind w:firstLine="259"/>
        <w:spacing w:after="0" w:line="287" w:lineRule="auto"/>
        <w:rPr>
          <w:sz w:val="20"/>
          <w:szCs w:val="20"/>
          <w:color w:val="auto"/>
        </w:rPr>
      </w:pPr>
      <w:r>
        <w:rPr>
          <w:rFonts w:ascii="Arial" w:cs="Arial" w:eastAsia="Arial" w:hAnsi="Arial"/>
          <w:sz w:val="13"/>
          <w:szCs w:val="13"/>
          <w:color w:val="auto"/>
        </w:rPr>
        <w:t>Under the Clean Water Act, the EPA sets technology-based guidelines for water discharges from new and existing electric generation facilities. In September 2015, the EPA finalized revisions to the existing steam electric ELG setting stringent technology-based water discharge limits for the electric power industry. The EPA focused this rulemaking on wastewater generated primarily by pollution control equipment necessitated by the comprehensive air regulations, specifically setting strict water discharge limits for arsenic, mercury and selenium for scrubber waste waters. The ELG will be implemented when existing water discharge permits for the plants are renewed. In the case of Indiana Electric’s water discharge permits, in 2017 the IDEM issued final renewals for the F.B. Culley and A.B. Brown power plants. IDEM agreed that units identified for retirement by December 2023 would not be required to install new treatment technology to meet ELG, and approved a 2020 compliance date for dry bottom ash and a 2023 compliance date for flue gas desulfurization wastewater treatment standards for the remaining coal-fired unit at F.B. Culley.</w:t>
      </w:r>
    </w:p>
    <w:p>
      <w:pPr>
        <w:spacing w:after="0" w:line="134" w:lineRule="exact"/>
        <w:rPr>
          <w:sz w:val="20"/>
          <w:szCs w:val="20"/>
          <w:color w:val="auto"/>
        </w:rPr>
      </w:pPr>
    </w:p>
    <w:p>
      <w:pPr>
        <w:jc w:val="both"/>
        <w:ind w:firstLine="259"/>
        <w:spacing w:after="0" w:line="283" w:lineRule="auto"/>
        <w:rPr>
          <w:sz w:val="20"/>
          <w:szCs w:val="20"/>
          <w:color w:val="auto"/>
        </w:rPr>
      </w:pPr>
      <w:r>
        <w:rPr>
          <w:rFonts w:ascii="Arial" w:cs="Arial" w:eastAsia="Arial" w:hAnsi="Arial"/>
          <w:sz w:val="13"/>
          <w:szCs w:val="13"/>
          <w:color w:val="auto"/>
        </w:rPr>
        <w:t>On April 13, 2017, as part of the U.S. President’s Administration’s regulatory reform initiative, which is focused on the number and nature of regulations, the EPA granted petitions to reconsider the ELG rule, and indicated it would stay the current implementation deadlines in the rule during the pendency of the reconsideration. On September 13, 2017, the EPA finalized a rule postponing certain interim compliance dates by two years, but did not postpone the final compliance deadline of December 31, 2023. In April 2018, the EPA published an effluent guidelines program plan that anticipated a December 2019 rule revising the effluent limitations and pre-treatment standards for existing sources in the 2015 rule. On April 12, 2019, the U.S. Court of Appeals for the Fifth Circuit vacated and remanded portions of the ELG rule that selected impoundment as the best available technology for legacy wastewater and leachate. It is not clear what revisions to the ELG rule the EPA will implement, or what effect those revisions may have. As Indiana Electric does not currently have short-term ELG implementation deadlines in its recently renewed wastewater discharge permits, it does not anticipate immediate impacts from the EPA’s two-year extension of preliminary implementation deadlines due to the longer compliance time frames granted by IDEM and will continue to work with IDEM to evaluate further implementation plans. On November 4, 2019, the EPA released a pre-publication copy of proposed revisions to the CCR and ELG rules. CenterPoint Energy will evaluate the proposals to determine potential impacts to current compliance plans for its A.B. Brown and F.B. Culley generating stations.</w:t>
      </w:r>
    </w:p>
    <w:p>
      <w:pPr>
        <w:spacing w:after="0" w:line="138" w:lineRule="exact"/>
        <w:rPr>
          <w:sz w:val="20"/>
          <w:szCs w:val="20"/>
          <w:color w:val="auto"/>
        </w:rPr>
      </w:pPr>
    </w:p>
    <w:p>
      <w:pPr>
        <w:ind w:left="140"/>
        <w:spacing w:after="0"/>
        <w:rPr>
          <w:sz w:val="20"/>
          <w:szCs w:val="20"/>
          <w:color w:val="auto"/>
        </w:rPr>
      </w:pPr>
      <w:r>
        <w:rPr>
          <w:rFonts w:ascii="Arial" w:cs="Arial" w:eastAsia="Arial" w:hAnsi="Arial"/>
          <w:sz w:val="14"/>
          <w:szCs w:val="14"/>
          <w:b w:val="1"/>
          <w:bCs w:val="1"/>
          <w:i w:val="1"/>
          <w:iCs w:val="1"/>
          <w:color w:val="auto"/>
        </w:rPr>
        <w:t>CPP and ACE Rule (CenterPoint Energy)</w:t>
      </w:r>
    </w:p>
    <w:p>
      <w:pPr>
        <w:spacing w:after="0" w:line="184" w:lineRule="exact"/>
        <w:rPr>
          <w:sz w:val="20"/>
          <w:szCs w:val="20"/>
          <w:color w:val="auto"/>
        </w:rPr>
      </w:pPr>
    </w:p>
    <w:p>
      <w:pPr>
        <w:jc w:val="both"/>
        <w:ind w:firstLine="259"/>
        <w:spacing w:after="0" w:line="289" w:lineRule="auto"/>
        <w:rPr>
          <w:sz w:val="20"/>
          <w:szCs w:val="20"/>
          <w:color w:val="auto"/>
        </w:rPr>
      </w:pPr>
      <w:r>
        <w:rPr>
          <w:rFonts w:ascii="Arial" w:cs="Arial" w:eastAsia="Arial" w:hAnsi="Arial"/>
          <w:sz w:val="13"/>
          <w:szCs w:val="13"/>
          <w:color w:val="auto"/>
        </w:rPr>
        <w:t>On August 3, 2015, the EPA released its CPP Rule, which required a 32% reduction in carbon emissions from 2005 levels. The final rule was published in the Federal Register on October 23, 2015, and that action was immediately followed by litigation ultimately resulting in the U.S. Supreme Court staying implementation of the rule. On August 31, 2018, the EPA published its proposed CPP replacement rule, the ACE Rule, which was finalized on July 8, 2019 and requires states to implement a program of energy efficiency improvement targets for individual coal-fired electric generating units. States have three years to develop state plans to implement the ACE rule, and CenterPoint Energy does not expect a state ACE rule to be finalized and approved by the EPA until 2024. CenterPoint Energy is currently unable to predict the effect of a state plan to implement the ACE rule but does not anticipate that such a plan would have a material effect.</w:t>
      </w:r>
    </w:p>
    <w:p>
      <w:pPr>
        <w:spacing w:after="0" w:line="134" w:lineRule="exact"/>
        <w:rPr>
          <w:sz w:val="20"/>
          <w:szCs w:val="20"/>
          <w:color w:val="auto"/>
        </w:rPr>
      </w:pPr>
    </w:p>
    <w:p>
      <w:pPr>
        <w:ind w:left="140"/>
        <w:spacing w:after="0"/>
        <w:rPr>
          <w:sz w:val="20"/>
          <w:szCs w:val="20"/>
          <w:color w:val="auto"/>
        </w:rPr>
      </w:pPr>
      <w:r>
        <w:rPr>
          <w:rFonts w:ascii="Arial" w:cs="Arial" w:eastAsia="Arial" w:hAnsi="Arial"/>
          <w:sz w:val="14"/>
          <w:szCs w:val="14"/>
          <w:b w:val="1"/>
          <w:bCs w:val="1"/>
          <w:i w:val="1"/>
          <w:iCs w:val="1"/>
          <w:color w:val="auto"/>
        </w:rPr>
        <w:t>Impact of Legislative Actions &amp; Other Initiatives (CenterPoint Energy)</w:t>
      </w:r>
    </w:p>
    <w:p>
      <w:pPr>
        <w:spacing w:after="0" w:line="184" w:lineRule="exact"/>
        <w:rPr>
          <w:sz w:val="20"/>
          <w:szCs w:val="20"/>
          <w:color w:val="auto"/>
        </w:rPr>
      </w:pPr>
    </w:p>
    <w:p>
      <w:pPr>
        <w:jc w:val="both"/>
        <w:ind w:firstLine="259"/>
        <w:spacing w:after="0" w:line="288" w:lineRule="auto"/>
        <w:rPr>
          <w:sz w:val="20"/>
          <w:szCs w:val="20"/>
          <w:color w:val="auto"/>
        </w:rPr>
      </w:pPr>
      <w:r>
        <w:rPr>
          <w:rFonts w:ascii="Arial" w:cs="Arial" w:eastAsia="Arial" w:hAnsi="Arial"/>
          <w:sz w:val="14"/>
          <w:szCs w:val="14"/>
          <w:color w:val="auto"/>
        </w:rPr>
        <w:t>At this time, compliance costs and other effects associated with reductions in GHG emissions or obtaining renewable energy sources remain uncertain. While the requirements of a state ACE rule remain uncertain, Indiana Electric will continue to monitor regulatory activity regarding GHG emission standards that may affect its electric generating units.</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88</w:t>
      </w:r>
    </w:p>
    <w:p>
      <w:pPr>
        <w:sectPr>
          <w:pgSz w:w="11900" w:h="16838" w:orient="portrait"/>
          <w:cols w:equalWidth="0" w:num="1">
            <w:col w:w="11460"/>
          </w:cols>
          <w:pgMar w:left="220" w:top="129" w:right="219" w:bottom="1440" w:gutter="0" w:footer="0" w:header="0"/>
        </w:sectPr>
      </w:pPr>
    </w:p>
    <w:bookmarkStart w:id="98" w:name="page99"/>
    <w:bookmarkEnd w:id="98"/>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378" w:lineRule="exact"/>
        <w:rPr>
          <w:sz w:val="20"/>
          <w:szCs w:val="20"/>
          <w:color w:val="auto"/>
        </w:rPr>
      </w:pPr>
    </w:p>
    <w:p>
      <w:pPr>
        <w:ind w:left="140"/>
        <w:spacing w:after="0"/>
        <w:rPr>
          <w:sz w:val="20"/>
          <w:szCs w:val="20"/>
          <w:color w:val="auto"/>
        </w:rPr>
      </w:pPr>
      <w:r>
        <w:rPr>
          <w:rFonts w:ascii="Arial" w:cs="Arial" w:eastAsia="Arial" w:hAnsi="Arial"/>
          <w:sz w:val="14"/>
          <w:szCs w:val="14"/>
          <w:b w:val="1"/>
          <w:bCs w:val="1"/>
          <w:i w:val="1"/>
          <w:iCs w:val="1"/>
          <w:color w:val="auto"/>
        </w:rPr>
        <w:t>FERC Revised Policy Statement (CenterPoint Energy and CERC)</w:t>
      </w:r>
    </w:p>
    <w:p>
      <w:pPr>
        <w:spacing w:after="0" w:line="184" w:lineRule="exact"/>
        <w:rPr>
          <w:sz w:val="20"/>
          <w:szCs w:val="20"/>
          <w:color w:val="auto"/>
        </w:rPr>
      </w:pPr>
    </w:p>
    <w:p>
      <w:pPr>
        <w:jc w:val="both"/>
        <w:ind w:firstLine="259"/>
        <w:spacing w:after="0" w:line="283" w:lineRule="auto"/>
        <w:rPr>
          <w:sz w:val="20"/>
          <w:szCs w:val="20"/>
          <w:color w:val="auto"/>
        </w:rPr>
      </w:pPr>
      <w:r>
        <w:rPr>
          <w:rFonts w:ascii="Arial" w:cs="Arial" w:eastAsia="Arial" w:hAnsi="Arial"/>
          <w:sz w:val="13"/>
          <w:szCs w:val="13"/>
          <w:color w:val="auto"/>
        </w:rPr>
        <w:t>The regulation of midstream energy infrastructure assets has a significant impact on Enable’s business. For example, Enable’s interstate natural gas transportation and storage assets are subject to regulation by the FERC under the Natural Gas Act. In March 2018, the FERC announced a Revised Policy Statement stating that it would no longer allow pipelines organized as a master limited partnership to recover an income tax allowance in their cost-of-service rates. In July 2018, the FERC issued new regulations which required all FERC-regulated natural gas pipelines to make a one-time Form No. 501-G filing providing certain financial information. In October 2018, Enable Gas Transmission, LLC filed its Form No. 501-G and filed a statement that it intended to take no other action. On March 8, 2019, the FERC terminated the 501-G proceeding and required no other action. MRT did not file a FERC Form No. 501-G because it had filed a general rate case in June 2018. In July 2018, the FERC issued an order accepting MRT’s proposed rate increases subject to refund upon a final determination of MRT’s rates and ordering MRT to refile its rate case to reflect the elimination of an income tax allowance in its cost-of-service rates. On August 30, 2018, MRT submitted a supplemental filing to comply with the FERC’s order. MRT has appealed the FERC’s order to eliminate the income tax allowance in its cost-of-service rates. The FERC set MRT’s re-filed rate case for hearing. The procedural schedule has been suspended to afford MRT time to file a settlement. If a settlement is not filed or all of the participants do not agree to a settlement, then the proceeding may advance to hearing.</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Other Matters</w:t>
      </w:r>
    </w:p>
    <w:p>
      <w:pPr>
        <w:spacing w:after="0" w:line="188" w:lineRule="exact"/>
        <w:rPr>
          <w:sz w:val="20"/>
          <w:szCs w:val="20"/>
          <w:color w:val="auto"/>
        </w:rPr>
      </w:pPr>
    </w:p>
    <w:p>
      <w:pPr>
        <w:ind w:left="140"/>
        <w:spacing w:after="0"/>
        <w:rPr>
          <w:sz w:val="20"/>
          <w:szCs w:val="20"/>
          <w:color w:val="auto"/>
        </w:rPr>
      </w:pPr>
      <w:r>
        <w:rPr>
          <w:rFonts w:ascii="Arial" w:cs="Arial" w:eastAsia="Arial" w:hAnsi="Arial"/>
          <w:sz w:val="14"/>
          <w:szCs w:val="14"/>
          <w:b w:val="1"/>
          <w:bCs w:val="1"/>
          <w:i w:val="1"/>
          <w:iCs w:val="1"/>
          <w:color w:val="auto"/>
        </w:rPr>
        <w:t>Credit Facilities</w:t>
      </w:r>
    </w:p>
    <w:p>
      <w:pPr>
        <w:spacing w:after="0" w:line="184" w:lineRule="exact"/>
        <w:rPr>
          <w:sz w:val="20"/>
          <w:szCs w:val="20"/>
          <w:color w:val="auto"/>
        </w:rPr>
      </w:pPr>
    </w:p>
    <w:p>
      <w:pPr>
        <w:jc w:val="both"/>
        <w:ind w:firstLine="259"/>
        <w:spacing w:after="0" w:line="272" w:lineRule="auto"/>
        <w:rPr>
          <w:sz w:val="20"/>
          <w:szCs w:val="20"/>
          <w:color w:val="auto"/>
        </w:rPr>
      </w:pPr>
      <w:r>
        <w:rPr>
          <w:rFonts w:ascii="Arial" w:cs="Arial" w:eastAsia="Arial" w:hAnsi="Arial"/>
          <w:sz w:val="14"/>
          <w:szCs w:val="14"/>
          <w:color w:val="auto"/>
        </w:rPr>
        <w:t>The Registrants may draw on their respective revolving credit facilities from time to time to provide funds used for general corporate and limited liability company purposes, including to backstop CenterPoint Energy’s and CERC’s commercial paper programs. The facilities may also be utilized to obtain letters of credit. For further details related to the Registrants’ revolving credit facilities, please see Note 12 to the Interim Condensed Financial Statements.</w:t>
      </w:r>
    </w:p>
    <w:p>
      <w:pPr>
        <w:spacing w:after="0" w:line="142" w:lineRule="exact"/>
        <w:rPr>
          <w:sz w:val="20"/>
          <w:szCs w:val="20"/>
          <w:color w:val="auto"/>
        </w:rPr>
      </w:pPr>
    </w:p>
    <w:p>
      <w:pPr>
        <w:jc w:val="both"/>
        <w:ind w:firstLine="259"/>
        <w:spacing w:after="0" w:line="272" w:lineRule="auto"/>
        <w:rPr>
          <w:sz w:val="20"/>
          <w:szCs w:val="20"/>
          <w:color w:val="auto"/>
        </w:rPr>
      </w:pPr>
      <w:r>
        <w:rPr>
          <w:rFonts w:ascii="Arial" w:cs="Arial" w:eastAsia="Arial" w:hAnsi="Arial"/>
          <w:sz w:val="14"/>
          <w:szCs w:val="14"/>
          <w:color w:val="auto"/>
        </w:rPr>
        <w:t>Based on the consolidated debt to capitalization covenant in the Registrants’ revolving credit facilities, the Registrants would have been permitted to utilize the full capacity of such revolving credit facilities, which aggregated approximately $5.1 billion as of September 30, 2019. As of October 25, 2019, the Registrants had the following revolving credit facilities and utilization of such facilities: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2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3720" w:type="dxa"/>
            <w:vAlign w:val="bottom"/>
            <w:tcBorders>
              <w:bottom w:val="single" w:sz="8" w:color="auto"/>
            </w:tcBorders>
            <w:gridSpan w:val="7"/>
          </w:tcPr>
          <w:p>
            <w:pPr>
              <w:jc w:val="center"/>
              <w:ind w:right="190"/>
              <w:spacing w:after="0"/>
              <w:rPr>
                <w:sz w:val="20"/>
                <w:szCs w:val="20"/>
                <w:color w:val="auto"/>
              </w:rPr>
            </w:pPr>
            <w:r>
              <w:rPr>
                <w:rFonts w:ascii="Arial" w:cs="Arial" w:eastAsia="Arial" w:hAnsi="Arial"/>
                <w:sz w:val="11"/>
                <w:szCs w:val="11"/>
                <w:b w:val="1"/>
                <w:bCs w:val="1"/>
                <w:color w:val="auto"/>
                <w:w w:val="95"/>
              </w:rPr>
              <w:t>Amount Utilized as of October 25, 2019</w:t>
            </w: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2880" w:type="dxa"/>
            <w:vAlign w:val="bottom"/>
            <w:gridSpan w:val="2"/>
            <w:vMerge w:val="restart"/>
          </w:tcPr>
          <w:p>
            <w:pPr>
              <w:ind w:left="1120"/>
              <w:spacing w:after="0"/>
              <w:rPr>
                <w:sz w:val="20"/>
                <w:szCs w:val="20"/>
                <w:color w:val="auto"/>
              </w:rPr>
            </w:pPr>
            <w:r>
              <w:rPr>
                <w:rFonts w:ascii="Arial" w:cs="Arial" w:eastAsia="Arial" w:hAnsi="Arial"/>
                <w:sz w:val="11"/>
                <w:szCs w:val="11"/>
                <w:b w:val="1"/>
                <w:bCs w:val="1"/>
                <w:color w:val="auto"/>
              </w:rPr>
              <w:t>Registrant</w:t>
            </w:r>
          </w:p>
        </w:tc>
        <w:tc>
          <w:tcPr>
            <w:tcW w:w="180" w:type="dxa"/>
            <w:vAlign w:val="bottom"/>
          </w:tcPr>
          <w:p>
            <w:pPr>
              <w:spacing w:after="0"/>
              <w:rPr>
                <w:sz w:val="9"/>
                <w:szCs w:val="9"/>
                <w:color w:val="auto"/>
              </w:rPr>
            </w:pPr>
          </w:p>
        </w:tc>
        <w:tc>
          <w:tcPr>
            <w:tcW w:w="1220" w:type="dxa"/>
            <w:vAlign w:val="bottom"/>
            <w:gridSpan w:val="2"/>
            <w:vMerge w:val="restart"/>
          </w:tcPr>
          <w:p>
            <w:pPr>
              <w:ind w:left="100"/>
              <w:spacing w:after="0"/>
              <w:rPr>
                <w:sz w:val="20"/>
                <w:szCs w:val="20"/>
                <w:color w:val="auto"/>
              </w:rPr>
            </w:pPr>
            <w:r>
              <w:rPr>
                <w:rFonts w:ascii="Arial" w:cs="Arial" w:eastAsia="Arial" w:hAnsi="Arial"/>
                <w:sz w:val="11"/>
                <w:szCs w:val="11"/>
                <w:b w:val="1"/>
                <w:bCs w:val="1"/>
                <w:color w:val="auto"/>
              </w:rPr>
              <w:t>Size of Facility</w:t>
            </w:r>
          </w:p>
        </w:tc>
        <w:tc>
          <w:tcPr>
            <w:tcW w:w="280" w:type="dxa"/>
            <w:vAlign w:val="bottom"/>
          </w:tcPr>
          <w:p>
            <w:pPr>
              <w:spacing w:after="0"/>
              <w:rPr>
                <w:sz w:val="9"/>
                <w:szCs w:val="9"/>
                <w:color w:val="auto"/>
              </w:rPr>
            </w:pPr>
          </w:p>
        </w:tc>
        <w:tc>
          <w:tcPr>
            <w:tcW w:w="1100" w:type="dxa"/>
            <w:vAlign w:val="bottom"/>
            <w:gridSpan w:val="2"/>
            <w:vMerge w:val="restart"/>
          </w:tcPr>
          <w:p>
            <w:pPr>
              <w:ind w:left="200"/>
              <w:spacing w:after="0"/>
              <w:rPr>
                <w:sz w:val="20"/>
                <w:szCs w:val="20"/>
                <w:color w:val="auto"/>
              </w:rPr>
            </w:pPr>
            <w:r>
              <w:rPr>
                <w:rFonts w:ascii="Arial" w:cs="Arial" w:eastAsia="Arial" w:hAnsi="Arial"/>
                <w:sz w:val="11"/>
                <w:szCs w:val="11"/>
                <w:b w:val="1"/>
                <w:bCs w:val="1"/>
                <w:color w:val="auto"/>
              </w:rPr>
              <w:t>Loans</w:t>
            </w:r>
          </w:p>
        </w:tc>
        <w:tc>
          <w:tcPr>
            <w:tcW w:w="220" w:type="dxa"/>
            <w:vAlign w:val="bottom"/>
          </w:tcPr>
          <w:p>
            <w:pPr>
              <w:spacing w:after="0"/>
              <w:rPr>
                <w:sz w:val="9"/>
                <w:szCs w:val="9"/>
                <w:color w:val="auto"/>
              </w:rPr>
            </w:pPr>
          </w:p>
        </w:tc>
        <w:tc>
          <w:tcPr>
            <w:tcW w:w="1160" w:type="dxa"/>
            <w:vAlign w:val="bottom"/>
            <w:gridSpan w:val="2"/>
            <w:vMerge w:val="restart"/>
          </w:tcPr>
          <w:p>
            <w:pPr>
              <w:jc w:val="center"/>
              <w:ind w:right="320"/>
              <w:spacing w:after="0"/>
              <w:rPr>
                <w:sz w:val="20"/>
                <w:szCs w:val="20"/>
                <w:color w:val="auto"/>
              </w:rPr>
            </w:pPr>
            <w:r>
              <w:rPr>
                <w:rFonts w:ascii="Arial" w:cs="Arial" w:eastAsia="Arial" w:hAnsi="Arial"/>
                <w:sz w:val="11"/>
                <w:szCs w:val="11"/>
                <w:b w:val="1"/>
                <w:bCs w:val="1"/>
                <w:color w:val="auto"/>
                <w:w w:val="98"/>
              </w:rPr>
              <w:t>Letters of Credit</w:t>
            </w:r>
          </w:p>
        </w:tc>
        <w:tc>
          <w:tcPr>
            <w:tcW w:w="120" w:type="dxa"/>
            <w:vAlign w:val="bottom"/>
          </w:tcPr>
          <w:p>
            <w:pPr>
              <w:spacing w:after="0"/>
              <w:rPr>
                <w:sz w:val="9"/>
                <w:szCs w:val="9"/>
                <w:color w:val="auto"/>
              </w:rPr>
            </w:pPr>
          </w:p>
        </w:tc>
        <w:tc>
          <w:tcPr>
            <w:tcW w:w="1120" w:type="dxa"/>
            <w:vAlign w:val="bottom"/>
            <w:vMerge w:val="restart"/>
          </w:tcPr>
          <w:p>
            <w:pPr>
              <w:jc w:val="right"/>
              <w:ind w:right="90"/>
              <w:spacing w:after="0"/>
              <w:rPr>
                <w:sz w:val="20"/>
                <w:szCs w:val="20"/>
                <w:color w:val="auto"/>
              </w:rPr>
            </w:pPr>
            <w:r>
              <w:rPr>
                <w:rFonts w:ascii="Arial" w:cs="Arial" w:eastAsia="Arial" w:hAnsi="Arial"/>
                <w:sz w:val="11"/>
                <w:szCs w:val="11"/>
                <w:b w:val="1"/>
                <w:bCs w:val="1"/>
                <w:color w:val="auto"/>
                <w:w w:val="97"/>
              </w:rPr>
              <w:t>Commercial Paper</w:t>
            </w:r>
          </w:p>
        </w:tc>
        <w:tc>
          <w:tcPr>
            <w:tcW w:w="120" w:type="dxa"/>
            <w:vAlign w:val="bottom"/>
          </w:tcPr>
          <w:p>
            <w:pPr>
              <w:spacing w:after="0"/>
              <w:rPr>
                <w:sz w:val="9"/>
                <w:szCs w:val="9"/>
                <w:color w:val="auto"/>
              </w:rPr>
            </w:pPr>
          </w:p>
        </w:tc>
        <w:tc>
          <w:tcPr>
            <w:tcW w:w="1340" w:type="dxa"/>
            <w:vAlign w:val="bottom"/>
            <w:gridSpan w:val="2"/>
          </w:tcPr>
          <w:p>
            <w:pPr>
              <w:jc w:val="center"/>
              <w:ind w:right="120"/>
              <w:spacing w:after="0" w:line="112" w:lineRule="exact"/>
              <w:rPr>
                <w:sz w:val="20"/>
                <w:szCs w:val="20"/>
                <w:color w:val="auto"/>
              </w:rPr>
            </w:pPr>
            <w:r>
              <w:rPr>
                <w:rFonts w:ascii="Arial" w:cs="Arial" w:eastAsia="Arial" w:hAnsi="Arial"/>
                <w:sz w:val="11"/>
                <w:szCs w:val="11"/>
                <w:b w:val="1"/>
                <w:bCs w:val="1"/>
                <w:color w:val="auto"/>
                <w:w w:val="93"/>
              </w:rPr>
              <w:t>Weighted Average</w:t>
            </w:r>
          </w:p>
        </w:tc>
        <w:tc>
          <w:tcPr>
            <w:tcW w:w="172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5"/>
              </w:rPr>
              <w:t>Termination Date</w:t>
            </w:r>
          </w:p>
        </w:tc>
        <w:tc>
          <w:tcPr>
            <w:tcW w:w="0" w:type="dxa"/>
            <w:vAlign w:val="bottom"/>
          </w:tcPr>
          <w:p>
            <w:pPr>
              <w:spacing w:after="0"/>
              <w:rPr>
                <w:sz w:val="1"/>
                <w:szCs w:val="1"/>
                <w:color w:val="auto"/>
              </w:rPr>
            </w:pPr>
          </w:p>
        </w:tc>
      </w:tr>
      <w:tr>
        <w:trPr>
          <w:trHeight w:val="153"/>
        </w:trPr>
        <w:tc>
          <w:tcPr>
            <w:tcW w:w="288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10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5"/>
              </w:rPr>
              <w:t>Interest Rate</w:t>
            </w:r>
          </w:p>
        </w:tc>
        <w:tc>
          <w:tcPr>
            <w:tcW w:w="17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27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gridSpan w:val="3"/>
          </w:tcPr>
          <w:p>
            <w:pPr>
              <w:ind w:left="740"/>
              <w:spacing w:after="0"/>
              <w:rPr>
                <w:sz w:val="20"/>
                <w:szCs w:val="20"/>
                <w:color w:val="auto"/>
              </w:rPr>
            </w:pPr>
            <w:r>
              <w:rPr>
                <w:rFonts w:ascii="Arial" w:cs="Arial" w:eastAsia="Arial" w:hAnsi="Arial"/>
                <w:sz w:val="11"/>
                <w:szCs w:val="11"/>
                <w:b w:val="1"/>
                <w:bCs w:val="1"/>
                <w:color w:val="auto"/>
                <w:w w:val="90"/>
              </w:rPr>
              <w:t>(in millions)</w:t>
            </w:r>
          </w:p>
        </w:tc>
        <w:tc>
          <w:tcPr>
            <w:tcW w:w="10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8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CenterPoint Energy</w:t>
            </w: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3,300</w:t>
            </w: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6</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1,412</w:t>
            </w:r>
          </w:p>
        </w:tc>
        <w:tc>
          <w:tcPr>
            <w:tcW w:w="1360" w:type="dxa"/>
            <w:vAlign w:val="bottom"/>
            <w:tcBorders>
              <w:bottom w:val="single" w:sz="8" w:color="CCEEFF"/>
            </w:tcBorders>
            <w:gridSpan w:val="2"/>
            <w:shd w:val="clear" w:color="auto" w:fill="CCEEFF"/>
          </w:tcPr>
          <w:p>
            <w:pPr>
              <w:jc w:val="center"/>
              <w:ind w:left="48"/>
              <w:spacing w:after="0"/>
              <w:rPr>
                <w:sz w:val="20"/>
                <w:szCs w:val="20"/>
                <w:color w:val="auto"/>
              </w:rPr>
            </w:pPr>
            <w:r>
              <w:rPr>
                <w:rFonts w:ascii="Arial" w:cs="Arial" w:eastAsia="Arial" w:hAnsi="Arial"/>
                <w:sz w:val="14"/>
                <w:szCs w:val="14"/>
                <w:color w:val="auto"/>
                <w:w w:val="90"/>
              </w:rPr>
              <w:t>2.14%</w:t>
            </w:r>
          </w:p>
        </w:tc>
        <w:tc>
          <w:tcPr>
            <w:tcW w:w="100" w:type="dxa"/>
            <w:vAlign w:val="bottom"/>
            <w:tcBorders>
              <w:bottom w:val="single" w:sz="8" w:color="CCEEFF"/>
            </w:tcBorders>
            <w:shd w:val="clear" w:color="auto" w:fill="CCEEFF"/>
          </w:tcPr>
          <w:p>
            <w:pPr>
              <w:spacing w:after="0"/>
              <w:rPr>
                <w:sz w:val="17"/>
                <w:szCs w:val="17"/>
                <w:color w:val="auto"/>
              </w:rPr>
            </w:pPr>
          </w:p>
        </w:tc>
        <w:tc>
          <w:tcPr>
            <w:tcW w:w="1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3"/>
              </w:rPr>
              <w:t>March 3, 2022</w:t>
            </w:r>
          </w:p>
        </w:tc>
        <w:tc>
          <w:tcPr>
            <w:tcW w:w="0" w:type="dxa"/>
            <w:vAlign w:val="bottom"/>
          </w:tcPr>
          <w:p>
            <w:pPr>
              <w:spacing w:after="0"/>
              <w:rPr>
                <w:sz w:val="1"/>
                <w:szCs w:val="1"/>
                <w:color w:val="auto"/>
              </w:rPr>
            </w:pPr>
          </w:p>
        </w:tc>
      </w:tr>
      <w:tr>
        <w:trPr>
          <w:trHeight w:val="193"/>
        </w:trPr>
        <w:tc>
          <w:tcPr>
            <w:tcW w:w="2880" w:type="dxa"/>
            <w:vAlign w:val="bottom"/>
            <w:gridSpan w:val="2"/>
          </w:tcPr>
          <w:p>
            <w:pPr>
              <w:ind w:left="20"/>
              <w:spacing w:after="0"/>
              <w:rPr>
                <w:sz w:val="20"/>
                <w:szCs w:val="20"/>
                <w:color w:val="auto"/>
              </w:rPr>
            </w:pPr>
            <w:r>
              <w:rPr>
                <w:rFonts w:ascii="Arial" w:cs="Arial" w:eastAsia="Arial" w:hAnsi="Arial"/>
                <w:sz w:val="14"/>
                <w:szCs w:val="14"/>
                <w:color w:val="auto"/>
              </w:rPr>
              <w:t xml:space="preserve">CenterPoint Energy </w:t>
            </w:r>
            <w:r>
              <w:rPr>
                <w:rFonts w:ascii="Arial" w:cs="Arial" w:eastAsia="Arial" w:hAnsi="Arial"/>
                <w:sz w:val="11"/>
                <w:szCs w:val="11"/>
                <w:color w:val="auto"/>
              </w:rPr>
              <w:t>(1)</w:t>
            </w:r>
          </w:p>
        </w:tc>
        <w:tc>
          <w:tcPr>
            <w:tcW w:w="180" w:type="dxa"/>
            <w:vAlign w:val="bottom"/>
          </w:tcPr>
          <w:p>
            <w:pPr>
              <w:spacing w:after="0"/>
              <w:rPr>
                <w:sz w:val="16"/>
                <w:szCs w:val="16"/>
                <w:color w:val="auto"/>
              </w:rPr>
            </w:pPr>
          </w:p>
        </w:tc>
        <w:tc>
          <w:tcPr>
            <w:tcW w:w="1100" w:type="dxa"/>
            <w:vAlign w:val="bottom"/>
          </w:tcPr>
          <w:p>
            <w:pPr>
              <w:jc w:val="right"/>
              <w:ind w:right="50"/>
              <w:spacing w:after="0"/>
              <w:rPr>
                <w:sz w:val="20"/>
                <w:szCs w:val="20"/>
                <w:color w:val="auto"/>
              </w:rPr>
            </w:pPr>
            <w:r>
              <w:rPr>
                <w:rFonts w:ascii="Arial" w:cs="Arial" w:eastAsia="Arial" w:hAnsi="Arial"/>
                <w:sz w:val="14"/>
                <w:szCs w:val="14"/>
                <w:color w:val="auto"/>
              </w:rPr>
              <w:t>400</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gridSpan w:val="2"/>
          </w:tcPr>
          <w:p>
            <w:pPr>
              <w:ind w:left="7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20" w:type="dxa"/>
            <w:vAlign w:val="bottom"/>
          </w:tcPr>
          <w:p>
            <w:pPr>
              <w:jc w:val="right"/>
              <w:ind w:right="30"/>
              <w:spacing w:after="0"/>
              <w:rPr>
                <w:sz w:val="20"/>
                <w:szCs w:val="20"/>
                <w:color w:val="auto"/>
              </w:rPr>
            </w:pPr>
            <w:r>
              <w:rPr>
                <w:rFonts w:ascii="Arial" w:cs="Arial" w:eastAsia="Arial" w:hAnsi="Arial"/>
                <w:sz w:val="14"/>
                <w:szCs w:val="14"/>
                <w:color w:val="auto"/>
              </w:rPr>
              <w:t>282</w:t>
            </w:r>
          </w:p>
        </w:tc>
        <w:tc>
          <w:tcPr>
            <w:tcW w:w="1360" w:type="dxa"/>
            <w:vAlign w:val="bottom"/>
            <w:gridSpan w:val="2"/>
          </w:tcPr>
          <w:p>
            <w:pPr>
              <w:jc w:val="center"/>
              <w:ind w:left="48"/>
              <w:spacing w:after="0"/>
              <w:rPr>
                <w:sz w:val="20"/>
                <w:szCs w:val="20"/>
                <w:color w:val="auto"/>
              </w:rPr>
            </w:pPr>
            <w:r>
              <w:rPr>
                <w:rFonts w:ascii="Arial" w:cs="Arial" w:eastAsia="Arial" w:hAnsi="Arial"/>
                <w:sz w:val="14"/>
                <w:szCs w:val="14"/>
                <w:color w:val="auto"/>
                <w:w w:val="90"/>
              </w:rPr>
              <w:t>2.08%</w:t>
            </w:r>
          </w:p>
        </w:tc>
        <w:tc>
          <w:tcPr>
            <w:tcW w:w="100" w:type="dxa"/>
            <w:vAlign w:val="bottom"/>
          </w:tcPr>
          <w:p>
            <w:pPr>
              <w:spacing w:after="0"/>
              <w:rPr>
                <w:sz w:val="16"/>
                <w:szCs w:val="16"/>
                <w:color w:val="auto"/>
              </w:rPr>
            </w:pPr>
          </w:p>
        </w:tc>
        <w:tc>
          <w:tcPr>
            <w:tcW w:w="1720" w:type="dxa"/>
            <w:vAlign w:val="bottom"/>
          </w:tcPr>
          <w:p>
            <w:pPr>
              <w:jc w:val="center"/>
              <w:spacing w:after="0"/>
              <w:rPr>
                <w:sz w:val="20"/>
                <w:szCs w:val="20"/>
                <w:color w:val="auto"/>
              </w:rPr>
            </w:pPr>
            <w:r>
              <w:rPr>
                <w:rFonts w:ascii="Arial" w:cs="Arial" w:eastAsia="Arial" w:hAnsi="Arial"/>
                <w:sz w:val="14"/>
                <w:szCs w:val="14"/>
                <w:color w:val="auto"/>
                <w:w w:val="93"/>
              </w:rPr>
              <w:t>July 14, 2022</w:t>
            </w:r>
          </w:p>
        </w:tc>
        <w:tc>
          <w:tcPr>
            <w:tcW w:w="0" w:type="dxa"/>
            <w:vAlign w:val="bottom"/>
          </w:tcPr>
          <w:p>
            <w:pPr>
              <w:spacing w:after="0"/>
              <w:rPr>
                <w:sz w:val="1"/>
                <w:szCs w:val="1"/>
                <w:color w:val="auto"/>
              </w:rPr>
            </w:pPr>
          </w:p>
        </w:tc>
      </w:tr>
      <w:tr>
        <w:trPr>
          <w:trHeight w:val="23"/>
        </w:trPr>
        <w:tc>
          <w:tcPr>
            <w:tcW w:w="2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8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 xml:space="preserve">CenterPoint Energy </w:t>
            </w:r>
            <w:r>
              <w:rPr>
                <w:rFonts w:ascii="Arial" w:cs="Arial" w:eastAsia="Arial" w:hAnsi="Arial"/>
                <w:sz w:val="11"/>
                <w:szCs w:val="11"/>
                <w:color w:val="auto"/>
              </w:rPr>
              <w:t>(2)</w:t>
            </w:r>
          </w:p>
        </w:tc>
        <w:tc>
          <w:tcPr>
            <w:tcW w:w="18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200</w:t>
            </w: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8"/>
              </w:rPr>
              <w:t>—%</w:t>
            </w:r>
          </w:p>
        </w:tc>
        <w:tc>
          <w:tcPr>
            <w:tcW w:w="1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3"/>
              </w:rPr>
              <w:t>July 14, 2022</w:t>
            </w:r>
          </w:p>
        </w:tc>
        <w:tc>
          <w:tcPr>
            <w:tcW w:w="0" w:type="dxa"/>
            <w:vAlign w:val="bottom"/>
          </w:tcPr>
          <w:p>
            <w:pPr>
              <w:spacing w:after="0"/>
              <w:rPr>
                <w:sz w:val="1"/>
                <w:szCs w:val="1"/>
                <w:color w:val="auto"/>
              </w:rPr>
            </w:pPr>
          </w:p>
        </w:tc>
      </w:tr>
      <w:tr>
        <w:trPr>
          <w:trHeight w:val="193"/>
        </w:trPr>
        <w:tc>
          <w:tcPr>
            <w:tcW w:w="2880" w:type="dxa"/>
            <w:vAlign w:val="bottom"/>
            <w:gridSpan w:val="2"/>
          </w:tcPr>
          <w:p>
            <w:pPr>
              <w:ind w:left="20"/>
              <w:spacing w:after="0"/>
              <w:rPr>
                <w:sz w:val="20"/>
                <w:szCs w:val="20"/>
                <w:color w:val="auto"/>
              </w:rPr>
            </w:pPr>
            <w:r>
              <w:rPr>
                <w:rFonts w:ascii="Arial" w:cs="Arial" w:eastAsia="Arial" w:hAnsi="Arial"/>
                <w:sz w:val="14"/>
                <w:szCs w:val="14"/>
                <w:color w:val="auto"/>
              </w:rPr>
              <w:t>Houston Electric</w:t>
            </w:r>
          </w:p>
        </w:tc>
        <w:tc>
          <w:tcPr>
            <w:tcW w:w="180" w:type="dxa"/>
            <w:vAlign w:val="bottom"/>
          </w:tcPr>
          <w:p>
            <w:pPr>
              <w:spacing w:after="0"/>
              <w:rPr>
                <w:sz w:val="16"/>
                <w:szCs w:val="16"/>
                <w:color w:val="auto"/>
              </w:rPr>
            </w:pPr>
          </w:p>
        </w:tc>
        <w:tc>
          <w:tcPr>
            <w:tcW w:w="1100" w:type="dxa"/>
            <w:vAlign w:val="bottom"/>
          </w:tcPr>
          <w:p>
            <w:pPr>
              <w:jc w:val="right"/>
              <w:ind w:right="50"/>
              <w:spacing w:after="0"/>
              <w:rPr>
                <w:sz w:val="20"/>
                <w:szCs w:val="20"/>
                <w:color w:val="auto"/>
              </w:rPr>
            </w:pPr>
            <w:r>
              <w:rPr>
                <w:rFonts w:ascii="Arial" w:cs="Arial" w:eastAsia="Arial" w:hAnsi="Arial"/>
                <w:sz w:val="14"/>
                <w:szCs w:val="14"/>
                <w:color w:val="auto"/>
              </w:rPr>
              <w:t>300</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gridSpan w:val="2"/>
          </w:tcPr>
          <w:p>
            <w:pPr>
              <w:ind w:left="7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2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4"/>
                <w:szCs w:val="14"/>
                <w:color w:val="auto"/>
                <w:w w:val="98"/>
              </w:rPr>
              <w:t>—%</w:t>
            </w:r>
          </w:p>
        </w:tc>
        <w:tc>
          <w:tcPr>
            <w:tcW w:w="1720" w:type="dxa"/>
            <w:vAlign w:val="bottom"/>
          </w:tcPr>
          <w:p>
            <w:pPr>
              <w:jc w:val="center"/>
              <w:spacing w:after="0"/>
              <w:rPr>
                <w:sz w:val="20"/>
                <w:szCs w:val="20"/>
                <w:color w:val="auto"/>
              </w:rPr>
            </w:pPr>
            <w:r>
              <w:rPr>
                <w:rFonts w:ascii="Arial" w:cs="Arial" w:eastAsia="Arial" w:hAnsi="Arial"/>
                <w:sz w:val="14"/>
                <w:szCs w:val="14"/>
                <w:color w:val="auto"/>
                <w:w w:val="93"/>
              </w:rPr>
              <w:t>March 3, 2022</w:t>
            </w:r>
          </w:p>
        </w:tc>
        <w:tc>
          <w:tcPr>
            <w:tcW w:w="0" w:type="dxa"/>
            <w:vAlign w:val="bottom"/>
          </w:tcPr>
          <w:p>
            <w:pPr>
              <w:spacing w:after="0"/>
              <w:rPr>
                <w:sz w:val="1"/>
                <w:szCs w:val="1"/>
                <w:color w:val="auto"/>
              </w:rPr>
            </w:pPr>
          </w:p>
        </w:tc>
      </w:tr>
      <w:tr>
        <w:trPr>
          <w:trHeight w:val="23"/>
        </w:trPr>
        <w:tc>
          <w:tcPr>
            <w:tcW w:w="2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8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CERC</w:t>
            </w:r>
          </w:p>
        </w:tc>
        <w:tc>
          <w:tcPr>
            <w:tcW w:w="18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900</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320</w:t>
            </w:r>
          </w:p>
        </w:tc>
        <w:tc>
          <w:tcPr>
            <w:tcW w:w="1360" w:type="dxa"/>
            <w:vAlign w:val="bottom"/>
            <w:tcBorders>
              <w:bottom w:val="single" w:sz="8" w:color="CCEEFF"/>
            </w:tcBorders>
            <w:gridSpan w:val="2"/>
            <w:shd w:val="clear" w:color="auto" w:fill="CCEEFF"/>
          </w:tcPr>
          <w:p>
            <w:pPr>
              <w:jc w:val="center"/>
              <w:ind w:left="48"/>
              <w:spacing w:after="0"/>
              <w:rPr>
                <w:sz w:val="20"/>
                <w:szCs w:val="20"/>
                <w:color w:val="auto"/>
              </w:rPr>
            </w:pPr>
            <w:r>
              <w:rPr>
                <w:rFonts w:ascii="Arial" w:cs="Arial" w:eastAsia="Arial" w:hAnsi="Arial"/>
                <w:sz w:val="14"/>
                <w:szCs w:val="14"/>
                <w:color w:val="auto"/>
                <w:w w:val="90"/>
              </w:rPr>
              <w:t>2.08%</w:t>
            </w:r>
          </w:p>
        </w:tc>
        <w:tc>
          <w:tcPr>
            <w:tcW w:w="100" w:type="dxa"/>
            <w:vAlign w:val="bottom"/>
            <w:tcBorders>
              <w:bottom w:val="single" w:sz="8" w:color="CCEEFF"/>
            </w:tcBorders>
            <w:shd w:val="clear" w:color="auto" w:fill="CCEEFF"/>
          </w:tcPr>
          <w:p>
            <w:pPr>
              <w:spacing w:after="0"/>
              <w:rPr>
                <w:sz w:val="18"/>
                <w:szCs w:val="18"/>
                <w:color w:val="auto"/>
              </w:rPr>
            </w:pPr>
          </w:p>
        </w:tc>
        <w:tc>
          <w:tcPr>
            <w:tcW w:w="1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3"/>
              </w:rPr>
              <w:t>March 3, 2022</w:t>
            </w:r>
          </w:p>
        </w:tc>
        <w:tc>
          <w:tcPr>
            <w:tcW w:w="0" w:type="dxa"/>
            <w:vAlign w:val="bottom"/>
          </w:tcPr>
          <w:p>
            <w:pPr>
              <w:spacing w:after="0"/>
              <w:rPr>
                <w:sz w:val="1"/>
                <w:szCs w:val="1"/>
                <w:color w:val="auto"/>
              </w:rPr>
            </w:pPr>
          </w:p>
        </w:tc>
      </w:tr>
      <w:tr>
        <w:trPr>
          <w:trHeight w:val="200"/>
        </w:trPr>
        <w:tc>
          <w:tcPr>
            <w:tcW w:w="2880" w:type="dxa"/>
            <w:vAlign w:val="bottom"/>
            <w:gridSpan w:val="2"/>
          </w:tcPr>
          <w:p>
            <w:pPr>
              <w:ind w:left="260"/>
              <w:spacing w:after="0"/>
              <w:rPr>
                <w:sz w:val="20"/>
                <w:szCs w:val="20"/>
                <w:color w:val="auto"/>
              </w:rPr>
            </w:pPr>
            <w:r>
              <w:rPr>
                <w:rFonts w:ascii="Arial" w:cs="Arial" w:eastAsia="Arial" w:hAnsi="Arial"/>
                <w:sz w:val="14"/>
                <w:szCs w:val="14"/>
                <w:color w:val="auto"/>
              </w:rPr>
              <w:t>Total</w:t>
            </w: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4"/>
                <w:szCs w:val="14"/>
                <w:color w:val="auto"/>
              </w:rPr>
              <w:t>5,100</w:t>
            </w:r>
          </w:p>
        </w:tc>
        <w:tc>
          <w:tcPr>
            <w:tcW w:w="12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tcPr>
          <w:p>
            <w:pPr>
              <w:ind w:left="7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4"/>
                <w:szCs w:val="14"/>
                <w:color w:val="auto"/>
              </w:rPr>
              <w:t>2,014</w:t>
            </w: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2" w:lineRule="exact"/>
        <w:rPr>
          <w:sz w:val="20"/>
          <w:szCs w:val="20"/>
          <w:color w:val="auto"/>
        </w:rPr>
      </w:pPr>
    </w:p>
    <w:p>
      <w:pPr>
        <w:ind w:left="520" w:hanging="255"/>
        <w:spacing w:after="0"/>
        <w:tabs>
          <w:tab w:leader="none" w:pos="520" w:val="left"/>
        </w:tabs>
        <w:numPr>
          <w:ilvl w:val="0"/>
          <w:numId w:val="86"/>
        </w:numPr>
        <w:rPr>
          <w:rFonts w:ascii="Arial" w:cs="Arial" w:eastAsia="Arial" w:hAnsi="Arial"/>
          <w:sz w:val="14"/>
          <w:szCs w:val="14"/>
          <w:color w:val="auto"/>
        </w:rPr>
      </w:pPr>
      <w:r>
        <w:rPr>
          <w:rFonts w:ascii="Arial" w:cs="Arial" w:eastAsia="Arial" w:hAnsi="Arial"/>
          <w:sz w:val="14"/>
          <w:szCs w:val="14"/>
          <w:color w:val="auto"/>
        </w:rPr>
        <w:t>The credit facility was issued by VUHI and is guaranteed by SIGECO, Indiana Gas and VEDO.</w:t>
      </w:r>
    </w:p>
    <w:p>
      <w:pPr>
        <w:spacing w:after="0" w:line="183" w:lineRule="exact"/>
        <w:rPr>
          <w:rFonts w:ascii="Arial" w:cs="Arial" w:eastAsia="Arial" w:hAnsi="Arial"/>
          <w:sz w:val="14"/>
          <w:szCs w:val="14"/>
          <w:color w:val="auto"/>
        </w:rPr>
      </w:pPr>
    </w:p>
    <w:p>
      <w:pPr>
        <w:ind w:left="520" w:hanging="255"/>
        <w:spacing w:after="0"/>
        <w:tabs>
          <w:tab w:leader="none" w:pos="520" w:val="left"/>
        </w:tabs>
        <w:numPr>
          <w:ilvl w:val="0"/>
          <w:numId w:val="86"/>
        </w:numPr>
        <w:rPr>
          <w:rFonts w:ascii="Arial" w:cs="Arial" w:eastAsia="Arial" w:hAnsi="Arial"/>
          <w:sz w:val="14"/>
          <w:szCs w:val="14"/>
          <w:color w:val="auto"/>
        </w:rPr>
      </w:pPr>
      <w:r>
        <w:rPr>
          <w:rFonts w:ascii="Arial" w:cs="Arial" w:eastAsia="Arial" w:hAnsi="Arial"/>
          <w:sz w:val="14"/>
          <w:szCs w:val="14"/>
          <w:color w:val="auto"/>
        </w:rPr>
        <w:t>The credit facility was issued by VCC and is guaranteed by Vectren.</w:t>
      </w:r>
    </w:p>
    <w:p>
      <w:pPr>
        <w:spacing w:after="0" w:line="184" w:lineRule="exact"/>
        <w:rPr>
          <w:sz w:val="20"/>
          <w:szCs w:val="20"/>
          <w:color w:val="auto"/>
        </w:rPr>
      </w:pPr>
    </w:p>
    <w:p>
      <w:pPr>
        <w:jc w:val="both"/>
        <w:ind w:firstLine="259"/>
        <w:spacing w:after="0" w:line="264" w:lineRule="auto"/>
        <w:rPr>
          <w:sz w:val="20"/>
          <w:szCs w:val="20"/>
          <w:color w:val="auto"/>
        </w:rPr>
      </w:pPr>
      <w:r>
        <w:rPr>
          <w:rFonts w:ascii="Arial" w:cs="Arial" w:eastAsia="Arial" w:hAnsi="Arial"/>
          <w:sz w:val="14"/>
          <w:szCs w:val="14"/>
          <w:color w:val="auto"/>
        </w:rPr>
        <w:t>Borrowings under each of the revolving credit facilities are subject to customary terms and conditions. However, there is no requirement that the borrower makes representations prior to borrowing as to the absence of material adverse changes or litigation that could be expected to have a material adverse effect. Borrowings under each of the revolving credit facilities are subject to acceleration upon the occurrence of events of default that we consider customary. The revolving credit facilities also provide for customary fees, including commitment fees, administrative agent fees, fees in respect of letters of credit and other fees. In each of the revolving credit facilities, the spread to LIBOR and the commitment fees fluctuate based on the borrower’s credit rating. The borrowers are currently in compliance with the various business and financial covenants in their respective revolving credit facilities.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89</w:t>
      </w:r>
    </w:p>
    <w:p>
      <w:pPr>
        <w:sectPr>
          <w:pgSz w:w="11900" w:h="16838" w:orient="portrait"/>
          <w:cols w:equalWidth="0" w:num="1">
            <w:col w:w="11460"/>
          </w:cols>
          <w:pgMar w:left="220" w:top="129" w:right="219" w:bottom="1440" w:gutter="0" w:footer="0" w:header="0"/>
        </w:sectPr>
      </w:pPr>
    </w:p>
    <w:bookmarkStart w:id="99" w:name="page100"/>
    <w:bookmarkEnd w:id="99"/>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378" w:lineRule="exact"/>
        <w:rPr>
          <w:sz w:val="20"/>
          <w:szCs w:val="20"/>
          <w:color w:val="auto"/>
        </w:rPr>
      </w:pPr>
    </w:p>
    <w:p>
      <w:pPr>
        <w:ind w:left="140"/>
        <w:spacing w:after="0"/>
        <w:rPr>
          <w:sz w:val="20"/>
          <w:szCs w:val="20"/>
          <w:color w:val="auto"/>
        </w:rPr>
      </w:pPr>
      <w:r>
        <w:rPr>
          <w:rFonts w:ascii="Arial" w:cs="Arial" w:eastAsia="Arial" w:hAnsi="Arial"/>
          <w:sz w:val="14"/>
          <w:szCs w:val="14"/>
          <w:b w:val="1"/>
          <w:bCs w:val="1"/>
          <w:i w:val="1"/>
          <w:iCs w:val="1"/>
          <w:color w:val="auto"/>
        </w:rPr>
        <w:t>Long-term Debt</w:t>
      </w:r>
    </w:p>
    <w:p>
      <w:pPr>
        <w:spacing w:after="0" w:line="184" w:lineRule="exact"/>
        <w:rPr>
          <w:sz w:val="20"/>
          <w:szCs w:val="20"/>
          <w:color w:val="auto"/>
        </w:rPr>
      </w:pPr>
    </w:p>
    <w:p>
      <w:pPr>
        <w:ind w:left="260"/>
        <w:spacing w:after="0"/>
        <w:rPr>
          <w:sz w:val="20"/>
          <w:szCs w:val="20"/>
          <w:color w:val="auto"/>
        </w:rPr>
      </w:pPr>
      <w:r>
        <w:rPr>
          <w:rFonts w:ascii="Arial" w:cs="Arial" w:eastAsia="Arial" w:hAnsi="Arial"/>
          <w:sz w:val="14"/>
          <w:szCs w:val="14"/>
          <w:color w:val="auto"/>
        </w:rPr>
        <w:t>For detailed information about the Registrants’ debt transactions in 2019, see Note 12 to the Interim Condensed Financial Statements.</w:t>
      </w:r>
    </w:p>
    <w:p>
      <w:pPr>
        <w:spacing w:after="0" w:line="184" w:lineRule="exact"/>
        <w:rPr>
          <w:sz w:val="20"/>
          <w:szCs w:val="20"/>
          <w:color w:val="auto"/>
        </w:rPr>
      </w:pPr>
    </w:p>
    <w:p>
      <w:pPr>
        <w:ind w:left="140"/>
        <w:spacing w:after="0"/>
        <w:rPr>
          <w:sz w:val="20"/>
          <w:szCs w:val="20"/>
          <w:color w:val="auto"/>
        </w:rPr>
      </w:pPr>
      <w:r>
        <w:rPr>
          <w:rFonts w:ascii="Arial" w:cs="Arial" w:eastAsia="Arial" w:hAnsi="Arial"/>
          <w:sz w:val="14"/>
          <w:szCs w:val="14"/>
          <w:b w:val="1"/>
          <w:bCs w:val="1"/>
          <w:i w:val="1"/>
          <w:iCs w:val="1"/>
          <w:color w:val="auto"/>
        </w:rPr>
        <w:t>Securities Registered with the SEC</w:t>
      </w:r>
    </w:p>
    <w:p>
      <w:pPr>
        <w:spacing w:after="0" w:line="184" w:lineRule="exact"/>
        <w:rPr>
          <w:sz w:val="20"/>
          <w:szCs w:val="20"/>
          <w:color w:val="auto"/>
        </w:rPr>
      </w:pPr>
    </w:p>
    <w:p>
      <w:pPr>
        <w:jc w:val="both"/>
        <w:ind w:firstLine="259"/>
        <w:spacing w:after="0" w:line="294" w:lineRule="auto"/>
        <w:rPr>
          <w:sz w:val="20"/>
          <w:szCs w:val="20"/>
          <w:color w:val="auto"/>
        </w:rPr>
      </w:pPr>
      <w:r>
        <w:rPr>
          <w:rFonts w:ascii="Arial" w:cs="Arial" w:eastAsia="Arial" w:hAnsi="Arial"/>
          <w:sz w:val="13"/>
          <w:szCs w:val="13"/>
          <w:color w:val="auto"/>
        </w:rPr>
        <w:t>On January 31, 2017, the Registrants filed a joint shelf registration statement with the SEC, as amended on September 24, 2018, registering indeterminate principal amounts of Houston Electric’s general mortgage bonds, CERC Corp.’s senior debt securities and CenterPoint Energy’s senior debt securities and junior subordinated debt securities and an indeterminate number of shares of Common Stock, shares of preferred stock, depositary shares, as well as stock purchase contracts and equity units. The joint shelf registration statement will expire on January 31, 2020. For information related to the Registrants’ debt securities issuances to date in 2019, see Note 12 to the Interim Condensed Financial Statements.</w:t>
      </w:r>
    </w:p>
    <w:p>
      <w:pPr>
        <w:spacing w:after="0" w:line="130" w:lineRule="exact"/>
        <w:rPr>
          <w:sz w:val="20"/>
          <w:szCs w:val="20"/>
          <w:color w:val="auto"/>
        </w:rPr>
      </w:pPr>
    </w:p>
    <w:p>
      <w:pPr>
        <w:ind w:left="140"/>
        <w:spacing w:after="0"/>
        <w:rPr>
          <w:sz w:val="20"/>
          <w:szCs w:val="20"/>
          <w:color w:val="auto"/>
        </w:rPr>
      </w:pPr>
      <w:r>
        <w:rPr>
          <w:rFonts w:ascii="Arial" w:cs="Arial" w:eastAsia="Arial" w:hAnsi="Arial"/>
          <w:sz w:val="14"/>
          <w:szCs w:val="14"/>
          <w:b w:val="1"/>
          <w:bCs w:val="1"/>
          <w:i w:val="1"/>
          <w:iCs w:val="1"/>
          <w:color w:val="auto"/>
        </w:rPr>
        <w:t>Temporary Investments</w:t>
      </w:r>
    </w:p>
    <w:p>
      <w:pPr>
        <w:spacing w:after="0" w:line="184" w:lineRule="exact"/>
        <w:rPr>
          <w:sz w:val="20"/>
          <w:szCs w:val="20"/>
          <w:color w:val="auto"/>
        </w:rPr>
      </w:pPr>
    </w:p>
    <w:p>
      <w:pPr>
        <w:ind w:left="260"/>
        <w:spacing w:after="0"/>
        <w:rPr>
          <w:sz w:val="20"/>
          <w:szCs w:val="20"/>
          <w:color w:val="auto"/>
        </w:rPr>
      </w:pPr>
      <w:r>
        <w:rPr>
          <w:rFonts w:ascii="Arial" w:cs="Arial" w:eastAsia="Arial" w:hAnsi="Arial"/>
          <w:sz w:val="14"/>
          <w:szCs w:val="14"/>
          <w:color w:val="auto"/>
        </w:rPr>
        <w:t>As of October 25, 2019, the Registrants had no temporary investments.</w:t>
      </w:r>
    </w:p>
    <w:p>
      <w:pPr>
        <w:spacing w:after="0" w:line="184" w:lineRule="exact"/>
        <w:rPr>
          <w:sz w:val="20"/>
          <w:szCs w:val="20"/>
          <w:color w:val="auto"/>
        </w:rPr>
      </w:pPr>
    </w:p>
    <w:p>
      <w:pPr>
        <w:ind w:left="140"/>
        <w:spacing w:after="0"/>
        <w:rPr>
          <w:sz w:val="20"/>
          <w:szCs w:val="20"/>
          <w:color w:val="auto"/>
        </w:rPr>
      </w:pPr>
      <w:r>
        <w:rPr>
          <w:rFonts w:ascii="Arial" w:cs="Arial" w:eastAsia="Arial" w:hAnsi="Arial"/>
          <w:sz w:val="14"/>
          <w:szCs w:val="14"/>
          <w:b w:val="1"/>
          <w:bCs w:val="1"/>
          <w:i w:val="1"/>
          <w:iCs w:val="1"/>
          <w:color w:val="auto"/>
        </w:rPr>
        <w:t>Money Pools</w:t>
      </w:r>
    </w:p>
    <w:p>
      <w:pPr>
        <w:spacing w:after="0" w:line="184" w:lineRule="exact"/>
        <w:rPr>
          <w:sz w:val="20"/>
          <w:szCs w:val="20"/>
          <w:color w:val="auto"/>
        </w:rPr>
      </w:pPr>
    </w:p>
    <w:p>
      <w:pPr>
        <w:jc w:val="both"/>
        <w:ind w:firstLine="259"/>
        <w:spacing w:after="0" w:line="267" w:lineRule="auto"/>
        <w:rPr>
          <w:sz w:val="20"/>
          <w:szCs w:val="20"/>
          <w:color w:val="auto"/>
        </w:rPr>
      </w:pPr>
      <w:r>
        <w:rPr>
          <w:rFonts w:ascii="Arial" w:cs="Arial" w:eastAsia="Arial" w:hAnsi="Arial"/>
          <w:sz w:val="14"/>
          <w:szCs w:val="14"/>
          <w:color w:val="auto"/>
        </w:rPr>
        <w:t>The Registrants participate in money pools through which they and certain of their subsidiaries can borrow or invest on a short-term basis. Funding needs are aggregated and external borrowing or investing is based on the net cash position. The net funding requirements of the CenterPoint Energy money pool are expected to be met with borrowings under CenterPoint Energy’s revolving credit facility or the sale of CenterPoint Energy’s commercial paper. The net funding requirements of the CERC money pool are expected to be met with borrowings under CERC’s revolving credit facility or the sale of CERC’s commercial paper. The money pools may not provide sufficient funds to meet the Registrants’ cash needs.</w:t>
      </w:r>
    </w:p>
    <w:p>
      <w:pPr>
        <w:spacing w:after="0" w:line="146"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table below summarizes CenterPoint Energy money pool activity by Registrant as of October 25, 2019:</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6540" w:type="dxa"/>
            <w:vAlign w:val="bottom"/>
          </w:tcPr>
          <w:p>
            <w:pPr>
              <w:spacing w:after="0"/>
              <w:rPr>
                <w:sz w:val="13"/>
                <w:szCs w:val="13"/>
                <w:color w:val="auto"/>
              </w:rPr>
            </w:pPr>
          </w:p>
        </w:tc>
        <w:tc>
          <w:tcPr>
            <w:tcW w:w="184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4"/>
              </w:rPr>
              <w:t>Weighted Average Interest Rate</w:t>
            </w:r>
          </w:p>
        </w:tc>
        <w:tc>
          <w:tcPr>
            <w:tcW w:w="220" w:type="dxa"/>
            <w:vAlign w:val="bottom"/>
          </w:tcPr>
          <w:p>
            <w:pPr>
              <w:spacing w:after="0"/>
              <w:rPr>
                <w:sz w:val="13"/>
                <w:szCs w:val="13"/>
                <w:color w:val="auto"/>
              </w:rPr>
            </w:pPr>
          </w:p>
        </w:tc>
        <w:tc>
          <w:tcPr>
            <w:tcW w:w="1280" w:type="dxa"/>
            <w:vAlign w:val="bottom"/>
          </w:tcPr>
          <w:p>
            <w:pPr>
              <w:jc w:val="right"/>
              <w:ind w:right="278"/>
              <w:spacing w:after="0"/>
              <w:rPr>
                <w:sz w:val="20"/>
                <w:szCs w:val="20"/>
                <w:color w:val="auto"/>
              </w:rPr>
            </w:pPr>
            <w:r>
              <w:rPr>
                <w:rFonts w:ascii="Arial" w:cs="Arial" w:eastAsia="Arial" w:hAnsi="Arial"/>
                <w:sz w:val="11"/>
                <w:szCs w:val="11"/>
                <w:b w:val="1"/>
                <w:bCs w:val="1"/>
                <w:color w:val="auto"/>
              </w:rPr>
              <w:t>Houston Electric</w:t>
            </w:r>
          </w:p>
        </w:tc>
        <w:tc>
          <w:tcPr>
            <w:tcW w:w="520" w:type="dxa"/>
            <w:vAlign w:val="bottom"/>
          </w:tcPr>
          <w:p>
            <w:pPr>
              <w:spacing w:after="0"/>
              <w:rPr>
                <w:sz w:val="13"/>
                <w:szCs w:val="13"/>
                <w:color w:val="auto"/>
              </w:rPr>
            </w:pPr>
          </w:p>
        </w:tc>
        <w:tc>
          <w:tcPr>
            <w:tcW w:w="1060" w:type="dxa"/>
            <w:vAlign w:val="bottom"/>
          </w:tcPr>
          <w:p>
            <w:pPr>
              <w:ind w:left="160"/>
              <w:spacing w:after="0"/>
              <w:rPr>
                <w:sz w:val="20"/>
                <w:szCs w:val="20"/>
                <w:color w:val="auto"/>
              </w:rPr>
            </w:pPr>
            <w:r>
              <w:rPr>
                <w:rFonts w:ascii="Arial" w:cs="Arial" w:eastAsia="Arial" w:hAnsi="Arial"/>
                <w:sz w:val="11"/>
                <w:szCs w:val="11"/>
                <w:b w:val="1"/>
                <w:bCs w:val="1"/>
                <w:color w:val="auto"/>
              </w:rPr>
              <w:t>CERC</w:t>
            </w:r>
          </w:p>
        </w:tc>
      </w:tr>
      <w:tr>
        <w:trPr>
          <w:trHeight w:val="206"/>
        </w:trPr>
        <w:tc>
          <w:tcPr>
            <w:tcW w:w="6540" w:type="dxa"/>
            <w:vAlign w:val="bottom"/>
          </w:tcPr>
          <w:p>
            <w:pPr>
              <w:spacing w:after="0"/>
              <w:rPr>
                <w:sz w:val="17"/>
                <w:szCs w:val="17"/>
                <w:color w:val="auto"/>
              </w:rPr>
            </w:pPr>
          </w:p>
        </w:tc>
        <w:tc>
          <w:tcPr>
            <w:tcW w:w="17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800" w:type="dxa"/>
            <w:vAlign w:val="bottom"/>
            <w:tcBorders>
              <w:top w:val="single" w:sz="8" w:color="auto"/>
            </w:tcBorders>
            <w:gridSpan w:val="2"/>
          </w:tcPr>
          <w:p>
            <w:pPr>
              <w:jc w:val="right"/>
              <w:ind w:right="108"/>
              <w:spacing w:after="0"/>
              <w:rPr>
                <w:sz w:val="20"/>
                <w:szCs w:val="20"/>
                <w:color w:val="auto"/>
              </w:rPr>
            </w:pPr>
            <w:r>
              <w:rPr>
                <w:rFonts w:ascii="Arial" w:cs="Arial" w:eastAsia="Arial" w:hAnsi="Arial"/>
                <w:sz w:val="11"/>
                <w:szCs w:val="11"/>
                <w:b w:val="1"/>
                <w:bCs w:val="1"/>
                <w:color w:val="auto"/>
              </w:rPr>
              <w:t>(in millions)</w:t>
            </w:r>
          </w:p>
        </w:tc>
        <w:tc>
          <w:tcPr>
            <w:tcW w:w="1060" w:type="dxa"/>
            <w:vAlign w:val="bottom"/>
            <w:tcBorders>
              <w:top w:val="single" w:sz="8" w:color="auto"/>
            </w:tcBorders>
          </w:tcPr>
          <w:p>
            <w:pPr>
              <w:spacing w:after="0"/>
              <w:rPr>
                <w:sz w:val="17"/>
                <w:szCs w:val="17"/>
                <w:color w:val="auto"/>
              </w:rPr>
            </w:pPr>
          </w:p>
        </w:tc>
      </w:tr>
      <w:tr>
        <w:trPr>
          <w:trHeight w:val="197"/>
        </w:trPr>
        <w:tc>
          <w:tcPr>
            <w:tcW w:w="6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Money pool investments</w:t>
            </w:r>
          </w:p>
        </w:tc>
        <w:tc>
          <w:tcPr>
            <w:tcW w:w="1720" w:type="dxa"/>
            <w:vAlign w:val="bottom"/>
            <w:shd w:val="clear" w:color="auto" w:fill="CCEEFF"/>
          </w:tcPr>
          <w:p>
            <w:pPr>
              <w:jc w:val="right"/>
              <w:ind w:right="615"/>
              <w:spacing w:after="0"/>
              <w:rPr>
                <w:sz w:val="20"/>
                <w:szCs w:val="20"/>
                <w:color w:val="auto"/>
              </w:rPr>
            </w:pPr>
            <w:r>
              <w:rPr>
                <w:rFonts w:ascii="Arial" w:cs="Arial" w:eastAsia="Arial" w:hAnsi="Arial"/>
                <w:sz w:val="14"/>
                <w:szCs w:val="14"/>
                <w:color w:val="auto"/>
              </w:rPr>
              <w:t>2.17%</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ind w:right="58"/>
              <w:spacing w:after="0"/>
              <w:rPr>
                <w:sz w:val="20"/>
                <w:szCs w:val="20"/>
                <w:color w:val="auto"/>
              </w:rPr>
            </w:pPr>
            <w:r>
              <w:rPr>
                <w:rFonts w:ascii="Arial" w:cs="Arial" w:eastAsia="Arial" w:hAnsi="Arial"/>
                <w:sz w:val="14"/>
                <w:szCs w:val="14"/>
                <w:color w:val="auto"/>
              </w:rPr>
              <w:t>789</w:t>
            </w:r>
          </w:p>
        </w:tc>
        <w:tc>
          <w:tcPr>
            <w:tcW w:w="5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ind w:left="820"/>
              <w:spacing w:after="0"/>
              <w:rPr>
                <w:sz w:val="20"/>
                <w:szCs w:val="20"/>
                <w:color w:val="auto"/>
              </w:rPr>
            </w:pPr>
            <w:r>
              <w:rPr>
                <w:rFonts w:ascii="Arial" w:cs="Arial" w:eastAsia="Arial" w:hAnsi="Arial"/>
                <w:sz w:val="14"/>
                <w:szCs w:val="14"/>
                <w:color w:val="auto"/>
              </w:rPr>
              <w:t>—</w:t>
            </w:r>
          </w:p>
        </w:tc>
      </w:tr>
      <w:tr>
        <w:trPr>
          <w:trHeight w:val="23"/>
        </w:trPr>
        <w:tc>
          <w:tcPr>
            <w:tcW w:w="6540" w:type="dxa"/>
            <w:vAlign w:val="bottom"/>
            <w:shd w:val="clear" w:color="auto" w:fill="CCEEFF"/>
          </w:tcPr>
          <w:p>
            <w:pPr>
              <w:spacing w:after="0" w:line="20" w:lineRule="exact"/>
              <w:rPr>
                <w:sz w:val="1"/>
                <w:szCs w:val="1"/>
                <w:color w:val="auto"/>
              </w:rPr>
            </w:pPr>
          </w:p>
        </w:tc>
        <w:tc>
          <w:tcPr>
            <w:tcW w:w="17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8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1060" w:type="dxa"/>
            <w:vAlign w:val="bottom"/>
            <w:shd w:val="clear" w:color="auto" w:fill="CCEEFF"/>
          </w:tcPr>
          <w:p>
            <w:pPr>
              <w:spacing w:after="0" w:line="20" w:lineRule="exact"/>
              <w:rPr>
                <w:sz w:val="1"/>
                <w:szCs w:val="1"/>
                <w:color w:val="auto"/>
              </w:rPr>
            </w:pPr>
          </w:p>
        </w:tc>
      </w:tr>
    </w:tbl>
    <w:p>
      <w:pPr>
        <w:spacing w:after="0" w:line="162" w:lineRule="exact"/>
        <w:rPr>
          <w:sz w:val="20"/>
          <w:szCs w:val="20"/>
          <w:color w:val="auto"/>
        </w:rPr>
      </w:pPr>
    </w:p>
    <w:p>
      <w:pPr>
        <w:ind w:left="140"/>
        <w:spacing w:after="0"/>
        <w:rPr>
          <w:sz w:val="20"/>
          <w:szCs w:val="20"/>
          <w:color w:val="auto"/>
        </w:rPr>
      </w:pPr>
      <w:r>
        <w:rPr>
          <w:rFonts w:ascii="Arial" w:cs="Arial" w:eastAsia="Arial" w:hAnsi="Arial"/>
          <w:sz w:val="14"/>
          <w:szCs w:val="14"/>
          <w:b w:val="1"/>
          <w:bCs w:val="1"/>
          <w:i w:val="1"/>
          <w:iCs w:val="1"/>
          <w:color w:val="auto"/>
        </w:rPr>
        <w:t>Impact on Liquidity of a Downgrade in Credit Ratings</w:t>
      </w:r>
    </w:p>
    <w:p>
      <w:pPr>
        <w:spacing w:after="0" w:line="184" w:lineRule="exact"/>
        <w:rPr>
          <w:sz w:val="20"/>
          <w:szCs w:val="20"/>
          <w:color w:val="auto"/>
        </w:rPr>
      </w:pPr>
    </w:p>
    <w:p>
      <w:pPr>
        <w:jc w:val="both"/>
        <w:ind w:firstLine="259"/>
        <w:spacing w:after="0" w:line="272" w:lineRule="auto"/>
        <w:rPr>
          <w:sz w:val="20"/>
          <w:szCs w:val="20"/>
          <w:color w:val="auto"/>
        </w:rPr>
      </w:pPr>
      <w:r>
        <w:rPr>
          <w:rFonts w:ascii="Arial" w:cs="Arial" w:eastAsia="Arial" w:hAnsi="Arial"/>
          <w:sz w:val="14"/>
          <w:szCs w:val="14"/>
          <w:color w:val="auto"/>
        </w:rPr>
        <w:t>The interest on borrowings under the credit facilities is based on each respective borrower’s credit ratings. On October 25, 2019, Moody’s downgraded VUHI’s and Indiana Gas’ senior unsecured debt rating to A3 from A2 and SIGECO’s senior secured debt rating to A1 from Aa3. The outlooks of VUHI, Indiana Gas and SIGECO were revised to stable from negative. As of October 25, 2019, Moody’s, S&amp;P and Fitch had assigned the following credit ratings to the borrowers: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1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3"/>
          </w:tcPr>
          <w:p>
            <w:pPr>
              <w:ind w:left="880"/>
              <w:spacing w:after="0"/>
              <w:rPr>
                <w:sz w:val="20"/>
                <w:szCs w:val="20"/>
                <w:color w:val="auto"/>
              </w:rPr>
            </w:pPr>
            <w:r>
              <w:rPr>
                <w:rFonts w:ascii="Arial" w:cs="Arial" w:eastAsia="Arial" w:hAnsi="Arial"/>
                <w:sz w:val="11"/>
                <w:szCs w:val="11"/>
                <w:b w:val="1"/>
                <w:bCs w:val="1"/>
                <w:color w:val="auto"/>
              </w:rPr>
              <w:t>Moody’s</w:t>
            </w: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40" w:type="dxa"/>
            <w:vAlign w:val="bottom"/>
            <w:gridSpan w:val="4"/>
          </w:tcPr>
          <w:p>
            <w:pPr>
              <w:ind w:left="140"/>
              <w:spacing w:after="0"/>
              <w:rPr>
                <w:sz w:val="20"/>
                <w:szCs w:val="20"/>
                <w:color w:val="auto"/>
              </w:rPr>
            </w:pPr>
            <w:r>
              <w:rPr>
                <w:rFonts w:ascii="Arial" w:cs="Arial" w:eastAsia="Arial" w:hAnsi="Arial"/>
                <w:sz w:val="11"/>
                <w:szCs w:val="11"/>
                <w:b w:val="1"/>
                <w:bCs w:val="1"/>
                <w:color w:val="auto"/>
              </w:rPr>
              <w:t>S&amp;P</w:t>
            </w:r>
          </w:p>
        </w:tc>
        <w:tc>
          <w:tcPr>
            <w:tcW w:w="820" w:type="dxa"/>
            <w:vAlign w:val="bottom"/>
          </w:tcPr>
          <w:p>
            <w:pPr>
              <w:spacing w:after="0"/>
              <w:rPr>
                <w:sz w:val="12"/>
                <w:szCs w:val="12"/>
                <w:color w:val="auto"/>
              </w:rPr>
            </w:pPr>
          </w:p>
        </w:tc>
        <w:tc>
          <w:tcPr>
            <w:tcW w:w="1340" w:type="dxa"/>
            <w:vAlign w:val="bottom"/>
            <w:gridSpan w:val="3"/>
          </w:tcPr>
          <w:p>
            <w:pPr>
              <w:ind w:left="140"/>
              <w:spacing w:after="0"/>
              <w:rPr>
                <w:sz w:val="20"/>
                <w:szCs w:val="20"/>
                <w:color w:val="auto"/>
              </w:rPr>
            </w:pPr>
            <w:r>
              <w:rPr>
                <w:rFonts w:ascii="Arial" w:cs="Arial" w:eastAsia="Arial" w:hAnsi="Arial"/>
                <w:sz w:val="11"/>
                <w:szCs w:val="11"/>
                <w:b w:val="1"/>
                <w:bCs w:val="1"/>
                <w:color w:val="auto"/>
              </w:rPr>
              <w:t>Fitch</w:t>
            </w:r>
          </w:p>
        </w:tc>
        <w:tc>
          <w:tcPr>
            <w:tcW w:w="0" w:type="dxa"/>
            <w:vAlign w:val="bottom"/>
          </w:tcPr>
          <w:p>
            <w:pPr>
              <w:spacing w:after="0"/>
              <w:rPr>
                <w:sz w:val="1"/>
                <w:szCs w:val="1"/>
                <w:color w:val="auto"/>
              </w:rPr>
            </w:pPr>
          </w:p>
        </w:tc>
      </w:tr>
      <w:tr>
        <w:trPr>
          <w:trHeight w:val="63"/>
        </w:trPr>
        <w:tc>
          <w:tcPr>
            <w:tcW w:w="1740" w:type="dxa"/>
            <w:vAlign w:val="bottom"/>
            <w:gridSpan w:val="2"/>
            <w:vMerge w:val="restart"/>
          </w:tcPr>
          <w:p>
            <w:pPr>
              <w:ind w:left="580"/>
              <w:spacing w:after="0"/>
              <w:rPr>
                <w:sz w:val="20"/>
                <w:szCs w:val="20"/>
                <w:color w:val="auto"/>
              </w:rPr>
            </w:pPr>
            <w:r>
              <w:rPr>
                <w:rFonts w:ascii="Arial" w:cs="Arial" w:eastAsia="Arial" w:hAnsi="Arial"/>
                <w:sz w:val="10"/>
                <w:szCs w:val="10"/>
                <w:b w:val="1"/>
                <w:bCs w:val="1"/>
                <w:color w:val="auto"/>
              </w:rPr>
              <w:t>Registrant</w:t>
            </w:r>
          </w:p>
        </w:tc>
        <w:tc>
          <w:tcPr>
            <w:tcW w:w="2980" w:type="dxa"/>
            <w:vAlign w:val="bottom"/>
            <w:gridSpan w:val="2"/>
            <w:vMerge w:val="restart"/>
          </w:tcPr>
          <w:p>
            <w:pPr>
              <w:ind w:left="960"/>
              <w:spacing w:after="0"/>
              <w:rPr>
                <w:sz w:val="20"/>
                <w:szCs w:val="20"/>
                <w:color w:val="auto"/>
              </w:rPr>
            </w:pPr>
            <w:r>
              <w:rPr>
                <w:rFonts w:ascii="Arial" w:cs="Arial" w:eastAsia="Arial" w:hAnsi="Arial"/>
                <w:sz w:val="10"/>
                <w:szCs w:val="10"/>
                <w:b w:val="1"/>
                <w:bCs w:val="1"/>
                <w:color w:val="auto"/>
              </w:rPr>
              <w:t>Borrower/Instrument</w:t>
            </w:r>
          </w:p>
        </w:tc>
        <w:tc>
          <w:tcPr>
            <w:tcW w:w="1360" w:type="dxa"/>
            <w:vAlign w:val="bottom"/>
            <w:tcBorders>
              <w:bottom w:val="single" w:sz="8" w:color="auto"/>
            </w:tcBorders>
            <w:gridSpan w:val="3"/>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9"/>
        </w:trPr>
        <w:tc>
          <w:tcPr>
            <w:tcW w:w="1740" w:type="dxa"/>
            <w:vAlign w:val="bottom"/>
            <w:gridSpan w:val="2"/>
            <w:vMerge w:val="continue"/>
          </w:tcPr>
          <w:p>
            <w:pPr>
              <w:spacing w:after="0"/>
              <w:rPr>
                <w:sz w:val="11"/>
                <w:szCs w:val="11"/>
                <w:color w:val="auto"/>
              </w:rPr>
            </w:pPr>
          </w:p>
        </w:tc>
        <w:tc>
          <w:tcPr>
            <w:tcW w:w="2980" w:type="dxa"/>
            <w:vAlign w:val="bottom"/>
            <w:gridSpan w:val="2"/>
            <w:vMerge w:val="continue"/>
          </w:tcPr>
          <w:p>
            <w:pPr>
              <w:spacing w:after="0"/>
              <w:rPr>
                <w:sz w:val="11"/>
                <w:szCs w:val="11"/>
                <w:color w:val="auto"/>
              </w:rPr>
            </w:pPr>
          </w:p>
        </w:tc>
        <w:tc>
          <w:tcPr>
            <w:tcW w:w="1360" w:type="dxa"/>
            <w:vAlign w:val="bottom"/>
            <w:gridSpan w:val="3"/>
          </w:tcPr>
          <w:p>
            <w:pPr>
              <w:jc w:val="center"/>
              <w:ind w:right="340"/>
              <w:spacing w:after="0"/>
              <w:rPr>
                <w:sz w:val="20"/>
                <w:szCs w:val="20"/>
                <w:color w:val="auto"/>
              </w:rPr>
            </w:pPr>
            <w:r>
              <w:rPr>
                <w:rFonts w:ascii="Arial" w:cs="Arial" w:eastAsia="Arial" w:hAnsi="Arial"/>
                <w:sz w:val="10"/>
                <w:szCs w:val="10"/>
                <w:b w:val="1"/>
                <w:bCs w:val="1"/>
                <w:color w:val="auto"/>
                <w:w w:val="96"/>
              </w:rPr>
              <w:t>Rating</w:t>
            </w:r>
          </w:p>
        </w:tc>
        <w:tc>
          <w:tcPr>
            <w:tcW w:w="940" w:type="dxa"/>
            <w:vAlign w:val="bottom"/>
            <w:gridSpan w:val="2"/>
          </w:tcPr>
          <w:p>
            <w:pPr>
              <w:jc w:val="center"/>
              <w:ind w:right="320"/>
              <w:spacing w:after="0"/>
              <w:rPr>
                <w:sz w:val="20"/>
                <w:szCs w:val="20"/>
                <w:color w:val="auto"/>
              </w:rPr>
            </w:pPr>
            <w:r>
              <w:rPr>
                <w:rFonts w:ascii="Arial" w:cs="Arial" w:eastAsia="Arial" w:hAnsi="Arial"/>
                <w:sz w:val="10"/>
                <w:szCs w:val="10"/>
                <w:b w:val="1"/>
                <w:bCs w:val="1"/>
                <w:color w:val="auto"/>
                <w:w w:val="94"/>
              </w:rPr>
              <w:t>Outlook (1)</w:t>
            </w:r>
          </w:p>
        </w:tc>
        <w:tc>
          <w:tcPr>
            <w:tcW w:w="840" w:type="dxa"/>
            <w:vAlign w:val="bottom"/>
          </w:tcPr>
          <w:p>
            <w:pPr>
              <w:jc w:val="center"/>
              <w:ind w:left="131"/>
              <w:spacing w:after="0"/>
              <w:rPr>
                <w:sz w:val="20"/>
                <w:szCs w:val="20"/>
                <w:color w:val="auto"/>
              </w:rPr>
            </w:pPr>
            <w:r>
              <w:rPr>
                <w:rFonts w:ascii="Arial" w:cs="Arial" w:eastAsia="Arial" w:hAnsi="Arial"/>
                <w:sz w:val="10"/>
                <w:szCs w:val="10"/>
                <w:b w:val="1"/>
                <w:bCs w:val="1"/>
                <w:color w:val="auto"/>
                <w:w w:val="89"/>
              </w:rPr>
              <w:t>Rating</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94"/>
              </w:rPr>
              <w:t>Outlook (2)</w:t>
            </w:r>
          </w:p>
        </w:tc>
        <w:tc>
          <w:tcPr>
            <w:tcW w:w="820" w:type="dxa"/>
            <w:vAlign w:val="bottom"/>
          </w:tcPr>
          <w:p>
            <w:pPr>
              <w:jc w:val="center"/>
              <w:ind w:left="151"/>
              <w:spacing w:after="0"/>
              <w:rPr>
                <w:sz w:val="20"/>
                <w:szCs w:val="20"/>
                <w:color w:val="auto"/>
              </w:rPr>
            </w:pPr>
            <w:r>
              <w:rPr>
                <w:rFonts w:ascii="Arial" w:cs="Arial" w:eastAsia="Arial" w:hAnsi="Arial"/>
                <w:sz w:val="10"/>
                <w:szCs w:val="10"/>
                <w:b w:val="1"/>
                <w:bCs w:val="1"/>
                <w:color w:val="auto"/>
                <w:w w:val="89"/>
              </w:rPr>
              <w:t>Rating</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jc w:val="center"/>
              <w:spacing w:after="0"/>
              <w:rPr>
                <w:sz w:val="20"/>
                <w:szCs w:val="20"/>
                <w:color w:val="auto"/>
              </w:rPr>
            </w:pPr>
            <w:r>
              <w:rPr>
                <w:rFonts w:ascii="Arial" w:cs="Arial" w:eastAsia="Arial" w:hAnsi="Arial"/>
                <w:sz w:val="10"/>
                <w:szCs w:val="10"/>
                <w:b w:val="1"/>
                <w:bCs w:val="1"/>
                <w:color w:val="auto"/>
                <w:w w:val="94"/>
              </w:rPr>
              <w:t>Outlook (3)</w:t>
            </w:r>
          </w:p>
        </w:tc>
        <w:tc>
          <w:tcPr>
            <w:tcW w:w="0" w:type="dxa"/>
            <w:vAlign w:val="bottom"/>
          </w:tcPr>
          <w:p>
            <w:pPr>
              <w:spacing w:after="0"/>
              <w:rPr>
                <w:sz w:val="1"/>
                <w:szCs w:val="1"/>
                <w:color w:val="auto"/>
              </w:rPr>
            </w:pPr>
          </w:p>
        </w:tc>
      </w:tr>
      <w:tr>
        <w:trPr>
          <w:trHeight w:val="78"/>
        </w:trPr>
        <w:tc>
          <w:tcPr>
            <w:tcW w:w="16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8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6"/>
        </w:trPr>
        <w:tc>
          <w:tcPr>
            <w:tcW w:w="1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CenterPoint Energy</w:t>
            </w:r>
          </w:p>
        </w:tc>
        <w:tc>
          <w:tcPr>
            <w:tcW w:w="2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CenterPoint Energy Senior Unsecured Debt</w:t>
            </w:r>
          </w:p>
        </w:tc>
        <w:tc>
          <w:tcPr>
            <w:tcW w:w="1360" w:type="dxa"/>
            <w:vAlign w:val="bottom"/>
            <w:tcBorders>
              <w:bottom w:val="single" w:sz="8" w:color="CCEEFF"/>
            </w:tcBorders>
            <w:gridSpan w:val="3"/>
            <w:shd w:val="clear" w:color="auto" w:fill="CCEEFF"/>
          </w:tcPr>
          <w:p>
            <w:pPr>
              <w:jc w:val="center"/>
              <w:ind w:right="340"/>
              <w:spacing w:after="0"/>
              <w:rPr>
                <w:sz w:val="20"/>
                <w:szCs w:val="20"/>
                <w:color w:val="auto"/>
              </w:rPr>
            </w:pPr>
            <w:r>
              <w:rPr>
                <w:rFonts w:ascii="Arial" w:cs="Arial" w:eastAsia="Arial" w:hAnsi="Arial"/>
                <w:sz w:val="14"/>
                <w:szCs w:val="14"/>
                <w:color w:val="auto"/>
                <w:w w:val="91"/>
              </w:rPr>
              <w:t>Baa2</w:t>
            </w:r>
          </w:p>
        </w:tc>
        <w:tc>
          <w:tcPr>
            <w:tcW w:w="940" w:type="dxa"/>
            <w:vAlign w:val="bottom"/>
            <w:tcBorders>
              <w:bottom w:val="single" w:sz="8" w:color="CCEEFF"/>
            </w:tcBorders>
            <w:gridSpan w:val="2"/>
            <w:shd w:val="clear" w:color="auto" w:fill="CCEEFF"/>
          </w:tcPr>
          <w:p>
            <w:pPr>
              <w:jc w:val="center"/>
              <w:ind w:right="340"/>
              <w:spacing w:after="0"/>
              <w:rPr>
                <w:sz w:val="20"/>
                <w:szCs w:val="20"/>
                <w:color w:val="auto"/>
              </w:rPr>
            </w:pPr>
            <w:r>
              <w:rPr>
                <w:rFonts w:ascii="Arial" w:cs="Arial" w:eastAsia="Arial" w:hAnsi="Arial"/>
                <w:sz w:val="14"/>
                <w:szCs w:val="14"/>
                <w:color w:val="auto"/>
                <w:w w:val="90"/>
              </w:rPr>
              <w:t>Stable</w:t>
            </w:r>
          </w:p>
        </w:tc>
        <w:tc>
          <w:tcPr>
            <w:tcW w:w="840" w:type="dxa"/>
            <w:vAlign w:val="bottom"/>
            <w:tcBorders>
              <w:bottom w:val="single" w:sz="8" w:color="CCEEFF"/>
            </w:tcBorders>
            <w:shd w:val="clear" w:color="auto" w:fill="CCEEFF"/>
          </w:tcPr>
          <w:p>
            <w:pPr>
              <w:jc w:val="center"/>
              <w:ind w:left="131"/>
              <w:spacing w:after="0"/>
              <w:rPr>
                <w:sz w:val="20"/>
                <w:szCs w:val="20"/>
                <w:color w:val="auto"/>
              </w:rPr>
            </w:pPr>
            <w:r>
              <w:rPr>
                <w:rFonts w:ascii="Arial" w:cs="Arial" w:eastAsia="Arial" w:hAnsi="Arial"/>
                <w:sz w:val="14"/>
                <w:szCs w:val="14"/>
                <w:color w:val="auto"/>
                <w:w w:val="99"/>
              </w:rPr>
              <w:t>BBB</w:t>
            </w:r>
          </w:p>
        </w:tc>
        <w:tc>
          <w:tcPr>
            <w:tcW w:w="2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0"/>
              </w:rPr>
              <w:t>Stable</w:t>
            </w:r>
          </w:p>
        </w:tc>
        <w:tc>
          <w:tcPr>
            <w:tcW w:w="820" w:type="dxa"/>
            <w:vAlign w:val="bottom"/>
            <w:tcBorders>
              <w:bottom w:val="single" w:sz="8" w:color="CCEEFF"/>
            </w:tcBorders>
            <w:shd w:val="clear" w:color="auto" w:fill="CCEEFF"/>
          </w:tcPr>
          <w:p>
            <w:pPr>
              <w:jc w:val="center"/>
              <w:ind w:left="151"/>
              <w:spacing w:after="0"/>
              <w:rPr>
                <w:sz w:val="20"/>
                <w:szCs w:val="20"/>
                <w:color w:val="auto"/>
              </w:rPr>
            </w:pPr>
            <w:r>
              <w:rPr>
                <w:rFonts w:ascii="Arial" w:cs="Arial" w:eastAsia="Arial" w:hAnsi="Arial"/>
                <w:sz w:val="14"/>
                <w:szCs w:val="14"/>
                <w:color w:val="auto"/>
                <w:w w:val="99"/>
              </w:rPr>
              <w:t>BBB</w:t>
            </w:r>
          </w:p>
        </w:tc>
        <w:tc>
          <w:tcPr>
            <w:tcW w:w="2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85"/>
              </w:rPr>
              <w:t>Stable</w:t>
            </w:r>
          </w:p>
        </w:tc>
        <w:tc>
          <w:tcPr>
            <w:tcW w:w="0" w:type="dxa"/>
            <w:vAlign w:val="bottom"/>
          </w:tcPr>
          <w:p>
            <w:pPr>
              <w:spacing w:after="0"/>
              <w:rPr>
                <w:sz w:val="1"/>
                <w:szCs w:val="1"/>
                <w:color w:val="auto"/>
              </w:rPr>
            </w:pPr>
          </w:p>
        </w:tc>
      </w:tr>
      <w:tr>
        <w:trPr>
          <w:trHeight w:val="193"/>
        </w:trPr>
        <w:tc>
          <w:tcPr>
            <w:tcW w:w="1740" w:type="dxa"/>
            <w:vAlign w:val="bottom"/>
            <w:gridSpan w:val="2"/>
          </w:tcPr>
          <w:p>
            <w:pPr>
              <w:ind w:left="20"/>
              <w:spacing w:after="0"/>
              <w:rPr>
                <w:sz w:val="20"/>
                <w:szCs w:val="20"/>
                <w:color w:val="auto"/>
              </w:rPr>
            </w:pPr>
            <w:r>
              <w:rPr>
                <w:rFonts w:ascii="Arial" w:cs="Arial" w:eastAsia="Arial" w:hAnsi="Arial"/>
                <w:sz w:val="14"/>
                <w:szCs w:val="14"/>
                <w:color w:val="auto"/>
              </w:rPr>
              <w:t>CenterPoint Energy</w:t>
            </w:r>
          </w:p>
        </w:tc>
        <w:tc>
          <w:tcPr>
            <w:tcW w:w="2980" w:type="dxa"/>
            <w:vAlign w:val="bottom"/>
            <w:gridSpan w:val="2"/>
          </w:tcPr>
          <w:p>
            <w:pPr>
              <w:ind w:left="20"/>
              <w:spacing w:after="0"/>
              <w:rPr>
                <w:sz w:val="20"/>
                <w:szCs w:val="20"/>
                <w:color w:val="auto"/>
              </w:rPr>
            </w:pPr>
            <w:r>
              <w:rPr>
                <w:rFonts w:ascii="Arial" w:cs="Arial" w:eastAsia="Arial" w:hAnsi="Arial"/>
                <w:sz w:val="14"/>
                <w:szCs w:val="14"/>
                <w:color w:val="auto"/>
              </w:rPr>
              <w:t>Vectren Corp. Issuer Rating</w:t>
            </w:r>
          </w:p>
        </w:tc>
        <w:tc>
          <w:tcPr>
            <w:tcW w:w="1360" w:type="dxa"/>
            <w:vAlign w:val="bottom"/>
            <w:gridSpan w:val="3"/>
          </w:tcPr>
          <w:p>
            <w:pPr>
              <w:jc w:val="center"/>
              <w:ind w:right="340"/>
              <w:spacing w:after="0"/>
              <w:rPr>
                <w:sz w:val="20"/>
                <w:szCs w:val="20"/>
                <w:color w:val="auto"/>
              </w:rPr>
            </w:pPr>
            <w:r>
              <w:rPr>
                <w:rFonts w:ascii="Arial" w:cs="Arial" w:eastAsia="Arial" w:hAnsi="Arial"/>
                <w:sz w:val="14"/>
                <w:szCs w:val="14"/>
                <w:color w:val="auto"/>
                <w:w w:val="92"/>
              </w:rPr>
              <w:t>n/a</w:t>
            </w:r>
          </w:p>
        </w:tc>
        <w:tc>
          <w:tcPr>
            <w:tcW w:w="940" w:type="dxa"/>
            <w:vAlign w:val="bottom"/>
            <w:gridSpan w:val="2"/>
          </w:tcPr>
          <w:p>
            <w:pPr>
              <w:jc w:val="center"/>
              <w:ind w:right="320"/>
              <w:spacing w:after="0"/>
              <w:rPr>
                <w:sz w:val="20"/>
                <w:szCs w:val="20"/>
                <w:color w:val="auto"/>
              </w:rPr>
            </w:pPr>
            <w:r>
              <w:rPr>
                <w:rFonts w:ascii="Arial" w:cs="Arial" w:eastAsia="Arial" w:hAnsi="Arial"/>
                <w:sz w:val="14"/>
                <w:szCs w:val="14"/>
                <w:color w:val="auto"/>
                <w:w w:val="92"/>
              </w:rPr>
              <w:t>n/a</w:t>
            </w:r>
          </w:p>
        </w:tc>
        <w:tc>
          <w:tcPr>
            <w:tcW w:w="840" w:type="dxa"/>
            <w:vAlign w:val="bottom"/>
          </w:tcPr>
          <w:p>
            <w:pPr>
              <w:jc w:val="center"/>
              <w:ind w:left="131"/>
              <w:spacing w:after="0"/>
              <w:rPr>
                <w:sz w:val="20"/>
                <w:szCs w:val="20"/>
                <w:color w:val="auto"/>
              </w:rPr>
            </w:pPr>
            <w:r>
              <w:rPr>
                <w:rFonts w:ascii="Arial" w:cs="Arial" w:eastAsia="Arial" w:hAnsi="Arial"/>
                <w:sz w:val="14"/>
                <w:szCs w:val="14"/>
                <w:color w:val="auto"/>
                <w:w w:val="99"/>
              </w:rPr>
              <w:t>BBB+</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center"/>
              <w:ind w:right="120"/>
              <w:spacing w:after="0"/>
              <w:rPr>
                <w:sz w:val="20"/>
                <w:szCs w:val="20"/>
                <w:color w:val="auto"/>
              </w:rPr>
            </w:pPr>
            <w:r>
              <w:rPr>
                <w:rFonts w:ascii="Arial" w:cs="Arial" w:eastAsia="Arial" w:hAnsi="Arial"/>
                <w:sz w:val="14"/>
                <w:szCs w:val="14"/>
                <w:color w:val="auto"/>
                <w:w w:val="90"/>
              </w:rPr>
              <w:t>Stable</w:t>
            </w:r>
          </w:p>
        </w:tc>
        <w:tc>
          <w:tcPr>
            <w:tcW w:w="820" w:type="dxa"/>
            <w:vAlign w:val="bottom"/>
          </w:tcPr>
          <w:p>
            <w:pPr>
              <w:jc w:val="center"/>
              <w:ind w:left="151"/>
              <w:spacing w:after="0"/>
              <w:rPr>
                <w:sz w:val="20"/>
                <w:szCs w:val="20"/>
                <w:color w:val="auto"/>
              </w:rPr>
            </w:pPr>
            <w:r>
              <w:rPr>
                <w:rFonts w:ascii="Arial" w:cs="Arial" w:eastAsia="Arial" w:hAnsi="Arial"/>
                <w:sz w:val="14"/>
                <w:szCs w:val="14"/>
                <w:color w:val="auto"/>
                <w:w w:val="81"/>
              </w:rPr>
              <w:t>n/a</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92"/>
              </w:rPr>
              <w:t>n/a</w:t>
            </w:r>
          </w:p>
        </w:tc>
        <w:tc>
          <w:tcPr>
            <w:tcW w:w="0" w:type="dxa"/>
            <w:vAlign w:val="bottom"/>
          </w:tcPr>
          <w:p>
            <w:pPr>
              <w:spacing w:after="0"/>
              <w:rPr>
                <w:sz w:val="1"/>
                <w:szCs w:val="1"/>
                <w:color w:val="auto"/>
              </w:rPr>
            </w:pPr>
          </w:p>
        </w:tc>
      </w:tr>
      <w:tr>
        <w:trPr>
          <w:trHeight w:val="23"/>
        </w:trPr>
        <w:tc>
          <w:tcPr>
            <w:tcW w:w="1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CenterPoint Energy</w:t>
            </w:r>
          </w:p>
        </w:tc>
        <w:tc>
          <w:tcPr>
            <w:tcW w:w="2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VUHI Senior Unsecured Debt</w:t>
            </w:r>
          </w:p>
        </w:tc>
        <w:tc>
          <w:tcPr>
            <w:tcW w:w="1360" w:type="dxa"/>
            <w:vAlign w:val="bottom"/>
            <w:tcBorders>
              <w:bottom w:val="single" w:sz="8" w:color="CCEEFF"/>
            </w:tcBorders>
            <w:gridSpan w:val="3"/>
            <w:shd w:val="clear" w:color="auto" w:fill="CCEEFF"/>
          </w:tcPr>
          <w:p>
            <w:pPr>
              <w:jc w:val="center"/>
              <w:ind w:right="340"/>
              <w:spacing w:after="0"/>
              <w:rPr>
                <w:sz w:val="20"/>
                <w:szCs w:val="20"/>
                <w:color w:val="auto"/>
              </w:rPr>
            </w:pPr>
            <w:r>
              <w:rPr>
                <w:rFonts w:ascii="Arial" w:cs="Arial" w:eastAsia="Arial" w:hAnsi="Arial"/>
                <w:sz w:val="14"/>
                <w:szCs w:val="14"/>
                <w:color w:val="auto"/>
              </w:rPr>
              <w:t>A3</w:t>
            </w:r>
          </w:p>
        </w:tc>
        <w:tc>
          <w:tcPr>
            <w:tcW w:w="940" w:type="dxa"/>
            <w:vAlign w:val="bottom"/>
            <w:tcBorders>
              <w:bottom w:val="single" w:sz="8" w:color="CCEEFF"/>
            </w:tcBorders>
            <w:gridSpan w:val="2"/>
            <w:shd w:val="clear" w:color="auto" w:fill="CCEEFF"/>
          </w:tcPr>
          <w:p>
            <w:pPr>
              <w:jc w:val="center"/>
              <w:ind w:right="340"/>
              <w:spacing w:after="0"/>
              <w:rPr>
                <w:sz w:val="20"/>
                <w:szCs w:val="20"/>
                <w:color w:val="auto"/>
              </w:rPr>
            </w:pPr>
            <w:r>
              <w:rPr>
                <w:rFonts w:ascii="Arial" w:cs="Arial" w:eastAsia="Arial" w:hAnsi="Arial"/>
                <w:sz w:val="14"/>
                <w:szCs w:val="14"/>
                <w:color w:val="auto"/>
                <w:w w:val="90"/>
              </w:rPr>
              <w:t>Stable</w:t>
            </w:r>
          </w:p>
        </w:tc>
        <w:tc>
          <w:tcPr>
            <w:tcW w:w="840" w:type="dxa"/>
            <w:vAlign w:val="bottom"/>
            <w:tcBorders>
              <w:bottom w:val="single" w:sz="8" w:color="CCEEFF"/>
            </w:tcBorders>
            <w:shd w:val="clear" w:color="auto" w:fill="CCEEFF"/>
          </w:tcPr>
          <w:p>
            <w:pPr>
              <w:jc w:val="center"/>
              <w:ind w:left="131"/>
              <w:spacing w:after="0"/>
              <w:rPr>
                <w:sz w:val="20"/>
                <w:szCs w:val="20"/>
                <w:color w:val="auto"/>
              </w:rPr>
            </w:pPr>
            <w:r>
              <w:rPr>
                <w:rFonts w:ascii="Arial" w:cs="Arial" w:eastAsia="Arial" w:hAnsi="Arial"/>
                <w:sz w:val="14"/>
                <w:szCs w:val="14"/>
                <w:color w:val="auto"/>
                <w:w w:val="99"/>
              </w:rPr>
              <w:t>BBB+</w:t>
            </w:r>
          </w:p>
        </w:tc>
        <w:tc>
          <w:tcPr>
            <w:tcW w:w="2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0"/>
              </w:rPr>
              <w:t>Stable</w:t>
            </w:r>
          </w:p>
        </w:tc>
        <w:tc>
          <w:tcPr>
            <w:tcW w:w="820" w:type="dxa"/>
            <w:vAlign w:val="bottom"/>
            <w:tcBorders>
              <w:bottom w:val="single" w:sz="8" w:color="CCEEFF"/>
            </w:tcBorders>
            <w:shd w:val="clear" w:color="auto" w:fill="CCEEFF"/>
          </w:tcPr>
          <w:p>
            <w:pPr>
              <w:jc w:val="center"/>
              <w:ind w:left="151"/>
              <w:spacing w:after="0"/>
              <w:rPr>
                <w:sz w:val="20"/>
                <w:szCs w:val="20"/>
                <w:color w:val="auto"/>
              </w:rPr>
            </w:pPr>
            <w:r>
              <w:rPr>
                <w:rFonts w:ascii="Arial" w:cs="Arial" w:eastAsia="Arial" w:hAnsi="Arial"/>
                <w:sz w:val="14"/>
                <w:szCs w:val="14"/>
                <w:color w:val="auto"/>
                <w:w w:val="81"/>
              </w:rPr>
              <w:t>n/a</w:t>
            </w:r>
          </w:p>
        </w:tc>
        <w:tc>
          <w:tcPr>
            <w:tcW w:w="2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2"/>
              </w:rPr>
              <w:t>n/a</w:t>
            </w:r>
          </w:p>
        </w:tc>
        <w:tc>
          <w:tcPr>
            <w:tcW w:w="0" w:type="dxa"/>
            <w:vAlign w:val="bottom"/>
          </w:tcPr>
          <w:p>
            <w:pPr>
              <w:spacing w:after="0"/>
              <w:rPr>
                <w:sz w:val="1"/>
                <w:szCs w:val="1"/>
                <w:color w:val="auto"/>
              </w:rPr>
            </w:pPr>
          </w:p>
        </w:tc>
      </w:tr>
      <w:tr>
        <w:trPr>
          <w:trHeight w:val="193"/>
        </w:trPr>
        <w:tc>
          <w:tcPr>
            <w:tcW w:w="1740" w:type="dxa"/>
            <w:vAlign w:val="bottom"/>
            <w:gridSpan w:val="2"/>
          </w:tcPr>
          <w:p>
            <w:pPr>
              <w:ind w:left="20"/>
              <w:spacing w:after="0"/>
              <w:rPr>
                <w:sz w:val="20"/>
                <w:szCs w:val="20"/>
                <w:color w:val="auto"/>
              </w:rPr>
            </w:pPr>
            <w:r>
              <w:rPr>
                <w:rFonts w:ascii="Arial" w:cs="Arial" w:eastAsia="Arial" w:hAnsi="Arial"/>
                <w:sz w:val="14"/>
                <w:szCs w:val="14"/>
                <w:color w:val="auto"/>
              </w:rPr>
              <w:t>CenterPoint Energy</w:t>
            </w:r>
          </w:p>
        </w:tc>
        <w:tc>
          <w:tcPr>
            <w:tcW w:w="2980" w:type="dxa"/>
            <w:vAlign w:val="bottom"/>
            <w:gridSpan w:val="2"/>
          </w:tcPr>
          <w:p>
            <w:pPr>
              <w:ind w:left="20"/>
              <w:spacing w:after="0"/>
              <w:rPr>
                <w:sz w:val="20"/>
                <w:szCs w:val="20"/>
                <w:color w:val="auto"/>
              </w:rPr>
            </w:pPr>
            <w:r>
              <w:rPr>
                <w:rFonts w:ascii="Arial" w:cs="Arial" w:eastAsia="Arial" w:hAnsi="Arial"/>
                <w:sz w:val="14"/>
                <w:szCs w:val="14"/>
                <w:color w:val="auto"/>
              </w:rPr>
              <w:t>Indiana Gas Senior Unsecured Debt</w:t>
            </w:r>
          </w:p>
        </w:tc>
        <w:tc>
          <w:tcPr>
            <w:tcW w:w="1360" w:type="dxa"/>
            <w:vAlign w:val="bottom"/>
            <w:gridSpan w:val="3"/>
          </w:tcPr>
          <w:p>
            <w:pPr>
              <w:jc w:val="center"/>
              <w:ind w:right="340"/>
              <w:spacing w:after="0"/>
              <w:rPr>
                <w:sz w:val="20"/>
                <w:szCs w:val="20"/>
                <w:color w:val="auto"/>
              </w:rPr>
            </w:pPr>
            <w:r>
              <w:rPr>
                <w:rFonts w:ascii="Arial" w:cs="Arial" w:eastAsia="Arial" w:hAnsi="Arial"/>
                <w:sz w:val="14"/>
                <w:szCs w:val="14"/>
                <w:color w:val="auto"/>
              </w:rPr>
              <w:t>A3</w:t>
            </w:r>
          </w:p>
        </w:tc>
        <w:tc>
          <w:tcPr>
            <w:tcW w:w="940" w:type="dxa"/>
            <w:vAlign w:val="bottom"/>
            <w:gridSpan w:val="2"/>
          </w:tcPr>
          <w:p>
            <w:pPr>
              <w:jc w:val="center"/>
              <w:ind w:right="340"/>
              <w:spacing w:after="0"/>
              <w:rPr>
                <w:sz w:val="20"/>
                <w:szCs w:val="20"/>
                <w:color w:val="auto"/>
              </w:rPr>
            </w:pPr>
            <w:r>
              <w:rPr>
                <w:rFonts w:ascii="Arial" w:cs="Arial" w:eastAsia="Arial" w:hAnsi="Arial"/>
                <w:sz w:val="14"/>
                <w:szCs w:val="14"/>
                <w:color w:val="auto"/>
                <w:w w:val="90"/>
              </w:rPr>
              <w:t>Stable</w:t>
            </w:r>
          </w:p>
        </w:tc>
        <w:tc>
          <w:tcPr>
            <w:tcW w:w="840" w:type="dxa"/>
            <w:vAlign w:val="bottom"/>
          </w:tcPr>
          <w:p>
            <w:pPr>
              <w:jc w:val="center"/>
              <w:ind w:left="131"/>
              <w:spacing w:after="0"/>
              <w:rPr>
                <w:sz w:val="20"/>
                <w:szCs w:val="20"/>
                <w:color w:val="auto"/>
              </w:rPr>
            </w:pPr>
            <w:r>
              <w:rPr>
                <w:rFonts w:ascii="Arial" w:cs="Arial" w:eastAsia="Arial" w:hAnsi="Arial"/>
                <w:sz w:val="14"/>
                <w:szCs w:val="14"/>
                <w:color w:val="auto"/>
                <w:w w:val="99"/>
              </w:rPr>
              <w:t>BBB+</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center"/>
              <w:ind w:right="120"/>
              <w:spacing w:after="0"/>
              <w:rPr>
                <w:sz w:val="20"/>
                <w:szCs w:val="20"/>
                <w:color w:val="auto"/>
              </w:rPr>
            </w:pPr>
            <w:r>
              <w:rPr>
                <w:rFonts w:ascii="Arial" w:cs="Arial" w:eastAsia="Arial" w:hAnsi="Arial"/>
                <w:sz w:val="14"/>
                <w:szCs w:val="14"/>
                <w:color w:val="auto"/>
                <w:w w:val="90"/>
              </w:rPr>
              <w:t>Stable</w:t>
            </w:r>
          </w:p>
        </w:tc>
        <w:tc>
          <w:tcPr>
            <w:tcW w:w="820" w:type="dxa"/>
            <w:vAlign w:val="bottom"/>
          </w:tcPr>
          <w:p>
            <w:pPr>
              <w:jc w:val="center"/>
              <w:ind w:left="151"/>
              <w:spacing w:after="0"/>
              <w:rPr>
                <w:sz w:val="20"/>
                <w:szCs w:val="20"/>
                <w:color w:val="auto"/>
              </w:rPr>
            </w:pPr>
            <w:r>
              <w:rPr>
                <w:rFonts w:ascii="Arial" w:cs="Arial" w:eastAsia="Arial" w:hAnsi="Arial"/>
                <w:sz w:val="14"/>
                <w:szCs w:val="14"/>
                <w:color w:val="auto"/>
                <w:w w:val="81"/>
              </w:rPr>
              <w:t>n/a</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92"/>
              </w:rPr>
              <w:t>n/a</w:t>
            </w:r>
          </w:p>
        </w:tc>
        <w:tc>
          <w:tcPr>
            <w:tcW w:w="0" w:type="dxa"/>
            <w:vAlign w:val="bottom"/>
          </w:tcPr>
          <w:p>
            <w:pPr>
              <w:spacing w:after="0"/>
              <w:rPr>
                <w:sz w:val="1"/>
                <w:szCs w:val="1"/>
                <w:color w:val="auto"/>
              </w:rPr>
            </w:pPr>
          </w:p>
        </w:tc>
      </w:tr>
      <w:tr>
        <w:trPr>
          <w:trHeight w:val="23"/>
        </w:trPr>
        <w:tc>
          <w:tcPr>
            <w:tcW w:w="1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CenterPoint Energy</w:t>
            </w:r>
          </w:p>
        </w:tc>
        <w:tc>
          <w:tcPr>
            <w:tcW w:w="2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SIGECO Senior Secured Debt</w:t>
            </w:r>
          </w:p>
        </w:tc>
        <w:tc>
          <w:tcPr>
            <w:tcW w:w="1360" w:type="dxa"/>
            <w:vAlign w:val="bottom"/>
            <w:tcBorders>
              <w:bottom w:val="single" w:sz="8" w:color="CCEEFF"/>
            </w:tcBorders>
            <w:gridSpan w:val="3"/>
            <w:shd w:val="clear" w:color="auto" w:fill="CCEEFF"/>
          </w:tcPr>
          <w:p>
            <w:pPr>
              <w:jc w:val="center"/>
              <w:ind w:right="340"/>
              <w:spacing w:after="0"/>
              <w:rPr>
                <w:sz w:val="20"/>
                <w:szCs w:val="20"/>
                <w:color w:val="auto"/>
              </w:rPr>
            </w:pPr>
            <w:r>
              <w:rPr>
                <w:rFonts w:ascii="Arial" w:cs="Arial" w:eastAsia="Arial" w:hAnsi="Arial"/>
                <w:sz w:val="14"/>
                <w:szCs w:val="14"/>
                <w:color w:val="auto"/>
              </w:rPr>
              <w:t>A1</w:t>
            </w:r>
          </w:p>
        </w:tc>
        <w:tc>
          <w:tcPr>
            <w:tcW w:w="940" w:type="dxa"/>
            <w:vAlign w:val="bottom"/>
            <w:tcBorders>
              <w:bottom w:val="single" w:sz="8" w:color="CCEEFF"/>
            </w:tcBorders>
            <w:gridSpan w:val="2"/>
            <w:shd w:val="clear" w:color="auto" w:fill="CCEEFF"/>
          </w:tcPr>
          <w:p>
            <w:pPr>
              <w:jc w:val="center"/>
              <w:ind w:right="340"/>
              <w:spacing w:after="0"/>
              <w:rPr>
                <w:sz w:val="20"/>
                <w:szCs w:val="20"/>
                <w:color w:val="auto"/>
              </w:rPr>
            </w:pPr>
            <w:r>
              <w:rPr>
                <w:rFonts w:ascii="Arial" w:cs="Arial" w:eastAsia="Arial" w:hAnsi="Arial"/>
                <w:sz w:val="14"/>
                <w:szCs w:val="14"/>
                <w:color w:val="auto"/>
                <w:w w:val="90"/>
              </w:rPr>
              <w:t>Stable</w:t>
            </w:r>
          </w:p>
        </w:tc>
        <w:tc>
          <w:tcPr>
            <w:tcW w:w="840" w:type="dxa"/>
            <w:vAlign w:val="bottom"/>
            <w:tcBorders>
              <w:bottom w:val="single" w:sz="8" w:color="CCEEFF"/>
            </w:tcBorders>
            <w:shd w:val="clear" w:color="auto" w:fill="CCEEFF"/>
          </w:tcPr>
          <w:p>
            <w:pPr>
              <w:jc w:val="center"/>
              <w:ind w:left="131"/>
              <w:spacing w:after="0"/>
              <w:rPr>
                <w:sz w:val="20"/>
                <w:szCs w:val="20"/>
                <w:color w:val="auto"/>
              </w:rPr>
            </w:pPr>
            <w:r>
              <w:rPr>
                <w:rFonts w:ascii="Arial" w:cs="Arial" w:eastAsia="Arial" w:hAnsi="Arial"/>
                <w:sz w:val="14"/>
                <w:szCs w:val="14"/>
                <w:color w:val="auto"/>
              </w:rPr>
              <w:t>A</w:t>
            </w:r>
          </w:p>
        </w:tc>
        <w:tc>
          <w:tcPr>
            <w:tcW w:w="2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0"/>
              </w:rPr>
              <w:t>Stable</w:t>
            </w:r>
          </w:p>
        </w:tc>
        <w:tc>
          <w:tcPr>
            <w:tcW w:w="820" w:type="dxa"/>
            <w:vAlign w:val="bottom"/>
            <w:tcBorders>
              <w:bottom w:val="single" w:sz="8" w:color="CCEEFF"/>
            </w:tcBorders>
            <w:shd w:val="clear" w:color="auto" w:fill="CCEEFF"/>
          </w:tcPr>
          <w:p>
            <w:pPr>
              <w:jc w:val="center"/>
              <w:ind w:left="151"/>
              <w:spacing w:after="0"/>
              <w:rPr>
                <w:sz w:val="20"/>
                <w:szCs w:val="20"/>
                <w:color w:val="auto"/>
              </w:rPr>
            </w:pPr>
            <w:r>
              <w:rPr>
                <w:rFonts w:ascii="Arial" w:cs="Arial" w:eastAsia="Arial" w:hAnsi="Arial"/>
                <w:sz w:val="14"/>
                <w:szCs w:val="14"/>
                <w:color w:val="auto"/>
                <w:w w:val="81"/>
              </w:rPr>
              <w:t>n/a</w:t>
            </w:r>
          </w:p>
        </w:tc>
        <w:tc>
          <w:tcPr>
            <w:tcW w:w="2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2"/>
              </w:rPr>
              <w:t>n/a</w:t>
            </w:r>
          </w:p>
        </w:tc>
        <w:tc>
          <w:tcPr>
            <w:tcW w:w="0" w:type="dxa"/>
            <w:vAlign w:val="bottom"/>
          </w:tcPr>
          <w:p>
            <w:pPr>
              <w:spacing w:after="0"/>
              <w:rPr>
                <w:sz w:val="1"/>
                <w:szCs w:val="1"/>
                <w:color w:val="auto"/>
              </w:rPr>
            </w:pPr>
          </w:p>
        </w:tc>
      </w:tr>
      <w:tr>
        <w:trPr>
          <w:trHeight w:val="193"/>
        </w:trPr>
        <w:tc>
          <w:tcPr>
            <w:tcW w:w="1740" w:type="dxa"/>
            <w:vAlign w:val="bottom"/>
            <w:gridSpan w:val="2"/>
          </w:tcPr>
          <w:p>
            <w:pPr>
              <w:ind w:left="20"/>
              <w:spacing w:after="0"/>
              <w:rPr>
                <w:sz w:val="20"/>
                <w:szCs w:val="20"/>
                <w:color w:val="auto"/>
              </w:rPr>
            </w:pPr>
            <w:r>
              <w:rPr>
                <w:rFonts w:ascii="Arial" w:cs="Arial" w:eastAsia="Arial" w:hAnsi="Arial"/>
                <w:sz w:val="14"/>
                <w:szCs w:val="14"/>
                <w:color w:val="auto"/>
              </w:rPr>
              <w:t>Houston Electric</w:t>
            </w:r>
          </w:p>
        </w:tc>
        <w:tc>
          <w:tcPr>
            <w:tcW w:w="2980" w:type="dxa"/>
            <w:vAlign w:val="bottom"/>
            <w:gridSpan w:val="2"/>
          </w:tcPr>
          <w:p>
            <w:pPr>
              <w:ind w:left="20"/>
              <w:spacing w:after="0"/>
              <w:rPr>
                <w:sz w:val="20"/>
                <w:szCs w:val="20"/>
                <w:color w:val="auto"/>
              </w:rPr>
            </w:pPr>
            <w:r>
              <w:rPr>
                <w:rFonts w:ascii="Arial" w:cs="Arial" w:eastAsia="Arial" w:hAnsi="Arial"/>
                <w:sz w:val="14"/>
                <w:szCs w:val="14"/>
                <w:color w:val="auto"/>
              </w:rPr>
              <w:t>Houston Electric Senior Secured Debt</w:t>
            </w:r>
          </w:p>
        </w:tc>
        <w:tc>
          <w:tcPr>
            <w:tcW w:w="1360" w:type="dxa"/>
            <w:vAlign w:val="bottom"/>
            <w:gridSpan w:val="3"/>
          </w:tcPr>
          <w:p>
            <w:pPr>
              <w:jc w:val="center"/>
              <w:ind w:right="340"/>
              <w:spacing w:after="0"/>
              <w:rPr>
                <w:sz w:val="20"/>
                <w:szCs w:val="20"/>
                <w:color w:val="auto"/>
              </w:rPr>
            </w:pPr>
            <w:r>
              <w:rPr>
                <w:rFonts w:ascii="Arial" w:cs="Arial" w:eastAsia="Arial" w:hAnsi="Arial"/>
                <w:sz w:val="14"/>
                <w:szCs w:val="14"/>
                <w:color w:val="auto"/>
              </w:rPr>
              <w:t>A1</w:t>
            </w:r>
          </w:p>
        </w:tc>
        <w:tc>
          <w:tcPr>
            <w:tcW w:w="940" w:type="dxa"/>
            <w:vAlign w:val="bottom"/>
            <w:gridSpan w:val="2"/>
          </w:tcPr>
          <w:p>
            <w:pPr>
              <w:jc w:val="center"/>
              <w:ind w:right="340"/>
              <w:spacing w:after="0"/>
              <w:rPr>
                <w:sz w:val="20"/>
                <w:szCs w:val="20"/>
                <w:color w:val="auto"/>
              </w:rPr>
            </w:pPr>
            <w:r>
              <w:rPr>
                <w:rFonts w:ascii="Arial" w:cs="Arial" w:eastAsia="Arial" w:hAnsi="Arial"/>
                <w:sz w:val="14"/>
                <w:szCs w:val="14"/>
                <w:color w:val="auto"/>
                <w:w w:val="94"/>
              </w:rPr>
              <w:t>Negative</w:t>
            </w:r>
          </w:p>
        </w:tc>
        <w:tc>
          <w:tcPr>
            <w:tcW w:w="840" w:type="dxa"/>
            <w:vAlign w:val="bottom"/>
          </w:tcPr>
          <w:p>
            <w:pPr>
              <w:jc w:val="center"/>
              <w:ind w:left="131"/>
              <w:spacing w:after="0"/>
              <w:rPr>
                <w:sz w:val="20"/>
                <w:szCs w:val="20"/>
                <w:color w:val="auto"/>
              </w:rPr>
            </w:pPr>
            <w:r>
              <w:rPr>
                <w:rFonts w:ascii="Arial" w:cs="Arial" w:eastAsia="Arial" w:hAnsi="Arial"/>
                <w:sz w:val="14"/>
                <w:szCs w:val="14"/>
                <w:color w:val="auto"/>
              </w:rPr>
              <w:t>A</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center"/>
              <w:ind w:right="120"/>
              <w:spacing w:after="0"/>
              <w:rPr>
                <w:sz w:val="20"/>
                <w:szCs w:val="20"/>
                <w:color w:val="auto"/>
              </w:rPr>
            </w:pPr>
            <w:r>
              <w:rPr>
                <w:rFonts w:ascii="Arial" w:cs="Arial" w:eastAsia="Arial" w:hAnsi="Arial"/>
                <w:sz w:val="14"/>
                <w:szCs w:val="14"/>
                <w:color w:val="auto"/>
                <w:w w:val="90"/>
              </w:rPr>
              <w:t>Stable</w:t>
            </w:r>
          </w:p>
        </w:tc>
        <w:tc>
          <w:tcPr>
            <w:tcW w:w="820" w:type="dxa"/>
            <w:vAlign w:val="bottom"/>
          </w:tcPr>
          <w:p>
            <w:pPr>
              <w:jc w:val="center"/>
              <w:ind w:left="151"/>
              <w:spacing w:after="0"/>
              <w:rPr>
                <w:sz w:val="20"/>
                <w:szCs w:val="20"/>
                <w:color w:val="auto"/>
              </w:rPr>
            </w:pPr>
            <w:r>
              <w:rPr>
                <w:rFonts w:ascii="Arial" w:cs="Arial" w:eastAsia="Arial" w:hAnsi="Arial"/>
                <w:sz w:val="14"/>
                <w:szCs w:val="14"/>
                <w:color w:val="auto"/>
              </w:rPr>
              <w:t>A+</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85"/>
              </w:rPr>
              <w:t>Stable</w:t>
            </w:r>
          </w:p>
        </w:tc>
        <w:tc>
          <w:tcPr>
            <w:tcW w:w="0" w:type="dxa"/>
            <w:vAlign w:val="bottom"/>
          </w:tcPr>
          <w:p>
            <w:pPr>
              <w:spacing w:after="0"/>
              <w:rPr>
                <w:sz w:val="1"/>
                <w:szCs w:val="1"/>
                <w:color w:val="auto"/>
              </w:rPr>
            </w:pPr>
          </w:p>
        </w:tc>
      </w:tr>
      <w:tr>
        <w:trPr>
          <w:trHeight w:val="23"/>
        </w:trPr>
        <w:tc>
          <w:tcPr>
            <w:tcW w:w="1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17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CERC</w:t>
            </w:r>
          </w:p>
        </w:tc>
        <w:tc>
          <w:tcPr>
            <w:tcW w:w="29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CERC Corp. Senior Unsecured Debt</w:t>
            </w:r>
          </w:p>
        </w:tc>
        <w:tc>
          <w:tcPr>
            <w:tcW w:w="1360" w:type="dxa"/>
            <w:vAlign w:val="bottom"/>
            <w:gridSpan w:val="3"/>
            <w:shd w:val="clear" w:color="auto" w:fill="CCEEFF"/>
          </w:tcPr>
          <w:p>
            <w:pPr>
              <w:jc w:val="center"/>
              <w:ind w:right="340"/>
              <w:spacing w:after="0"/>
              <w:rPr>
                <w:sz w:val="20"/>
                <w:szCs w:val="20"/>
                <w:color w:val="auto"/>
              </w:rPr>
            </w:pPr>
            <w:r>
              <w:rPr>
                <w:rFonts w:ascii="Arial" w:cs="Arial" w:eastAsia="Arial" w:hAnsi="Arial"/>
                <w:sz w:val="14"/>
                <w:szCs w:val="14"/>
                <w:color w:val="auto"/>
                <w:w w:val="91"/>
              </w:rPr>
              <w:t>Baa1</w:t>
            </w:r>
          </w:p>
        </w:tc>
        <w:tc>
          <w:tcPr>
            <w:tcW w:w="940" w:type="dxa"/>
            <w:vAlign w:val="bottom"/>
            <w:gridSpan w:val="2"/>
            <w:shd w:val="clear" w:color="auto" w:fill="CCEEFF"/>
          </w:tcPr>
          <w:p>
            <w:pPr>
              <w:jc w:val="center"/>
              <w:ind w:right="320"/>
              <w:spacing w:after="0"/>
              <w:rPr>
                <w:sz w:val="20"/>
                <w:szCs w:val="20"/>
                <w:color w:val="auto"/>
              </w:rPr>
            </w:pPr>
            <w:r>
              <w:rPr>
                <w:rFonts w:ascii="Arial" w:cs="Arial" w:eastAsia="Arial" w:hAnsi="Arial"/>
                <w:sz w:val="14"/>
                <w:szCs w:val="14"/>
                <w:color w:val="auto"/>
                <w:w w:val="93"/>
              </w:rPr>
              <w:t>Positive</w:t>
            </w:r>
          </w:p>
        </w:tc>
        <w:tc>
          <w:tcPr>
            <w:tcW w:w="840" w:type="dxa"/>
            <w:vAlign w:val="bottom"/>
            <w:shd w:val="clear" w:color="auto" w:fill="CCEEFF"/>
          </w:tcPr>
          <w:p>
            <w:pPr>
              <w:jc w:val="center"/>
              <w:ind w:left="131"/>
              <w:spacing w:after="0"/>
              <w:rPr>
                <w:sz w:val="20"/>
                <w:szCs w:val="20"/>
                <w:color w:val="auto"/>
              </w:rPr>
            </w:pPr>
            <w:r>
              <w:rPr>
                <w:rFonts w:ascii="Arial" w:cs="Arial" w:eastAsia="Arial" w:hAnsi="Arial"/>
                <w:sz w:val="14"/>
                <w:szCs w:val="14"/>
                <w:color w:val="auto"/>
                <w:w w:val="99"/>
              </w:rPr>
              <w:t>BBB+</w:t>
            </w: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0"/>
              </w:rPr>
              <w:t>Stable</w:t>
            </w:r>
          </w:p>
        </w:tc>
        <w:tc>
          <w:tcPr>
            <w:tcW w:w="820" w:type="dxa"/>
            <w:vAlign w:val="bottom"/>
            <w:shd w:val="clear" w:color="auto" w:fill="CCEEFF"/>
          </w:tcPr>
          <w:p>
            <w:pPr>
              <w:jc w:val="center"/>
              <w:ind w:left="151"/>
              <w:spacing w:after="0"/>
              <w:rPr>
                <w:sz w:val="20"/>
                <w:szCs w:val="20"/>
                <w:color w:val="auto"/>
              </w:rPr>
            </w:pPr>
            <w:r>
              <w:rPr>
                <w:rFonts w:ascii="Arial" w:cs="Arial" w:eastAsia="Arial" w:hAnsi="Arial"/>
                <w:sz w:val="14"/>
                <w:szCs w:val="14"/>
                <w:color w:val="auto"/>
                <w:w w:val="99"/>
              </w:rPr>
              <w:t>BBB+</w:t>
            </w: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5"/>
              </w:rPr>
              <w:t>Stable</w:t>
            </w:r>
          </w:p>
        </w:tc>
        <w:tc>
          <w:tcPr>
            <w:tcW w:w="0" w:type="dxa"/>
            <w:vAlign w:val="bottom"/>
          </w:tcPr>
          <w:p>
            <w:pPr>
              <w:spacing w:after="0"/>
              <w:rPr>
                <w:sz w:val="1"/>
                <w:szCs w:val="1"/>
                <w:color w:val="auto"/>
              </w:rPr>
            </w:pPr>
          </w:p>
        </w:tc>
      </w:tr>
      <w:tr>
        <w:trPr>
          <w:trHeight w:val="23"/>
        </w:trPr>
        <w:tc>
          <w:tcPr>
            <w:tcW w:w="16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8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2" w:lineRule="exact"/>
        <w:rPr>
          <w:sz w:val="20"/>
          <w:szCs w:val="20"/>
          <w:color w:val="auto"/>
        </w:rPr>
      </w:pPr>
    </w:p>
    <w:p>
      <w:pPr>
        <w:ind w:left="520" w:hanging="255"/>
        <w:spacing w:after="0"/>
        <w:tabs>
          <w:tab w:leader="none" w:pos="520" w:val="left"/>
        </w:tabs>
        <w:numPr>
          <w:ilvl w:val="0"/>
          <w:numId w:val="87"/>
        </w:numPr>
        <w:rPr>
          <w:rFonts w:ascii="Arial" w:cs="Arial" w:eastAsia="Arial" w:hAnsi="Arial"/>
          <w:sz w:val="14"/>
          <w:szCs w:val="14"/>
          <w:color w:val="auto"/>
        </w:rPr>
      </w:pPr>
      <w:r>
        <w:rPr>
          <w:rFonts w:ascii="Arial" w:cs="Arial" w:eastAsia="Arial" w:hAnsi="Arial"/>
          <w:sz w:val="14"/>
          <w:szCs w:val="14"/>
          <w:color w:val="auto"/>
        </w:rPr>
        <w:t>A Moody’s rating outlook is an opinion regarding the likely direction of an issuer’s rating over the medium term.</w:t>
      </w:r>
    </w:p>
    <w:p>
      <w:pPr>
        <w:spacing w:after="0" w:line="183" w:lineRule="exact"/>
        <w:rPr>
          <w:rFonts w:ascii="Arial" w:cs="Arial" w:eastAsia="Arial" w:hAnsi="Arial"/>
          <w:sz w:val="14"/>
          <w:szCs w:val="14"/>
          <w:color w:val="auto"/>
        </w:rPr>
      </w:pPr>
    </w:p>
    <w:p>
      <w:pPr>
        <w:ind w:left="5660" w:right="4440" w:hanging="5395"/>
        <w:spacing w:after="0" w:line="577" w:lineRule="auto"/>
        <w:tabs>
          <w:tab w:leader="none" w:pos="521" w:val="left"/>
        </w:tabs>
        <w:numPr>
          <w:ilvl w:val="0"/>
          <w:numId w:val="87"/>
        </w:numPr>
        <w:rPr>
          <w:rFonts w:ascii="Arial" w:cs="Arial" w:eastAsia="Arial" w:hAnsi="Arial"/>
          <w:sz w:val="14"/>
          <w:szCs w:val="14"/>
          <w:color w:val="auto"/>
        </w:rPr>
      </w:pPr>
      <w:r>
        <w:rPr>
          <w:rFonts w:ascii="Arial" w:cs="Arial" w:eastAsia="Arial" w:hAnsi="Arial"/>
          <w:sz w:val="14"/>
          <w:szCs w:val="14"/>
          <w:color w:val="auto"/>
        </w:rPr>
        <w:t>An S&amp;P outlook assesses the potential direction of a long-term credit rating over the intermediate to longer term. 90</w:t>
      </w:r>
    </w:p>
    <w:p>
      <w:pPr>
        <w:sectPr>
          <w:pgSz w:w="11900" w:h="16838" w:orient="portrait"/>
          <w:cols w:equalWidth="0" w:num="1">
            <w:col w:w="11460"/>
          </w:cols>
          <w:pgMar w:left="220" w:top="129" w:right="219" w:bottom="1440" w:gutter="0" w:footer="0" w:header="0"/>
        </w:sectPr>
      </w:pPr>
    </w:p>
    <w:bookmarkStart w:id="100" w:name="page101"/>
    <w:bookmarkEnd w:id="100"/>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378" w:lineRule="exact"/>
        <w:rPr>
          <w:sz w:val="20"/>
          <w:szCs w:val="20"/>
          <w:color w:val="auto"/>
        </w:rPr>
      </w:pPr>
    </w:p>
    <w:p>
      <w:pPr>
        <w:ind w:left="260"/>
        <w:spacing w:after="0"/>
        <w:rPr>
          <w:sz w:val="20"/>
          <w:szCs w:val="20"/>
          <w:color w:val="auto"/>
        </w:rPr>
      </w:pPr>
      <w:r>
        <w:rPr>
          <w:rFonts w:ascii="Arial" w:cs="Arial" w:eastAsia="Arial" w:hAnsi="Arial"/>
          <w:sz w:val="14"/>
          <w:szCs w:val="14"/>
          <w:color w:val="auto"/>
        </w:rPr>
        <w:t>(3)  A Fitch rating outlook indicates the direction a rating is likely to move over a one- to two-year period.</w:t>
      </w:r>
    </w:p>
    <w:p>
      <w:pPr>
        <w:spacing w:after="0" w:line="184" w:lineRule="exact"/>
        <w:rPr>
          <w:sz w:val="20"/>
          <w:szCs w:val="20"/>
          <w:color w:val="auto"/>
        </w:rPr>
      </w:pPr>
    </w:p>
    <w:p>
      <w:pPr>
        <w:jc w:val="both"/>
        <w:ind w:firstLine="259"/>
        <w:spacing w:after="0" w:line="294" w:lineRule="auto"/>
        <w:rPr>
          <w:sz w:val="20"/>
          <w:szCs w:val="20"/>
          <w:color w:val="auto"/>
        </w:rPr>
      </w:pPr>
      <w:r>
        <w:rPr>
          <w:rFonts w:ascii="Arial" w:cs="Arial" w:eastAsia="Arial" w:hAnsi="Arial"/>
          <w:sz w:val="13"/>
          <w:szCs w:val="13"/>
          <w:color w:val="auto"/>
        </w:rPr>
        <w:t>The Registrants cannot assure that the ratings set forth above will remain in effect for any given period of time or that one or more of these ratings will not be lowered or withdrawn entirely by a rating agency. The Registrants note that these credit ratings are included for informational purposes and are not recommendations to buy, sell or hold the Registrants’ securities and may be revised or withdrawn at any time by the rating agency. Each rating should be evaluated independently of any other rating. Any future reduction or withdrawal of one or more of the Registrants’ credit ratings could have a material adverse impact on the Registrants’ ability to obtain short- and long-term financing, the cost of such financings and the execution of the Registrants’ commercial strategies.</w:t>
      </w:r>
    </w:p>
    <w:p>
      <w:pPr>
        <w:spacing w:after="0" w:line="130" w:lineRule="exact"/>
        <w:rPr>
          <w:sz w:val="20"/>
          <w:szCs w:val="20"/>
          <w:color w:val="auto"/>
        </w:rPr>
      </w:pPr>
    </w:p>
    <w:p>
      <w:pPr>
        <w:jc w:val="both"/>
        <w:ind w:firstLine="259"/>
        <w:spacing w:after="0" w:line="264" w:lineRule="auto"/>
        <w:rPr>
          <w:sz w:val="20"/>
          <w:szCs w:val="20"/>
          <w:color w:val="auto"/>
        </w:rPr>
      </w:pPr>
      <w:r>
        <w:rPr>
          <w:rFonts w:ascii="Arial" w:cs="Arial" w:eastAsia="Arial" w:hAnsi="Arial"/>
          <w:sz w:val="14"/>
          <w:szCs w:val="14"/>
          <w:color w:val="auto"/>
        </w:rPr>
        <w:t>A decline in credit ratings could increase borrowing costs under the Registrants’ revolving credit facilities. If the Registrants’ credit ratings had been downgraded one notch by S&amp;P and Moody’s from the ratings that existed as of September 30, 2019, the impact on the borrowing costs under the five revolving credit facilities would have been immaterial. A decline in credit ratings would also increase the interest rate on long-term debt to be issued in the capital markets and could negatively impact the Registrants’ ability to complete capital market transactions and to access the commercial paper market. Additionally, a decline in credit ratings could increase cash collateral requirements and reduce earnings of CenterPoint Energy’s and CERC’s Natural Gas Distribution and Energy Services reportable segments.</w:t>
      </w:r>
    </w:p>
    <w:p>
      <w:pPr>
        <w:spacing w:after="0" w:line="149" w:lineRule="exact"/>
        <w:rPr>
          <w:sz w:val="20"/>
          <w:szCs w:val="20"/>
          <w:color w:val="auto"/>
        </w:rPr>
      </w:pPr>
    </w:p>
    <w:p>
      <w:pPr>
        <w:jc w:val="both"/>
        <w:ind w:firstLine="259"/>
        <w:spacing w:after="0" w:line="261" w:lineRule="auto"/>
        <w:rPr>
          <w:sz w:val="20"/>
          <w:szCs w:val="20"/>
          <w:color w:val="auto"/>
        </w:rPr>
      </w:pPr>
      <w:r>
        <w:rPr>
          <w:rFonts w:ascii="Arial" w:cs="Arial" w:eastAsia="Arial" w:hAnsi="Arial"/>
          <w:sz w:val="14"/>
          <w:szCs w:val="14"/>
          <w:color w:val="auto"/>
        </w:rPr>
        <w:t>CES, operating in the Energy Services reportable segment, provides natural gas sales and services primarily to commercial and industrial customers and electric and natural gas utilities throughout the United States. To economically hedge its exposure to natural gas prices, CES uses derivatives with provisions standard for the industry, including those pertaining to credit thresholds. Typically, the credit threshold negotiated with each counterparty defines the amount of unsecured credit that such counterparty will extend to CES. To the extent that the credit exposure that a counterparty has to CES at a particular time does not exceed that credit threshold, CES is not obligated to provide collateral. Mark-to-market exposure in excess of the credit threshold is routinely collateralized by CES. Similarly, mark-to-market exposure offsetting and exceeding the credit threshold may cause the counterparty to provide collateral to CES. As of September 30, 2019, the amount posted by CES as collateral aggregated approximately $69 million. Should the credit ratings of CERC Corp. (as the credit support provider for CES) fall below certain levels, CES would be required to provide additional collateral up to the amount of its previously unsecured credit limit. CenterPoint Energy and CERC estimate that as of September 30, 2019, unsecured credit limits extended to CES by counterparties aggregated $467 million, and none of such amount was utilized.</w:t>
      </w:r>
    </w:p>
    <w:p>
      <w:pPr>
        <w:spacing w:after="0" w:line="151" w:lineRule="exact"/>
        <w:rPr>
          <w:sz w:val="20"/>
          <w:szCs w:val="20"/>
          <w:color w:val="auto"/>
        </w:rPr>
      </w:pPr>
    </w:p>
    <w:p>
      <w:pPr>
        <w:jc w:val="both"/>
        <w:ind w:firstLine="259"/>
        <w:spacing w:after="0" w:line="267" w:lineRule="auto"/>
        <w:rPr>
          <w:sz w:val="20"/>
          <w:szCs w:val="20"/>
          <w:color w:val="auto"/>
        </w:rPr>
      </w:pPr>
      <w:r>
        <w:rPr>
          <w:rFonts w:ascii="Arial" w:cs="Arial" w:eastAsia="Arial" w:hAnsi="Arial"/>
          <w:sz w:val="14"/>
          <w:szCs w:val="14"/>
          <w:color w:val="auto"/>
        </w:rPr>
        <w:t>Pipeline tariffs and contracts typically provide that if the credit ratings of a shipper or the shipper’s guarantor drop below a threshold level, which is generally investment grade ratings from both Moody’s and S&amp;P, cash or other collateral may be demanded from the shipper in an amount equal to the sum of three months’ charges for pipeline services plus the unrecouped cost of any lateral built for such shipper. If the credit ratings of CERC Corp. decline below the applicable threshold levels, CERC might need to provide cash or other collateral of as much as $165 million as of September 30, 2019. The amount of collateral will depend on seasonal variations in transportation levels.</w:t>
      </w:r>
    </w:p>
    <w:p>
      <w:pPr>
        <w:spacing w:after="0" w:line="146" w:lineRule="exact"/>
        <w:rPr>
          <w:sz w:val="20"/>
          <w:szCs w:val="20"/>
          <w:color w:val="auto"/>
        </w:rPr>
      </w:pPr>
    </w:p>
    <w:p>
      <w:pPr>
        <w:ind w:left="140"/>
        <w:spacing w:after="0"/>
        <w:rPr>
          <w:sz w:val="20"/>
          <w:szCs w:val="20"/>
          <w:color w:val="auto"/>
        </w:rPr>
      </w:pPr>
      <w:r>
        <w:rPr>
          <w:rFonts w:ascii="Arial" w:cs="Arial" w:eastAsia="Arial" w:hAnsi="Arial"/>
          <w:sz w:val="14"/>
          <w:szCs w:val="14"/>
          <w:b w:val="1"/>
          <w:bCs w:val="1"/>
          <w:i w:val="1"/>
          <w:iCs w:val="1"/>
          <w:color w:val="auto"/>
        </w:rPr>
        <w:t>ZENS and Securities Related to ZENS (CenterPoint Energy)</w:t>
      </w:r>
    </w:p>
    <w:p>
      <w:pPr>
        <w:spacing w:after="0" w:line="184" w:lineRule="exact"/>
        <w:rPr>
          <w:sz w:val="20"/>
          <w:szCs w:val="20"/>
          <w:color w:val="auto"/>
        </w:rPr>
      </w:pPr>
    </w:p>
    <w:p>
      <w:pPr>
        <w:jc w:val="both"/>
        <w:ind w:firstLine="259"/>
        <w:spacing w:after="0" w:line="284" w:lineRule="auto"/>
        <w:rPr>
          <w:sz w:val="20"/>
          <w:szCs w:val="20"/>
          <w:color w:val="auto"/>
        </w:rPr>
      </w:pPr>
      <w:r>
        <w:rPr>
          <w:rFonts w:ascii="Arial" w:cs="Arial" w:eastAsia="Arial" w:hAnsi="Arial"/>
          <w:sz w:val="13"/>
          <w:szCs w:val="13"/>
          <w:color w:val="auto"/>
        </w:rPr>
        <w:t>If CenterPoint Energy’s creditworthiness were to drop such that ZENS holders thought its liquidity was adversely affected or the market for the ZENS were to become illiquid, some ZENS holders might decide to exchange their ZENS for cash. Funds for the payment of cash upon exchange could be obtained from the sale of the shares of ZENS-Related Securities that CenterPoint Energy owns or from other sources. CenterPoint Energy owns shares of ZENS-Related Securities equal to approximately 100% of the reference shares used to calculate its obligation to the holders of the ZENS. ZENS exchanges result in a cash outflow because tax deferrals related to the ZENS and shares of ZENS-Related Securities would typically cease when ZENS are exchanged or otherwise retired and shares of ZENS-Related Securities are sold. The ultimate tax liability related to the ZENS continues to increase by the amount of the tax benefit realized each year, and there could be a significant cash outflow when the taxes are paid as a result of the retirement or exchange of the ZENS. If all ZENS had been exchanged for cash on September 30, 2019, deferred taxes of approximately $432 million would have been payable in 2019. If all the ZENS-Related Securities had been sold on September 30, 2019, capital gains taxes of approximately $133 million would have been payable in 2019 based on 2019 tax rates in effect. For additional information about ZENS, see Note 11 to the Interim Condensed Financial Statements.</w:t>
      </w:r>
    </w:p>
    <w:p>
      <w:pPr>
        <w:spacing w:after="0" w:line="137" w:lineRule="exact"/>
        <w:rPr>
          <w:sz w:val="20"/>
          <w:szCs w:val="20"/>
          <w:color w:val="auto"/>
        </w:rPr>
      </w:pPr>
    </w:p>
    <w:p>
      <w:pPr>
        <w:ind w:left="140"/>
        <w:spacing w:after="0"/>
        <w:rPr>
          <w:sz w:val="20"/>
          <w:szCs w:val="20"/>
          <w:color w:val="auto"/>
        </w:rPr>
      </w:pPr>
      <w:r>
        <w:rPr>
          <w:rFonts w:ascii="Arial" w:cs="Arial" w:eastAsia="Arial" w:hAnsi="Arial"/>
          <w:sz w:val="14"/>
          <w:szCs w:val="14"/>
          <w:b w:val="1"/>
          <w:bCs w:val="1"/>
          <w:i w:val="1"/>
          <w:iCs w:val="1"/>
          <w:color w:val="auto"/>
        </w:rPr>
        <w:t>Cross Defaults</w:t>
      </w:r>
    </w:p>
    <w:p>
      <w:pPr>
        <w:spacing w:after="0" w:line="184" w:lineRule="exact"/>
        <w:rPr>
          <w:sz w:val="20"/>
          <w:szCs w:val="20"/>
          <w:color w:val="auto"/>
        </w:rPr>
      </w:pPr>
    </w:p>
    <w:p>
      <w:pPr>
        <w:jc w:val="both"/>
        <w:ind w:firstLine="259"/>
        <w:spacing w:after="0" w:line="272" w:lineRule="auto"/>
        <w:rPr>
          <w:sz w:val="20"/>
          <w:szCs w:val="20"/>
          <w:color w:val="auto"/>
        </w:rPr>
      </w:pPr>
      <w:r>
        <w:rPr>
          <w:rFonts w:ascii="Arial" w:cs="Arial" w:eastAsia="Arial" w:hAnsi="Arial"/>
          <w:sz w:val="14"/>
          <w:szCs w:val="14"/>
          <w:color w:val="auto"/>
        </w:rPr>
        <w:t>Under each of CenterPoint Energy’s, Houston Electric’s and CERC’s respective revolving credit facilities, as well as under CenterPoint Energy’s term loan agreement, a payment default on, or a non-payment default that permits acceleration of, any indebtedness for borrowed money and certain other specified types of obligations (including guarantees) exceeding $125 million by the borrower or any of their respective significant subsidiaries will cause a default under such borrower’s respective credit</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91</w:t>
      </w:r>
    </w:p>
    <w:p>
      <w:pPr>
        <w:sectPr>
          <w:pgSz w:w="11900" w:h="16838" w:orient="portrait"/>
          <w:cols w:equalWidth="0" w:num="1">
            <w:col w:w="11460"/>
          </w:cols>
          <w:pgMar w:left="220" w:top="129" w:right="219" w:bottom="1440" w:gutter="0" w:footer="0" w:header="0"/>
        </w:sectPr>
      </w:pPr>
    </w:p>
    <w:bookmarkStart w:id="101" w:name="page102"/>
    <w:bookmarkEnd w:id="101"/>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205" w:lineRule="exact"/>
        <w:rPr>
          <w:sz w:val="20"/>
          <w:szCs w:val="20"/>
          <w:color w:val="auto"/>
        </w:rPr>
      </w:pPr>
    </w:p>
    <w:p>
      <w:pPr>
        <w:spacing w:after="0"/>
        <w:rPr>
          <w:sz w:val="20"/>
          <w:szCs w:val="20"/>
          <w:color w:val="auto"/>
        </w:rPr>
      </w:pPr>
      <w:r>
        <w:rPr>
          <w:rFonts w:ascii="Arial" w:cs="Arial" w:eastAsia="Arial" w:hAnsi="Arial"/>
          <w:sz w:val="14"/>
          <w:szCs w:val="14"/>
          <w:color w:val="auto"/>
        </w:rPr>
        <w:t>facility or term loan agreement. A default by CenterPoint Energy would not trigger a default under its subsidiaries’ debt instruments or revolving credit facilities.</w:t>
      </w:r>
    </w:p>
    <w:p>
      <w:pPr>
        <w:spacing w:after="0" w:line="184" w:lineRule="exact"/>
        <w:rPr>
          <w:sz w:val="20"/>
          <w:szCs w:val="20"/>
          <w:color w:val="auto"/>
        </w:rPr>
      </w:pPr>
    </w:p>
    <w:p>
      <w:pPr>
        <w:jc w:val="both"/>
        <w:ind w:firstLine="259"/>
        <w:spacing w:after="0" w:line="272" w:lineRule="auto"/>
        <w:rPr>
          <w:sz w:val="20"/>
          <w:szCs w:val="20"/>
          <w:color w:val="auto"/>
        </w:rPr>
      </w:pPr>
      <w:r>
        <w:rPr>
          <w:rFonts w:ascii="Arial" w:cs="Arial" w:eastAsia="Arial" w:hAnsi="Arial"/>
          <w:sz w:val="14"/>
          <w:szCs w:val="14"/>
          <w:color w:val="auto"/>
        </w:rPr>
        <w:t>Under each of VUHI’s and VCC’s respective revolving credit facilities and term loan agreements, a payment default on, or a non-payment default that permits acceleration of, any indebtedness for borrowed money and certain other specified types of obligations (including guarantees) exceeding $50 million by the borrower, any of their respective subsidiaries or any of the respective guarantors of a credit facility or term loan agreement will cause a default under such borrower’s respective credit facility or term loan agreement.</w:t>
      </w:r>
    </w:p>
    <w:p>
      <w:pPr>
        <w:spacing w:after="0" w:line="142" w:lineRule="exact"/>
        <w:rPr>
          <w:sz w:val="20"/>
          <w:szCs w:val="20"/>
          <w:color w:val="auto"/>
        </w:rPr>
      </w:pPr>
    </w:p>
    <w:p>
      <w:pPr>
        <w:ind w:left="140"/>
        <w:spacing w:after="0"/>
        <w:rPr>
          <w:sz w:val="20"/>
          <w:szCs w:val="20"/>
          <w:color w:val="auto"/>
        </w:rPr>
      </w:pPr>
      <w:r>
        <w:rPr>
          <w:rFonts w:ascii="Arial" w:cs="Arial" w:eastAsia="Arial" w:hAnsi="Arial"/>
          <w:sz w:val="14"/>
          <w:szCs w:val="14"/>
          <w:b w:val="1"/>
          <w:bCs w:val="1"/>
          <w:i w:val="1"/>
          <w:iCs w:val="1"/>
          <w:color w:val="auto"/>
        </w:rPr>
        <w:t>Possible Acquisitions, Divestitures and Joint Ventures</w:t>
      </w:r>
    </w:p>
    <w:p>
      <w:pPr>
        <w:spacing w:after="0" w:line="184" w:lineRule="exact"/>
        <w:rPr>
          <w:sz w:val="20"/>
          <w:szCs w:val="20"/>
          <w:color w:val="auto"/>
        </w:rPr>
      </w:pPr>
    </w:p>
    <w:p>
      <w:pPr>
        <w:jc w:val="both"/>
        <w:ind w:firstLine="259"/>
        <w:spacing w:after="0" w:line="264" w:lineRule="auto"/>
        <w:rPr>
          <w:sz w:val="20"/>
          <w:szCs w:val="20"/>
          <w:color w:val="auto"/>
        </w:rPr>
      </w:pPr>
      <w:r>
        <w:rPr>
          <w:rFonts w:ascii="Arial" w:cs="Arial" w:eastAsia="Arial" w:hAnsi="Arial"/>
          <w:sz w:val="14"/>
          <w:szCs w:val="14"/>
          <w:color w:val="auto"/>
        </w:rPr>
        <w:t>From time to time, the Registrants consider the acquisition or the disposition of assets or businesses or possible joint ventures, strategic initiatives or other joint ownership arrangements with respect to assets or businesses. Any determination to take action in this regard will be based on market conditions and opportunities existing at the time, and accordingly, the timing, size or success of any efforts and the associated potential capital commitments are unpredictable. The Registrants may seek to fund all or part of any such efforts with proceeds from debt and/or equity issuances. Debt or equity financing may not, however, be available to the Registrants at that time due to a variety of events, including, among others, maintenance of our credit ratings, industry conditions, general economic conditions, market conditions and market perceptions.</w:t>
      </w:r>
    </w:p>
    <w:p>
      <w:pPr>
        <w:spacing w:after="0" w:line="149" w:lineRule="exact"/>
        <w:rPr>
          <w:sz w:val="20"/>
          <w:szCs w:val="20"/>
          <w:color w:val="auto"/>
        </w:rPr>
      </w:pPr>
    </w:p>
    <w:p>
      <w:pPr>
        <w:jc w:val="both"/>
        <w:ind w:firstLine="259"/>
        <w:spacing w:after="0" w:line="267" w:lineRule="auto"/>
        <w:rPr>
          <w:sz w:val="20"/>
          <w:szCs w:val="20"/>
          <w:color w:val="auto"/>
        </w:rPr>
      </w:pPr>
      <w:r>
        <w:rPr>
          <w:rFonts w:ascii="Arial" w:cs="Arial" w:eastAsia="Arial" w:hAnsi="Arial"/>
          <w:sz w:val="14"/>
          <w:szCs w:val="14"/>
          <w:color w:val="auto"/>
        </w:rPr>
        <w:t>CenterPoint Energy previously disclosed that it may reduce its ownership in Enable over time through sales in the public equity markets, or otherwise, of the Enable common units it holds, subject to market conditions. CenterPoint Energy has no intention to reduce its ownership of Enable common units and currently plans to hold such Enable common units and to utilize any cash distributions received on such Enable common units to finance a portion of CenterPoint Energy’s capital expenditure program. CenterPoint Energy may consider or alter its plans or proposals in respect of any such plans in the future.</w:t>
      </w:r>
    </w:p>
    <w:p>
      <w:pPr>
        <w:spacing w:after="0" w:line="146" w:lineRule="exact"/>
        <w:rPr>
          <w:sz w:val="20"/>
          <w:szCs w:val="20"/>
          <w:color w:val="auto"/>
        </w:rPr>
      </w:pPr>
    </w:p>
    <w:p>
      <w:pPr>
        <w:ind w:left="140"/>
        <w:spacing w:after="0"/>
        <w:rPr>
          <w:sz w:val="20"/>
          <w:szCs w:val="20"/>
          <w:color w:val="auto"/>
        </w:rPr>
      </w:pPr>
      <w:r>
        <w:rPr>
          <w:rFonts w:ascii="Arial" w:cs="Arial" w:eastAsia="Arial" w:hAnsi="Arial"/>
          <w:sz w:val="14"/>
          <w:szCs w:val="14"/>
          <w:b w:val="1"/>
          <w:bCs w:val="1"/>
          <w:i w:val="1"/>
          <w:iCs w:val="1"/>
          <w:color w:val="auto"/>
        </w:rPr>
        <w:t>Enable Midstream Partners (CenterPoint Energy and CERC)</w:t>
      </w:r>
    </w:p>
    <w:p>
      <w:pPr>
        <w:spacing w:after="0" w:line="184" w:lineRule="exact"/>
        <w:rPr>
          <w:sz w:val="20"/>
          <w:szCs w:val="20"/>
          <w:color w:val="auto"/>
        </w:rPr>
      </w:pPr>
    </w:p>
    <w:p>
      <w:pPr>
        <w:jc w:val="both"/>
        <w:ind w:firstLine="259"/>
        <w:spacing w:after="0" w:line="272" w:lineRule="auto"/>
        <w:rPr>
          <w:sz w:val="20"/>
          <w:szCs w:val="20"/>
          <w:color w:val="auto"/>
        </w:rPr>
      </w:pPr>
      <w:r>
        <w:rPr>
          <w:rFonts w:ascii="Arial" w:cs="Arial" w:eastAsia="Arial" w:hAnsi="Arial"/>
          <w:sz w:val="14"/>
          <w:szCs w:val="14"/>
          <w:color w:val="auto"/>
        </w:rPr>
        <w:t>In September 2018, CERC completed the Internal Spin, after which CERC’s equity investment in Enable met the criteria for discontinued operations classification. As a result, the operations have been classified as Income from discontinued operations, net of tax, in CERC’s Condensed Statements of Consolidated Income for the periods presented. For further information, see Note 9 to the Interim Condensed Financial Statements.</w:t>
      </w:r>
    </w:p>
    <w:p>
      <w:pPr>
        <w:spacing w:after="0" w:line="142" w:lineRule="exact"/>
        <w:rPr>
          <w:sz w:val="20"/>
          <w:szCs w:val="20"/>
          <w:color w:val="auto"/>
        </w:rPr>
      </w:pPr>
    </w:p>
    <w:p>
      <w:pPr>
        <w:jc w:val="both"/>
        <w:ind w:firstLine="259"/>
        <w:spacing w:after="0" w:line="272" w:lineRule="auto"/>
        <w:rPr>
          <w:sz w:val="20"/>
          <w:szCs w:val="20"/>
          <w:color w:val="auto"/>
        </w:rPr>
      </w:pPr>
      <w:r>
        <w:rPr>
          <w:rFonts w:ascii="Arial" w:cs="Arial" w:eastAsia="Arial" w:hAnsi="Arial"/>
          <w:sz w:val="14"/>
          <w:szCs w:val="14"/>
          <w:color w:val="auto"/>
        </w:rPr>
        <w:t>CenterPoint Energy receives quarterly cash distributions from Enable on its common units and Enable Series A Preferred Units. A reduction in the cash distributions CenterPoint Energy receives from Enable could significantly impact CenterPoint Energy’s liquidity. For additional information about cash distributions from Enable, see Notes 9 and 21 to the Interim Condensed Financial Statements.</w:t>
      </w:r>
    </w:p>
    <w:p>
      <w:pPr>
        <w:spacing w:after="0" w:line="142" w:lineRule="exact"/>
        <w:rPr>
          <w:sz w:val="20"/>
          <w:szCs w:val="20"/>
          <w:color w:val="auto"/>
        </w:rPr>
      </w:pPr>
    </w:p>
    <w:p>
      <w:pPr>
        <w:ind w:left="140"/>
        <w:spacing w:after="0"/>
        <w:rPr>
          <w:sz w:val="20"/>
          <w:szCs w:val="20"/>
          <w:color w:val="auto"/>
        </w:rPr>
      </w:pPr>
      <w:r>
        <w:rPr>
          <w:rFonts w:ascii="Arial" w:cs="Arial" w:eastAsia="Arial" w:hAnsi="Arial"/>
          <w:sz w:val="14"/>
          <w:szCs w:val="14"/>
          <w:b w:val="1"/>
          <w:bCs w:val="1"/>
          <w:i w:val="1"/>
          <w:iCs w:val="1"/>
          <w:color w:val="auto"/>
        </w:rPr>
        <w:t>Hedging of Interest Expense</w:t>
      </w:r>
    </w:p>
    <w:p>
      <w:pPr>
        <w:spacing w:after="0" w:line="184" w:lineRule="exact"/>
        <w:rPr>
          <w:sz w:val="20"/>
          <w:szCs w:val="20"/>
          <w:color w:val="auto"/>
        </w:rPr>
      </w:pPr>
    </w:p>
    <w:p>
      <w:pPr>
        <w:ind w:left="260"/>
        <w:spacing w:after="0"/>
        <w:rPr>
          <w:sz w:val="20"/>
          <w:szCs w:val="20"/>
          <w:color w:val="auto"/>
        </w:rPr>
      </w:pPr>
      <w:r>
        <w:rPr>
          <w:rFonts w:ascii="Arial" w:cs="Arial" w:eastAsia="Arial" w:hAnsi="Arial"/>
          <w:sz w:val="13"/>
          <w:szCs w:val="13"/>
          <w:color w:val="auto"/>
        </w:rPr>
        <w:t>From time to time, the Registrants may enter into interest rate agreements to hedge, in part, volatility in the U.S. treasury rates by reducing variability in cash flows related to interest payments.</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color w:val="auto"/>
        </w:rPr>
        <w:t>For further information, see Note 7(a) to the Interim Condensed Financial Statements.</w:t>
      </w:r>
    </w:p>
    <w:p>
      <w:pPr>
        <w:spacing w:after="0" w:line="174" w:lineRule="exact"/>
        <w:rPr>
          <w:sz w:val="20"/>
          <w:szCs w:val="20"/>
          <w:color w:val="auto"/>
        </w:rPr>
      </w:pPr>
    </w:p>
    <w:p>
      <w:pPr>
        <w:ind w:left="140"/>
        <w:spacing w:after="0"/>
        <w:rPr>
          <w:sz w:val="20"/>
          <w:szCs w:val="20"/>
          <w:color w:val="auto"/>
        </w:rPr>
      </w:pPr>
      <w:r>
        <w:rPr>
          <w:rFonts w:ascii="Arial" w:cs="Arial" w:eastAsia="Arial" w:hAnsi="Arial"/>
          <w:sz w:val="14"/>
          <w:szCs w:val="14"/>
          <w:b w:val="1"/>
          <w:bCs w:val="1"/>
          <w:i w:val="1"/>
          <w:iCs w:val="1"/>
          <w:color w:val="auto"/>
        </w:rPr>
        <w:t>Weather Hedge (CenterPoint Energy and CERC)</w:t>
      </w:r>
    </w:p>
    <w:p>
      <w:pPr>
        <w:spacing w:after="0" w:line="184" w:lineRule="exact"/>
        <w:rPr>
          <w:sz w:val="20"/>
          <w:szCs w:val="20"/>
          <w:color w:val="auto"/>
        </w:rPr>
      </w:pPr>
    </w:p>
    <w:p>
      <w:pPr>
        <w:jc w:val="both"/>
        <w:ind w:firstLine="259"/>
        <w:spacing w:after="0" w:line="272" w:lineRule="auto"/>
        <w:rPr>
          <w:sz w:val="20"/>
          <w:szCs w:val="20"/>
          <w:color w:val="auto"/>
        </w:rPr>
      </w:pPr>
      <w:r>
        <w:rPr>
          <w:rFonts w:ascii="Arial" w:cs="Arial" w:eastAsia="Arial" w:hAnsi="Arial"/>
          <w:sz w:val="14"/>
          <w:szCs w:val="14"/>
          <w:color w:val="auto"/>
        </w:rPr>
        <w:t>CenterPoint Energy and CERC have historically entered into partial weather hedges for certain NGD jurisdictions and electric operations’ Texas service territory to mitigate the impact of fluctuations from normal weather. CenterPoint Energy and CERC remain exposed to some weather risk as a result of the partial hedges. For more information about weather hedges, see Note 7(a) to the Interim Condensed Financial Statements.</w:t>
      </w:r>
    </w:p>
    <w:p>
      <w:pPr>
        <w:spacing w:after="0" w:line="142" w:lineRule="exact"/>
        <w:rPr>
          <w:sz w:val="20"/>
          <w:szCs w:val="20"/>
          <w:color w:val="auto"/>
        </w:rPr>
      </w:pPr>
    </w:p>
    <w:p>
      <w:pPr>
        <w:ind w:left="140"/>
        <w:spacing w:after="0"/>
        <w:rPr>
          <w:sz w:val="20"/>
          <w:szCs w:val="20"/>
          <w:color w:val="auto"/>
        </w:rPr>
      </w:pPr>
      <w:r>
        <w:rPr>
          <w:rFonts w:ascii="Arial" w:cs="Arial" w:eastAsia="Arial" w:hAnsi="Arial"/>
          <w:sz w:val="14"/>
          <w:szCs w:val="14"/>
          <w:b w:val="1"/>
          <w:bCs w:val="1"/>
          <w:i w:val="1"/>
          <w:iCs w:val="1"/>
          <w:color w:val="auto"/>
        </w:rPr>
        <w:t>Collection of Receivables from REPs (CenterPoint Energy and Houston Electric)</w:t>
      </w:r>
    </w:p>
    <w:p>
      <w:pPr>
        <w:spacing w:after="0" w:line="184" w:lineRule="exact"/>
        <w:rPr>
          <w:sz w:val="20"/>
          <w:szCs w:val="20"/>
          <w:color w:val="auto"/>
        </w:rPr>
      </w:pPr>
    </w:p>
    <w:p>
      <w:pPr>
        <w:jc w:val="both"/>
        <w:ind w:firstLine="259"/>
        <w:spacing w:after="0" w:line="263" w:lineRule="auto"/>
        <w:rPr>
          <w:sz w:val="20"/>
          <w:szCs w:val="20"/>
          <w:color w:val="auto"/>
        </w:rPr>
      </w:pPr>
      <w:r>
        <w:rPr>
          <w:rFonts w:ascii="Arial" w:cs="Arial" w:eastAsia="Arial" w:hAnsi="Arial"/>
          <w:sz w:val="14"/>
          <w:szCs w:val="14"/>
          <w:color w:val="auto"/>
        </w:rPr>
        <w:t>Houston Electric’s receivables from the distribution of electricity are collected from REPs that supply the electricity Houston Electric distributes to their customers. Before conducting business, a REP must register with the PUCT and must meet certain financial qualifications. Nevertheless, adverse economic conditions, structural problems in the market served by ERCOT or financial difficulties of one or more REPs could impair the ability of these REPs to pay for Houston Electric’s services or could cause them to delay such payments. Houston Electric depends on these REPs to remit payments on a timely basis, and any delay or default in payment by REPs could adversely affect Houston Electric’s cash flows. In the event of a REP’s default, Houston Electric’s tariff provides a number of remedies, including the option for Houston Electric to request that the PUCT suspend or revoke the certification of the REP. Applicable regulatory provisions require that customers be shifted to another REP or a provider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92</w:t>
      </w:r>
    </w:p>
    <w:p>
      <w:pPr>
        <w:sectPr>
          <w:pgSz w:w="11900" w:h="16838" w:orient="portrait"/>
          <w:cols w:equalWidth="0" w:num="1">
            <w:col w:w="11460"/>
          </w:cols>
          <w:pgMar w:left="220" w:top="129" w:right="219" w:bottom="1440" w:gutter="0" w:footer="0" w:header="0"/>
        </w:sectPr>
      </w:pPr>
    </w:p>
    <w:bookmarkStart w:id="102" w:name="page103"/>
    <w:bookmarkEnd w:id="102"/>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205" w:lineRule="exact"/>
        <w:rPr>
          <w:sz w:val="20"/>
          <w:szCs w:val="20"/>
          <w:color w:val="auto"/>
        </w:rPr>
      </w:pPr>
    </w:p>
    <w:p>
      <w:pPr>
        <w:jc w:val="both"/>
        <w:spacing w:after="0" w:line="264" w:lineRule="auto"/>
        <w:rPr>
          <w:sz w:val="20"/>
          <w:szCs w:val="20"/>
          <w:color w:val="auto"/>
        </w:rPr>
      </w:pPr>
      <w:r>
        <w:rPr>
          <w:rFonts w:ascii="Arial" w:cs="Arial" w:eastAsia="Arial" w:hAnsi="Arial"/>
          <w:sz w:val="14"/>
          <w:szCs w:val="14"/>
          <w:color w:val="auto"/>
        </w:rPr>
        <w:t>of last resort if a REP cannot make timely payments. However, Houston Electric remains at risk for payments related to services provided prior to the shift to the replacement REP or the provider of last resort. If a REP were unable to meet its obligations, it could consider, among various options, restructuring under the bankruptcy laws, in which event such REP might seek to avoid honoring its obligations and claims might be made against Houston Electric involving payments it had received from such REP. If a REP were to file for bankruptcy, Houston Electric may not be successful in recovering accrued receivables owed by such REP that are unpaid as of the date the REP filed for bankruptcy. However, PUCT regulations authorize utilities, such as Houston Electric, to defer bad debts resulting from defaults by REPs for recovery in future rate cases, subject to a review of reasonableness and necessity.</w:t>
      </w:r>
    </w:p>
    <w:p>
      <w:pPr>
        <w:spacing w:after="0" w:line="149" w:lineRule="exact"/>
        <w:rPr>
          <w:sz w:val="20"/>
          <w:szCs w:val="20"/>
          <w:color w:val="auto"/>
        </w:rPr>
      </w:pPr>
    </w:p>
    <w:p>
      <w:pPr>
        <w:ind w:left="140"/>
        <w:spacing w:after="0"/>
        <w:rPr>
          <w:sz w:val="20"/>
          <w:szCs w:val="20"/>
          <w:color w:val="auto"/>
        </w:rPr>
      </w:pPr>
      <w:r>
        <w:rPr>
          <w:rFonts w:ascii="Arial" w:cs="Arial" w:eastAsia="Arial" w:hAnsi="Arial"/>
          <w:sz w:val="14"/>
          <w:szCs w:val="14"/>
          <w:b w:val="1"/>
          <w:bCs w:val="1"/>
          <w:i w:val="1"/>
          <w:iCs w:val="1"/>
          <w:color w:val="auto"/>
        </w:rPr>
        <w:t>Other Factors that Could Affect Cash Requirements</w:t>
      </w:r>
    </w:p>
    <w:p>
      <w:pPr>
        <w:spacing w:after="0" w:line="184" w:lineRule="exact"/>
        <w:rPr>
          <w:sz w:val="20"/>
          <w:szCs w:val="20"/>
          <w:color w:val="auto"/>
        </w:rPr>
      </w:pPr>
    </w:p>
    <w:p>
      <w:pPr>
        <w:ind w:left="260"/>
        <w:spacing w:after="0"/>
        <w:rPr>
          <w:sz w:val="20"/>
          <w:szCs w:val="20"/>
          <w:color w:val="auto"/>
        </w:rPr>
      </w:pPr>
      <w:r>
        <w:rPr>
          <w:rFonts w:ascii="Arial" w:cs="Arial" w:eastAsia="Arial" w:hAnsi="Arial"/>
          <w:sz w:val="14"/>
          <w:szCs w:val="14"/>
          <w:color w:val="auto"/>
        </w:rPr>
        <w:t>In addition to the above factors, the Registrants’ liquidity and capital resources could be affected by:</w:t>
      </w:r>
    </w:p>
    <w:p>
      <w:pPr>
        <w:spacing w:after="0" w:line="184" w:lineRule="exact"/>
        <w:rPr>
          <w:sz w:val="20"/>
          <w:szCs w:val="20"/>
          <w:color w:val="auto"/>
        </w:rPr>
      </w:pPr>
    </w:p>
    <w:p>
      <w:pPr>
        <w:ind w:left="520" w:hanging="255"/>
        <w:spacing w:after="0" w:line="288" w:lineRule="auto"/>
        <w:tabs>
          <w:tab w:leader="none" w:pos="520" w:val="left"/>
        </w:tabs>
        <w:numPr>
          <w:ilvl w:val="0"/>
          <w:numId w:val="88"/>
        </w:numPr>
        <w:rPr>
          <w:rFonts w:ascii="Arial" w:cs="Arial" w:eastAsia="Arial" w:hAnsi="Arial"/>
          <w:sz w:val="14"/>
          <w:szCs w:val="14"/>
          <w:color w:val="auto"/>
        </w:rPr>
      </w:pPr>
      <w:r>
        <w:rPr>
          <w:rFonts w:ascii="Arial" w:cs="Arial" w:eastAsia="Arial" w:hAnsi="Arial"/>
          <w:sz w:val="14"/>
          <w:szCs w:val="14"/>
          <w:color w:val="auto"/>
        </w:rPr>
        <w:t>cash collateral requirements that could exist in connection with certain contracts, including weather hedging arrangements, and natural gas purchases, natural gas price and natural gas storage activities of CenterPoint Energy’s and CERC’s Natural Gas Distribution and Energy Services reportable segments;</w:t>
      </w:r>
    </w:p>
    <w:p>
      <w:pPr>
        <w:spacing w:after="0" w:line="130" w:lineRule="exact"/>
        <w:rPr>
          <w:rFonts w:ascii="Arial" w:cs="Arial" w:eastAsia="Arial" w:hAnsi="Arial"/>
          <w:sz w:val="14"/>
          <w:szCs w:val="14"/>
          <w:color w:val="auto"/>
        </w:rPr>
      </w:pPr>
    </w:p>
    <w:p>
      <w:pPr>
        <w:ind w:left="520" w:hanging="255"/>
        <w:spacing w:after="0" w:line="288" w:lineRule="auto"/>
        <w:tabs>
          <w:tab w:leader="none" w:pos="520" w:val="left"/>
        </w:tabs>
        <w:numPr>
          <w:ilvl w:val="0"/>
          <w:numId w:val="88"/>
        </w:numPr>
        <w:rPr>
          <w:rFonts w:ascii="Arial" w:cs="Arial" w:eastAsia="Arial" w:hAnsi="Arial"/>
          <w:sz w:val="14"/>
          <w:szCs w:val="14"/>
          <w:color w:val="auto"/>
        </w:rPr>
      </w:pPr>
      <w:r>
        <w:rPr>
          <w:rFonts w:ascii="Arial" w:cs="Arial" w:eastAsia="Arial" w:hAnsi="Arial"/>
          <w:sz w:val="14"/>
          <w:szCs w:val="14"/>
          <w:color w:val="auto"/>
        </w:rPr>
        <w:t>acceleration of payment dates on certain gas supply contracts, under certain circumstances, as a result of increased natural gas prices and concentration of natural gas suppliers (CenterPoint Energy and CERC);</w:t>
      </w:r>
    </w:p>
    <w:p>
      <w:pPr>
        <w:spacing w:after="0" w:line="130" w:lineRule="exact"/>
        <w:rPr>
          <w:rFonts w:ascii="Arial" w:cs="Arial" w:eastAsia="Arial" w:hAnsi="Arial"/>
          <w:sz w:val="14"/>
          <w:szCs w:val="14"/>
          <w:color w:val="auto"/>
        </w:rPr>
      </w:pPr>
    </w:p>
    <w:p>
      <w:pPr>
        <w:ind w:left="520" w:hanging="255"/>
        <w:spacing w:after="0"/>
        <w:tabs>
          <w:tab w:leader="none" w:pos="520" w:val="left"/>
        </w:tabs>
        <w:numPr>
          <w:ilvl w:val="0"/>
          <w:numId w:val="88"/>
        </w:numPr>
        <w:rPr>
          <w:rFonts w:ascii="Arial" w:cs="Arial" w:eastAsia="Arial" w:hAnsi="Arial"/>
          <w:sz w:val="14"/>
          <w:szCs w:val="14"/>
          <w:color w:val="auto"/>
        </w:rPr>
      </w:pPr>
      <w:r>
        <w:rPr>
          <w:rFonts w:ascii="Arial" w:cs="Arial" w:eastAsia="Arial" w:hAnsi="Arial"/>
          <w:sz w:val="14"/>
          <w:szCs w:val="14"/>
          <w:color w:val="auto"/>
        </w:rPr>
        <w:t>increased costs related to the acquisition of natural gas (CenterPoint Energy and CERC);</w:t>
      </w:r>
    </w:p>
    <w:p>
      <w:pPr>
        <w:spacing w:after="0" w:line="183" w:lineRule="exact"/>
        <w:rPr>
          <w:rFonts w:ascii="Arial" w:cs="Arial" w:eastAsia="Arial" w:hAnsi="Arial"/>
          <w:sz w:val="14"/>
          <w:szCs w:val="14"/>
          <w:color w:val="auto"/>
        </w:rPr>
      </w:pPr>
    </w:p>
    <w:p>
      <w:pPr>
        <w:ind w:left="520" w:hanging="255"/>
        <w:spacing w:after="0"/>
        <w:tabs>
          <w:tab w:leader="none" w:pos="520" w:val="left"/>
        </w:tabs>
        <w:numPr>
          <w:ilvl w:val="0"/>
          <w:numId w:val="88"/>
        </w:numPr>
        <w:rPr>
          <w:rFonts w:ascii="Arial" w:cs="Arial" w:eastAsia="Arial" w:hAnsi="Arial"/>
          <w:sz w:val="14"/>
          <w:szCs w:val="14"/>
          <w:color w:val="auto"/>
        </w:rPr>
      </w:pPr>
      <w:r>
        <w:rPr>
          <w:rFonts w:ascii="Arial" w:cs="Arial" w:eastAsia="Arial" w:hAnsi="Arial"/>
          <w:sz w:val="14"/>
          <w:szCs w:val="14"/>
          <w:color w:val="auto"/>
        </w:rPr>
        <w:t>increases in interest expense in connection with debt refinancings and borrowings under credit facilities or term loans;</w:t>
      </w:r>
    </w:p>
    <w:p>
      <w:pPr>
        <w:spacing w:after="0" w:line="183" w:lineRule="exact"/>
        <w:rPr>
          <w:rFonts w:ascii="Arial" w:cs="Arial" w:eastAsia="Arial" w:hAnsi="Arial"/>
          <w:sz w:val="14"/>
          <w:szCs w:val="14"/>
          <w:color w:val="auto"/>
        </w:rPr>
      </w:pPr>
    </w:p>
    <w:p>
      <w:pPr>
        <w:ind w:left="520" w:hanging="255"/>
        <w:spacing w:after="0"/>
        <w:tabs>
          <w:tab w:leader="none" w:pos="520" w:val="left"/>
        </w:tabs>
        <w:numPr>
          <w:ilvl w:val="0"/>
          <w:numId w:val="88"/>
        </w:numPr>
        <w:rPr>
          <w:rFonts w:ascii="Arial" w:cs="Arial" w:eastAsia="Arial" w:hAnsi="Arial"/>
          <w:sz w:val="14"/>
          <w:szCs w:val="14"/>
          <w:color w:val="auto"/>
        </w:rPr>
      </w:pPr>
      <w:r>
        <w:rPr>
          <w:rFonts w:ascii="Arial" w:cs="Arial" w:eastAsia="Arial" w:hAnsi="Arial"/>
          <w:sz w:val="14"/>
          <w:szCs w:val="14"/>
          <w:color w:val="auto"/>
        </w:rPr>
        <w:t>various legislative or regulatory actions;</w:t>
      </w:r>
    </w:p>
    <w:p>
      <w:pPr>
        <w:spacing w:after="0" w:line="183" w:lineRule="exact"/>
        <w:rPr>
          <w:rFonts w:ascii="Arial" w:cs="Arial" w:eastAsia="Arial" w:hAnsi="Arial"/>
          <w:sz w:val="14"/>
          <w:szCs w:val="14"/>
          <w:color w:val="auto"/>
        </w:rPr>
      </w:pPr>
    </w:p>
    <w:p>
      <w:pPr>
        <w:ind w:left="520" w:hanging="255"/>
        <w:spacing w:after="0"/>
        <w:tabs>
          <w:tab w:leader="none" w:pos="520" w:val="left"/>
        </w:tabs>
        <w:numPr>
          <w:ilvl w:val="0"/>
          <w:numId w:val="88"/>
        </w:numPr>
        <w:rPr>
          <w:rFonts w:ascii="Arial" w:cs="Arial" w:eastAsia="Arial" w:hAnsi="Arial"/>
          <w:sz w:val="14"/>
          <w:szCs w:val="14"/>
          <w:color w:val="auto"/>
        </w:rPr>
      </w:pPr>
      <w:r>
        <w:rPr>
          <w:rFonts w:ascii="Arial" w:cs="Arial" w:eastAsia="Arial" w:hAnsi="Arial"/>
          <w:sz w:val="14"/>
          <w:szCs w:val="14"/>
          <w:color w:val="auto"/>
        </w:rPr>
        <w:t>incremental collateral, if any, that may be required due to regulation of derivatives (CenterPoint Energy and CERC);</w:t>
      </w:r>
    </w:p>
    <w:p>
      <w:pPr>
        <w:spacing w:after="0" w:line="183" w:lineRule="exact"/>
        <w:rPr>
          <w:rFonts w:ascii="Arial" w:cs="Arial" w:eastAsia="Arial" w:hAnsi="Arial"/>
          <w:sz w:val="14"/>
          <w:szCs w:val="14"/>
          <w:color w:val="auto"/>
        </w:rPr>
      </w:pPr>
    </w:p>
    <w:p>
      <w:pPr>
        <w:ind w:left="520" w:hanging="255"/>
        <w:spacing w:after="0"/>
        <w:tabs>
          <w:tab w:leader="none" w:pos="520" w:val="left"/>
        </w:tabs>
        <w:numPr>
          <w:ilvl w:val="0"/>
          <w:numId w:val="88"/>
        </w:numPr>
        <w:rPr>
          <w:rFonts w:ascii="Arial" w:cs="Arial" w:eastAsia="Arial" w:hAnsi="Arial"/>
          <w:sz w:val="13"/>
          <w:szCs w:val="13"/>
          <w:color w:val="auto"/>
        </w:rPr>
      </w:pPr>
      <w:r>
        <w:rPr>
          <w:rFonts w:ascii="Arial" w:cs="Arial" w:eastAsia="Arial" w:hAnsi="Arial"/>
          <w:sz w:val="13"/>
          <w:szCs w:val="13"/>
          <w:color w:val="auto"/>
        </w:rPr>
        <w:t>the ability of REPs, including REP affiliates of NRG and Vistra Energy Corp., formerly known as TCEH Corp., to satisfy their obligations to CenterPoint Energy and Houston Electric;</w:t>
      </w:r>
    </w:p>
    <w:p>
      <w:pPr>
        <w:spacing w:after="0" w:line="195" w:lineRule="exact"/>
        <w:rPr>
          <w:rFonts w:ascii="Arial" w:cs="Arial" w:eastAsia="Arial" w:hAnsi="Arial"/>
          <w:sz w:val="13"/>
          <w:szCs w:val="13"/>
          <w:color w:val="auto"/>
        </w:rPr>
      </w:pPr>
    </w:p>
    <w:p>
      <w:pPr>
        <w:ind w:left="520" w:hanging="255"/>
        <w:spacing w:after="0"/>
        <w:tabs>
          <w:tab w:leader="none" w:pos="520" w:val="left"/>
        </w:tabs>
        <w:numPr>
          <w:ilvl w:val="0"/>
          <w:numId w:val="88"/>
        </w:numPr>
        <w:rPr>
          <w:rFonts w:ascii="Arial" w:cs="Arial" w:eastAsia="Arial" w:hAnsi="Arial"/>
          <w:sz w:val="14"/>
          <w:szCs w:val="14"/>
          <w:color w:val="auto"/>
        </w:rPr>
      </w:pPr>
      <w:r>
        <w:rPr>
          <w:rFonts w:ascii="Arial" w:cs="Arial" w:eastAsia="Arial" w:hAnsi="Arial"/>
          <w:sz w:val="14"/>
          <w:szCs w:val="14"/>
          <w:color w:val="auto"/>
        </w:rPr>
        <w:t>slower customer payments and increased write-offs of receivables due to higher natural gas prices or changing economic conditions (CenterPoint Energy and CERC);</w:t>
      </w:r>
    </w:p>
    <w:p>
      <w:pPr>
        <w:spacing w:after="0" w:line="183" w:lineRule="exact"/>
        <w:rPr>
          <w:rFonts w:ascii="Arial" w:cs="Arial" w:eastAsia="Arial" w:hAnsi="Arial"/>
          <w:sz w:val="14"/>
          <w:szCs w:val="14"/>
          <w:color w:val="auto"/>
        </w:rPr>
      </w:pPr>
    </w:p>
    <w:p>
      <w:pPr>
        <w:ind w:left="520" w:hanging="255"/>
        <w:spacing w:after="0"/>
        <w:tabs>
          <w:tab w:leader="none" w:pos="520" w:val="left"/>
        </w:tabs>
        <w:numPr>
          <w:ilvl w:val="0"/>
          <w:numId w:val="88"/>
        </w:numPr>
        <w:rPr>
          <w:rFonts w:ascii="Arial" w:cs="Arial" w:eastAsia="Arial" w:hAnsi="Arial"/>
          <w:sz w:val="14"/>
          <w:szCs w:val="14"/>
          <w:color w:val="auto"/>
        </w:rPr>
      </w:pPr>
      <w:r>
        <w:rPr>
          <w:rFonts w:ascii="Arial" w:cs="Arial" w:eastAsia="Arial" w:hAnsi="Arial"/>
          <w:sz w:val="14"/>
          <w:szCs w:val="14"/>
          <w:color w:val="auto"/>
        </w:rPr>
        <w:t>the satisfaction of any obligations pursuant to guarantees;</w:t>
      </w:r>
    </w:p>
    <w:p>
      <w:pPr>
        <w:spacing w:after="0" w:line="183" w:lineRule="exact"/>
        <w:rPr>
          <w:rFonts w:ascii="Arial" w:cs="Arial" w:eastAsia="Arial" w:hAnsi="Arial"/>
          <w:sz w:val="14"/>
          <w:szCs w:val="14"/>
          <w:color w:val="auto"/>
        </w:rPr>
      </w:pPr>
    </w:p>
    <w:p>
      <w:pPr>
        <w:ind w:left="520" w:hanging="255"/>
        <w:spacing w:after="0"/>
        <w:tabs>
          <w:tab w:leader="none" w:pos="520" w:val="left"/>
        </w:tabs>
        <w:numPr>
          <w:ilvl w:val="0"/>
          <w:numId w:val="88"/>
        </w:numPr>
        <w:rPr>
          <w:rFonts w:ascii="Arial" w:cs="Arial" w:eastAsia="Arial" w:hAnsi="Arial"/>
          <w:sz w:val="14"/>
          <w:szCs w:val="14"/>
          <w:color w:val="auto"/>
        </w:rPr>
      </w:pPr>
      <w:r>
        <w:rPr>
          <w:rFonts w:ascii="Arial" w:cs="Arial" w:eastAsia="Arial" w:hAnsi="Arial"/>
          <w:sz w:val="14"/>
          <w:szCs w:val="14"/>
          <w:color w:val="auto"/>
        </w:rPr>
        <w:t>the outcome of litigation;</w:t>
      </w:r>
    </w:p>
    <w:p>
      <w:pPr>
        <w:spacing w:after="0" w:line="183" w:lineRule="exact"/>
        <w:rPr>
          <w:rFonts w:ascii="Arial" w:cs="Arial" w:eastAsia="Arial" w:hAnsi="Arial"/>
          <w:sz w:val="14"/>
          <w:szCs w:val="14"/>
          <w:color w:val="auto"/>
        </w:rPr>
      </w:pPr>
    </w:p>
    <w:p>
      <w:pPr>
        <w:ind w:left="520" w:hanging="255"/>
        <w:spacing w:after="0"/>
        <w:tabs>
          <w:tab w:leader="none" w:pos="520" w:val="left"/>
        </w:tabs>
        <w:numPr>
          <w:ilvl w:val="0"/>
          <w:numId w:val="88"/>
        </w:numPr>
        <w:rPr>
          <w:rFonts w:ascii="Arial" w:cs="Arial" w:eastAsia="Arial" w:hAnsi="Arial"/>
          <w:sz w:val="14"/>
          <w:szCs w:val="14"/>
          <w:color w:val="auto"/>
        </w:rPr>
      </w:pPr>
      <w:r>
        <w:rPr>
          <w:rFonts w:ascii="Arial" w:cs="Arial" w:eastAsia="Arial" w:hAnsi="Arial"/>
          <w:sz w:val="14"/>
          <w:szCs w:val="14"/>
          <w:color w:val="auto"/>
        </w:rPr>
        <w:t>contributions to pension and postretirement benefit plans;</w:t>
      </w:r>
    </w:p>
    <w:p>
      <w:pPr>
        <w:spacing w:after="0" w:line="183" w:lineRule="exact"/>
        <w:rPr>
          <w:rFonts w:ascii="Arial" w:cs="Arial" w:eastAsia="Arial" w:hAnsi="Arial"/>
          <w:sz w:val="14"/>
          <w:szCs w:val="14"/>
          <w:color w:val="auto"/>
        </w:rPr>
      </w:pPr>
    </w:p>
    <w:p>
      <w:pPr>
        <w:ind w:left="520" w:hanging="255"/>
        <w:spacing w:after="0"/>
        <w:tabs>
          <w:tab w:leader="none" w:pos="520" w:val="left"/>
        </w:tabs>
        <w:numPr>
          <w:ilvl w:val="0"/>
          <w:numId w:val="88"/>
        </w:numPr>
        <w:rPr>
          <w:rFonts w:ascii="Arial" w:cs="Arial" w:eastAsia="Arial" w:hAnsi="Arial"/>
          <w:sz w:val="14"/>
          <w:szCs w:val="14"/>
          <w:color w:val="auto"/>
        </w:rPr>
      </w:pPr>
      <w:r>
        <w:rPr>
          <w:rFonts w:ascii="Arial" w:cs="Arial" w:eastAsia="Arial" w:hAnsi="Arial"/>
          <w:sz w:val="14"/>
          <w:szCs w:val="14"/>
          <w:color w:val="auto"/>
        </w:rPr>
        <w:t>restoration costs and revenue losses resulting from future natural disasters such as hurricanes and the timing of recovery of such restoration costs; and</w:t>
      </w:r>
    </w:p>
    <w:p>
      <w:pPr>
        <w:spacing w:after="0" w:line="183" w:lineRule="exact"/>
        <w:rPr>
          <w:rFonts w:ascii="Arial" w:cs="Arial" w:eastAsia="Arial" w:hAnsi="Arial"/>
          <w:sz w:val="14"/>
          <w:szCs w:val="14"/>
          <w:color w:val="auto"/>
        </w:rPr>
      </w:pPr>
    </w:p>
    <w:p>
      <w:pPr>
        <w:ind w:left="520" w:hanging="255"/>
        <w:spacing w:after="0"/>
        <w:tabs>
          <w:tab w:leader="none" w:pos="520" w:val="left"/>
        </w:tabs>
        <w:numPr>
          <w:ilvl w:val="0"/>
          <w:numId w:val="88"/>
        </w:numPr>
        <w:rPr>
          <w:rFonts w:ascii="Arial" w:cs="Arial" w:eastAsia="Arial" w:hAnsi="Arial"/>
          <w:sz w:val="14"/>
          <w:szCs w:val="14"/>
          <w:color w:val="auto"/>
        </w:rPr>
      </w:pPr>
      <w:r>
        <w:rPr>
          <w:rFonts w:ascii="Arial" w:cs="Arial" w:eastAsia="Arial" w:hAnsi="Arial"/>
          <w:sz w:val="14"/>
          <w:szCs w:val="14"/>
          <w:color w:val="auto"/>
        </w:rPr>
        <w:t xml:space="preserve">various other risks identified in “Risk Factors” in </w:t>
      </w:r>
      <w:hyperlink r:id="rId10">
        <w:r>
          <w:rPr>
            <w:rFonts w:ascii="Arial" w:cs="Arial" w:eastAsia="Arial" w:hAnsi="Arial"/>
            <w:sz w:val="14"/>
            <w:szCs w:val="14"/>
            <w:u w:val="single" w:color="auto"/>
            <w:color w:val="0000EE"/>
          </w:rPr>
          <w:t>Item 1A of Part I of the Registrants’ combined 2018 Form 10-K</w:t>
        </w:r>
        <w:r>
          <w:rPr>
            <w:rFonts w:ascii="Arial" w:cs="Arial" w:eastAsia="Arial" w:hAnsi="Arial"/>
            <w:sz w:val="14"/>
            <w:szCs w:val="14"/>
            <w:u w:val="single" w:color="auto"/>
            <w:color w:val="auto"/>
          </w:rPr>
          <w:t xml:space="preserve"> </w:t>
        </w:r>
      </w:hyperlink>
      <w:r>
        <w:rPr>
          <w:rFonts w:ascii="Arial" w:cs="Arial" w:eastAsia="Arial" w:hAnsi="Arial"/>
          <w:sz w:val="14"/>
          <w:szCs w:val="14"/>
          <w:color w:val="auto"/>
        </w:rPr>
        <w:t>and in Item 1A of Part II of this Form 10-Q.</w:t>
      </w:r>
    </w:p>
    <w:p>
      <w:pPr>
        <w:spacing w:after="0" w:line="184" w:lineRule="exact"/>
        <w:rPr>
          <w:sz w:val="20"/>
          <w:szCs w:val="20"/>
          <w:color w:val="auto"/>
        </w:rPr>
      </w:pPr>
    </w:p>
    <w:p>
      <w:pPr>
        <w:ind w:left="140"/>
        <w:spacing w:after="0"/>
        <w:rPr>
          <w:sz w:val="20"/>
          <w:szCs w:val="20"/>
          <w:color w:val="auto"/>
        </w:rPr>
      </w:pPr>
      <w:r>
        <w:rPr>
          <w:rFonts w:ascii="Arial" w:cs="Arial" w:eastAsia="Arial" w:hAnsi="Arial"/>
          <w:sz w:val="14"/>
          <w:szCs w:val="14"/>
          <w:b w:val="1"/>
          <w:bCs w:val="1"/>
          <w:i w:val="1"/>
          <w:iCs w:val="1"/>
          <w:color w:val="auto"/>
        </w:rPr>
        <w:t>Certain Contractual Limits on Our Ability to Issue Securities and Borrow Money</w:t>
      </w:r>
    </w:p>
    <w:p>
      <w:pPr>
        <w:spacing w:after="0" w:line="184" w:lineRule="exact"/>
        <w:rPr>
          <w:sz w:val="20"/>
          <w:szCs w:val="20"/>
          <w:color w:val="auto"/>
        </w:rPr>
      </w:pPr>
    </w:p>
    <w:p>
      <w:pPr>
        <w:jc w:val="both"/>
        <w:ind w:firstLine="259"/>
        <w:spacing w:after="0" w:line="288" w:lineRule="auto"/>
        <w:rPr>
          <w:sz w:val="20"/>
          <w:szCs w:val="20"/>
          <w:color w:val="auto"/>
        </w:rPr>
      </w:pPr>
      <w:r>
        <w:rPr>
          <w:rFonts w:ascii="Arial" w:cs="Arial" w:eastAsia="Arial" w:hAnsi="Arial"/>
          <w:sz w:val="14"/>
          <w:szCs w:val="14"/>
          <w:color w:val="auto"/>
        </w:rPr>
        <w:t>Houston Electric has contractually agreed that it will not issue additional first mortgage bonds, subject to certain exceptions. For information about the total debt to capitalization financial covenants in the Registrants’ and certain of CenterPoint Energy’s subsidiaries’ revolving credit facilities, see Note 12 to the Interim Condensed Financial Statements.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CRITICAL ACCOUNTING POLICIES</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Impairment of Goodwill</w:t>
      </w:r>
    </w:p>
    <w:p>
      <w:pPr>
        <w:spacing w:after="0" w:line="296" w:lineRule="exact"/>
        <w:rPr>
          <w:sz w:val="20"/>
          <w:szCs w:val="20"/>
          <w:color w:val="auto"/>
        </w:rPr>
      </w:pPr>
    </w:p>
    <w:p>
      <w:pPr>
        <w:jc w:val="both"/>
        <w:ind w:firstLine="259"/>
        <w:spacing w:after="0" w:line="272" w:lineRule="auto"/>
        <w:rPr>
          <w:sz w:val="20"/>
          <w:szCs w:val="20"/>
          <w:color w:val="auto"/>
        </w:rPr>
      </w:pPr>
      <w:r>
        <w:rPr>
          <w:rFonts w:ascii="Arial" w:cs="Arial" w:eastAsia="Arial" w:hAnsi="Arial"/>
          <w:sz w:val="14"/>
          <w:szCs w:val="14"/>
          <w:color w:val="auto"/>
        </w:rPr>
        <w:t>CenterPoint Energy and CERC perform the annual goodwill impairment test in the third quarter of each year and additional tests are performed if events or circumstances indicate that a potential goodwill impairment may exist. A reporting unit is an operating segment or one level below an operating segment (a component) and is the level at which goodwill is tested for impairment. CenterPoint Energy’s reporting units approximate its applicable reportable segments with the exception of ESG, which is a separate</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93</w:t>
      </w:r>
    </w:p>
    <w:p>
      <w:pPr>
        <w:sectPr>
          <w:pgSz w:w="11900" w:h="16838" w:orient="portrait"/>
          <w:cols w:equalWidth="0" w:num="1">
            <w:col w:w="11460"/>
          </w:cols>
          <w:pgMar w:left="220" w:top="129" w:right="219" w:bottom="1440" w:gutter="0" w:footer="0" w:header="0"/>
        </w:sectPr>
      </w:pPr>
    </w:p>
    <w:bookmarkStart w:id="103" w:name="page104"/>
    <w:bookmarkEnd w:id="103"/>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205" w:lineRule="exact"/>
        <w:rPr>
          <w:sz w:val="20"/>
          <w:szCs w:val="20"/>
          <w:color w:val="auto"/>
        </w:rPr>
      </w:pPr>
    </w:p>
    <w:p>
      <w:pPr>
        <w:spacing w:after="0"/>
        <w:rPr>
          <w:sz w:val="20"/>
          <w:szCs w:val="20"/>
          <w:color w:val="auto"/>
        </w:rPr>
      </w:pPr>
      <w:r>
        <w:rPr>
          <w:rFonts w:ascii="Arial" w:cs="Arial" w:eastAsia="Arial" w:hAnsi="Arial"/>
          <w:sz w:val="13"/>
          <w:szCs w:val="13"/>
          <w:color w:val="auto"/>
        </w:rPr>
        <w:t>reporting unit, but is included in CenterPoint Energy’s Corporate and Other reportable segment for segment reporting purposes. CERC’s reporting units approximate its reportable segments.</w:t>
      </w:r>
    </w:p>
    <w:p>
      <w:pPr>
        <w:spacing w:after="0" w:line="195" w:lineRule="exact"/>
        <w:rPr>
          <w:sz w:val="20"/>
          <w:szCs w:val="20"/>
          <w:color w:val="auto"/>
        </w:rPr>
      </w:pPr>
    </w:p>
    <w:p>
      <w:pPr>
        <w:jc w:val="both"/>
        <w:ind w:firstLine="259"/>
        <w:spacing w:after="0" w:line="272" w:lineRule="auto"/>
        <w:rPr>
          <w:sz w:val="20"/>
          <w:szCs w:val="20"/>
          <w:color w:val="auto"/>
        </w:rPr>
      </w:pPr>
      <w:r>
        <w:rPr>
          <w:rFonts w:ascii="Arial" w:cs="Arial" w:eastAsia="Arial" w:hAnsi="Arial"/>
          <w:sz w:val="14"/>
          <w:szCs w:val="14"/>
          <w:color w:val="auto"/>
        </w:rPr>
        <w:t>Fair value is the amount at which the asset could be bought or sold in a current transaction between willing parties and may be estimated using a number of techniques, including quoted market prices or valuations by third parties, present value techniques based on estimates of cash flows, or multiples of earnings or revenue performance measures. The fair value of the asset could be different using different estimates and assumptions in these valuation techniques.</w:t>
      </w:r>
    </w:p>
    <w:p>
      <w:pPr>
        <w:spacing w:after="0" w:line="142" w:lineRule="exact"/>
        <w:rPr>
          <w:sz w:val="20"/>
          <w:szCs w:val="20"/>
          <w:color w:val="auto"/>
        </w:rPr>
      </w:pPr>
    </w:p>
    <w:p>
      <w:pPr>
        <w:jc w:val="both"/>
        <w:ind w:firstLine="259"/>
        <w:spacing w:after="0" w:line="267" w:lineRule="auto"/>
        <w:rPr>
          <w:sz w:val="20"/>
          <w:szCs w:val="20"/>
          <w:color w:val="auto"/>
        </w:rPr>
      </w:pPr>
      <w:r>
        <w:rPr>
          <w:rFonts w:ascii="Arial" w:cs="Arial" w:eastAsia="Arial" w:hAnsi="Arial"/>
          <w:sz w:val="14"/>
          <w:szCs w:val="14"/>
          <w:color w:val="auto"/>
        </w:rPr>
        <w:t>The determination of fair value requires significant assumptions by management which are subjective and forward-looking in nature. To assist in deriving these assumptions, CenterPoint Energy and CERC utilized a third-party valuation specialist in both determining and testing key assumptions used in the valuation of each of its reporting units. CenterPoint Energy and CERC based their assumptions on projected financial information that they believe are reasonable; however, actual results may differ materially from those projections. These projected cash flows factor into planned growth initiatives, and for certain reporting units, the regulatory environment.</w:t>
      </w:r>
    </w:p>
    <w:p>
      <w:pPr>
        <w:spacing w:after="0" w:line="146" w:lineRule="exact"/>
        <w:rPr>
          <w:sz w:val="20"/>
          <w:szCs w:val="20"/>
          <w:color w:val="auto"/>
        </w:rPr>
      </w:pPr>
    </w:p>
    <w:p>
      <w:pPr>
        <w:jc w:val="both"/>
        <w:ind w:firstLine="259"/>
        <w:spacing w:after="0" w:line="263" w:lineRule="auto"/>
        <w:rPr>
          <w:sz w:val="20"/>
          <w:szCs w:val="20"/>
          <w:color w:val="auto"/>
        </w:rPr>
      </w:pPr>
      <w:r>
        <w:rPr>
          <w:rFonts w:ascii="Arial" w:cs="Arial" w:eastAsia="Arial" w:hAnsi="Arial"/>
          <w:sz w:val="14"/>
          <w:szCs w:val="14"/>
          <w:color w:val="auto"/>
        </w:rPr>
        <w:t>CenterPoint Energy and CERC completed their 2019 annual goodwill impairment test as of July 1, 2019 and determined, based on an income approach or a weighted combination of income and market approaches, that no goodwill impairment charge was required for any reporting unit. The fair values of each reporting unit significantly exceeded the carrying value of the reporting unit with the exception of CenterPoint Energy’s Infrastructure Services and ESG reporting units. Infrastructure Services’ fair value exceeded its carrying values by 6% and it had total goodwill of $355 million. ESG’s fair value exceeded its carrying value by 8% and had total goodwill of $127 million. These reporting units are comprised entirely of recent acquired businesses, where assets and liabilities were adjusted to fair value and as a result, carrying values approximate fair value. These reporting units have a greater risk of future impairment if their operations were to experience a decline or if market rates were to increase.</w:t>
      </w:r>
    </w:p>
    <w:p>
      <w:pPr>
        <w:spacing w:after="0" w:line="148" w:lineRule="exact"/>
        <w:rPr>
          <w:sz w:val="20"/>
          <w:szCs w:val="20"/>
          <w:color w:val="auto"/>
        </w:rPr>
      </w:pPr>
    </w:p>
    <w:p>
      <w:pPr>
        <w:jc w:val="both"/>
        <w:ind w:firstLine="259"/>
        <w:spacing w:after="0" w:line="272" w:lineRule="auto"/>
        <w:rPr>
          <w:sz w:val="20"/>
          <w:szCs w:val="20"/>
          <w:color w:val="auto"/>
        </w:rPr>
      </w:pPr>
      <w:r>
        <w:rPr>
          <w:rFonts w:ascii="Arial" w:cs="Arial" w:eastAsia="Arial" w:hAnsi="Arial"/>
          <w:sz w:val="14"/>
          <w:szCs w:val="14"/>
          <w:color w:val="auto"/>
        </w:rPr>
        <w:t>Additionally, CenterPoint Energy’s measurement period for the acquisition of Vectren remains open as of September 30, 2019 and is expected to conclude by December 31, 2019. The goodwill assigned to these reporting units as of the testing date is preliminary and subject to change. See Note 3 to the Registrants Interim Condensed Financial Statements for a discussion of CenterPoint Energy’s valuation analysis of Vectren post-Merger.</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NEW ACCOUNTING PRONOUNCEMENTS</w:t>
      </w:r>
    </w:p>
    <w:p>
      <w:pPr>
        <w:spacing w:after="0" w:line="188" w:lineRule="exact"/>
        <w:rPr>
          <w:sz w:val="20"/>
          <w:szCs w:val="20"/>
          <w:color w:val="auto"/>
        </w:rPr>
      </w:pPr>
    </w:p>
    <w:p>
      <w:pPr>
        <w:ind w:left="260"/>
        <w:spacing w:after="0"/>
        <w:rPr>
          <w:sz w:val="20"/>
          <w:szCs w:val="20"/>
          <w:color w:val="auto"/>
        </w:rPr>
      </w:pPr>
      <w:r>
        <w:rPr>
          <w:rFonts w:ascii="Arial" w:cs="Arial" w:eastAsia="Arial" w:hAnsi="Arial"/>
          <w:sz w:val="14"/>
          <w:szCs w:val="14"/>
          <w:color w:val="auto"/>
        </w:rPr>
        <w:t>See Note 2 to the Interim Condensed Financial Statements, incorporated herein by reference, for a discussion of new accounting pronouncements that affect the Registrants.</w:t>
      </w:r>
    </w:p>
    <w:p>
      <w:pPr>
        <w:spacing w:after="0" w:line="180" w:lineRule="exact"/>
        <w:rPr>
          <w:sz w:val="20"/>
          <w:szCs w:val="20"/>
          <w:color w:val="auto"/>
        </w:rPr>
      </w:pPr>
    </w:p>
    <w:p>
      <w:pPr>
        <w:spacing w:after="0"/>
        <w:tabs>
          <w:tab w:leader="none" w:pos="640" w:val="left"/>
        </w:tabs>
        <w:rPr>
          <w:sz w:val="20"/>
          <w:szCs w:val="20"/>
          <w:color w:val="auto"/>
        </w:rPr>
      </w:pPr>
      <w:r>
        <w:rPr>
          <w:rFonts w:ascii="Arial" w:cs="Arial" w:eastAsia="Arial" w:hAnsi="Arial"/>
          <w:sz w:val="14"/>
          <w:szCs w:val="14"/>
          <w:b w:val="1"/>
          <w:bCs w:val="1"/>
          <w:color w:val="auto"/>
        </w:rPr>
        <w:t>Item 3.</w:t>
        <w:tab/>
        <w:t>QUANTITATIVE AND QUALITATIVE DISCLOSURES ABOUT MARKET RISK</w:t>
      </w:r>
    </w:p>
    <w:p>
      <w:pPr>
        <w:spacing w:after="0" w:line="188" w:lineRule="exact"/>
        <w:rPr>
          <w:sz w:val="20"/>
          <w:szCs w:val="20"/>
          <w:color w:val="auto"/>
        </w:rPr>
      </w:pPr>
    </w:p>
    <w:p>
      <w:pPr>
        <w:jc w:val="both"/>
        <w:ind w:firstLine="259"/>
        <w:spacing w:after="0" w:line="272" w:lineRule="auto"/>
        <w:rPr>
          <w:sz w:val="20"/>
          <w:szCs w:val="20"/>
          <w:color w:val="auto"/>
        </w:rPr>
      </w:pPr>
      <w:r>
        <w:rPr>
          <w:rFonts w:ascii="Arial" w:cs="Arial" w:eastAsia="Arial" w:hAnsi="Arial"/>
          <w:sz w:val="14"/>
          <w:szCs w:val="14"/>
          <w:i w:val="1"/>
          <w:iCs w:val="1"/>
          <w:color w:val="auto"/>
        </w:rPr>
        <w:t>Houston Electric and CERC meet the conditions specified in General Instruction H(1)(a) and (b) to Form 10-Q and are therefore permitted to use the reduced disclosure format for wholly-owned subsidiaries of reporting companies. Accordingly, Houston Electric and CERC have omitted from this report the information called for by Item 3 (Quantitative and Qualitative Disclosures About Market Risk) of Part I of the Form 10-Q.</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Interest Rate Risk (CenterPoint Energy)</w:t>
      </w:r>
    </w:p>
    <w:p>
      <w:pPr>
        <w:spacing w:after="0" w:line="188" w:lineRule="exact"/>
        <w:rPr>
          <w:sz w:val="20"/>
          <w:szCs w:val="20"/>
          <w:color w:val="auto"/>
        </w:rPr>
      </w:pPr>
    </w:p>
    <w:p>
      <w:pPr>
        <w:jc w:val="both"/>
        <w:ind w:firstLine="259"/>
        <w:spacing w:after="0" w:line="288" w:lineRule="auto"/>
        <w:rPr>
          <w:sz w:val="20"/>
          <w:szCs w:val="20"/>
          <w:color w:val="auto"/>
        </w:rPr>
      </w:pPr>
      <w:r>
        <w:rPr>
          <w:rFonts w:ascii="Arial" w:cs="Arial" w:eastAsia="Arial" w:hAnsi="Arial"/>
          <w:sz w:val="14"/>
          <w:szCs w:val="14"/>
          <w:color w:val="auto"/>
        </w:rPr>
        <w:t>As of September 30, 2019, CenterPoint Energy had outstanding long-term debt, lease obligations and obligations under its ZENS that subject it to the risk of loss associated with movements in market interest rates.</w:t>
      </w:r>
    </w:p>
    <w:p>
      <w:pPr>
        <w:spacing w:after="0" w:line="131" w:lineRule="exact"/>
        <w:rPr>
          <w:sz w:val="20"/>
          <w:szCs w:val="20"/>
          <w:color w:val="auto"/>
        </w:rPr>
      </w:pPr>
    </w:p>
    <w:p>
      <w:pPr>
        <w:jc w:val="both"/>
        <w:ind w:firstLine="259"/>
        <w:spacing w:after="0" w:line="288" w:lineRule="auto"/>
        <w:rPr>
          <w:sz w:val="20"/>
          <w:szCs w:val="20"/>
          <w:color w:val="auto"/>
        </w:rPr>
      </w:pPr>
      <w:r>
        <w:rPr>
          <w:rFonts w:ascii="Arial" w:cs="Arial" w:eastAsia="Arial" w:hAnsi="Arial"/>
          <w:sz w:val="14"/>
          <w:szCs w:val="14"/>
          <w:color w:val="auto"/>
        </w:rPr>
        <w:t>CenterPoint Energy’s floating rate obligations aggregated $3.6 billion and $210 million as of September 30, 2019 and December 31, 2018, respectively. If the floating interest rates were to increase by 10% from September 30, 2019 rates, CenterPoint Energy’s combined interest expense would increase by approximately $9 million annually.</w:t>
      </w:r>
    </w:p>
    <w:p>
      <w:pPr>
        <w:spacing w:after="0" w:line="131" w:lineRule="exact"/>
        <w:rPr>
          <w:sz w:val="20"/>
          <w:szCs w:val="20"/>
          <w:color w:val="auto"/>
        </w:rPr>
      </w:pPr>
    </w:p>
    <w:p>
      <w:pPr>
        <w:jc w:val="both"/>
        <w:ind w:firstLine="259"/>
        <w:spacing w:after="0" w:line="264" w:lineRule="auto"/>
        <w:rPr>
          <w:sz w:val="20"/>
          <w:szCs w:val="20"/>
          <w:color w:val="auto"/>
        </w:rPr>
      </w:pPr>
      <w:r>
        <w:rPr>
          <w:rFonts w:ascii="Arial" w:cs="Arial" w:eastAsia="Arial" w:hAnsi="Arial"/>
          <w:sz w:val="14"/>
          <w:szCs w:val="14"/>
          <w:color w:val="auto"/>
        </w:rPr>
        <w:t>As of September 30, 2019 and December 31, 2018, CenterPoint Energy had outstanding fixed-rate debt (excluding indexed debt securities) aggregating $11.3 billion and $9.0 billion, respectively, in principal amount and having a fair value of $12.4 billion and $9.2 billion, respectively. Because these instruments are fixed-rate, they do not expose CenterPoint Energy to the risk of loss in earnings due to changes in market interest rates. However, the fair value of these instruments would increase by approximately $346 million if interest rates were to decline by 10% from levels at September 30, 2019. In general, such an increase in fair value would impact earnings and cash flows only if CenterPoint Energy were to reacquire all or a portion of these instruments in the open market prior to their maturity.</w:t>
      </w:r>
    </w:p>
    <w:p>
      <w:pPr>
        <w:spacing w:after="0" w:line="149" w:lineRule="exact"/>
        <w:rPr>
          <w:sz w:val="20"/>
          <w:szCs w:val="20"/>
          <w:color w:val="auto"/>
        </w:rPr>
      </w:pPr>
    </w:p>
    <w:p>
      <w:pPr>
        <w:jc w:val="both"/>
        <w:ind w:firstLine="259"/>
        <w:spacing w:after="0" w:line="288" w:lineRule="auto"/>
        <w:rPr>
          <w:sz w:val="20"/>
          <w:szCs w:val="20"/>
          <w:color w:val="auto"/>
        </w:rPr>
      </w:pPr>
      <w:r>
        <w:rPr>
          <w:rFonts w:ascii="Arial" w:cs="Arial" w:eastAsia="Arial" w:hAnsi="Arial"/>
          <w:sz w:val="14"/>
          <w:szCs w:val="14"/>
          <w:color w:val="auto"/>
        </w:rPr>
        <w:t>The ZENS obligation is bifurcated into a debt component and a derivative component. The debt component of $21 million as of September 30, 2019 was a fixed-rate obligation and, therefore, did not expose CenterPoint Energy to the risk of loss in</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94</w:t>
      </w:r>
    </w:p>
    <w:p>
      <w:pPr>
        <w:sectPr>
          <w:pgSz w:w="11900" w:h="16838" w:orient="portrait"/>
          <w:cols w:equalWidth="0" w:num="1">
            <w:col w:w="11460"/>
          </w:cols>
          <w:pgMar w:left="220" w:top="129" w:right="219" w:bottom="1440" w:gutter="0" w:footer="0" w:header="0"/>
        </w:sectPr>
      </w:pPr>
    </w:p>
    <w:bookmarkStart w:id="104" w:name="page105"/>
    <w:bookmarkEnd w:id="104"/>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205" w:lineRule="exact"/>
        <w:rPr>
          <w:sz w:val="20"/>
          <w:szCs w:val="20"/>
          <w:color w:val="auto"/>
        </w:rPr>
      </w:pPr>
    </w:p>
    <w:p>
      <w:pPr>
        <w:jc w:val="both"/>
        <w:spacing w:after="0" w:line="264" w:lineRule="auto"/>
        <w:rPr>
          <w:sz w:val="20"/>
          <w:szCs w:val="20"/>
          <w:color w:val="auto"/>
        </w:rPr>
      </w:pPr>
      <w:r>
        <w:rPr>
          <w:rFonts w:ascii="Arial" w:cs="Arial" w:eastAsia="Arial" w:hAnsi="Arial"/>
          <w:sz w:val="14"/>
          <w:szCs w:val="14"/>
          <w:color w:val="auto"/>
        </w:rPr>
        <w:t>earnings due to changes in market interest rates. However, the fair value of the debt component would increase by approximately $3 million if interest rates were to decline by 10% from levels at September 30, 2019. Changes in the fair value of the derivative component, a $817 million recorded liability at September 30, 2019, are recorded in CenterPoint Energy’s Condensed Statements of Consolidated Income and, therefore, it is exposed to changes in the fair value of the derivative component as a result of changes in the underlying risk-free interest rate. If the risk-free interest rate were to increase by 10% from September 30, 2019 levels, the fair value of the derivative component liability would decrease by approximately $1 million, which would be recorded as an unrealized gain in CenterPoint Energy’s Condensed Statements of Consolidated Income.</w:t>
      </w:r>
    </w:p>
    <w:p>
      <w:pPr>
        <w:spacing w:after="0" w:line="14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Equity Market Value Risk (CenterPoint Energy)</w:t>
      </w:r>
    </w:p>
    <w:p>
      <w:pPr>
        <w:spacing w:after="0" w:line="188" w:lineRule="exact"/>
        <w:rPr>
          <w:sz w:val="20"/>
          <w:szCs w:val="20"/>
          <w:color w:val="auto"/>
        </w:rPr>
      </w:pPr>
    </w:p>
    <w:p>
      <w:pPr>
        <w:jc w:val="both"/>
        <w:ind w:firstLine="259"/>
        <w:spacing w:after="0" w:line="264" w:lineRule="auto"/>
        <w:rPr>
          <w:sz w:val="20"/>
          <w:szCs w:val="20"/>
          <w:color w:val="auto"/>
        </w:rPr>
      </w:pPr>
      <w:r>
        <w:rPr>
          <w:rFonts w:ascii="Arial" w:cs="Arial" w:eastAsia="Arial" w:hAnsi="Arial"/>
          <w:sz w:val="14"/>
          <w:szCs w:val="14"/>
          <w:color w:val="auto"/>
        </w:rPr>
        <w:t>CenterPoint Energy is exposed to equity market value risk through its ownership of 10.2 million shares of AT&amp;T Common and 0.9 million shares of Charter Common, which CenterPoint Energy holds to facilitate its ability to meet its obligations under the ZENS. See Note 11 to the condensed consolidated financial statements for a discussion of CenterPoint Energy’s ZENS obligation. Changes in the fair value of the ZENS-Related Securities held by CenterPoint Energy are expected to substantially offset changes in the fair value of the derivative component of the ZENS. A decrease of 10% from the September 30, 2019 aggregate market value of these shares would result in a net loss of less than $1 million, which would be recorded as an unrealized loss in CenterPoint Energy’s Condensed Statements of Consolidated Income.</w:t>
      </w:r>
    </w:p>
    <w:p>
      <w:pPr>
        <w:spacing w:after="0" w:line="14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Commodity Price Risk From Non-Trading Activities (CenterPoint Energy)</w:t>
      </w:r>
    </w:p>
    <w:p>
      <w:pPr>
        <w:spacing w:after="0" w:line="188" w:lineRule="exact"/>
        <w:rPr>
          <w:sz w:val="20"/>
          <w:szCs w:val="20"/>
          <w:color w:val="auto"/>
        </w:rPr>
      </w:pPr>
    </w:p>
    <w:p>
      <w:pPr>
        <w:jc w:val="both"/>
        <w:ind w:firstLine="259"/>
        <w:spacing w:after="0" w:line="287" w:lineRule="auto"/>
        <w:rPr>
          <w:sz w:val="20"/>
          <w:szCs w:val="20"/>
          <w:color w:val="auto"/>
        </w:rPr>
      </w:pPr>
      <w:r>
        <w:rPr>
          <w:rFonts w:ascii="Arial" w:cs="Arial" w:eastAsia="Arial" w:hAnsi="Arial"/>
          <w:sz w:val="13"/>
          <w:szCs w:val="13"/>
          <w:color w:val="auto"/>
        </w:rPr>
        <w:t>CenterPoint Energy uses derivative instruments as economic hedges to offset the commodity price exposure inherent in its Energy Services business. The commodity risk created by these instruments, including the offsetting impact on the market value of natural gas inventory, is described below. CenterPoint Energy measures this commodity risk using a sensitivity analysis. For purposes of this analysis, CenterPoint Energy estimates commodity price risk by applying a $0.50 change in the forward NYMEX price to its net open fixed price position (including forward fixed price physical contracts, natural gas inventory and fixed price financial contracts) at the end of each period. As of September 30, 2019, the recorded fair value of CenterPoint Energy’s non-trading energy derivatives was a net asset of $72 million (before collateral), all of which is related to the Energy Services reportable segment. A $0.50 change in the forward NYMEX price would have had a combined impact of $13 million on CenterPoint Energy’s non-trading energy derivatives net asset and the market value of natural gas inventory.</w:t>
      </w:r>
    </w:p>
    <w:p>
      <w:pPr>
        <w:spacing w:after="0" w:line="134" w:lineRule="exact"/>
        <w:rPr>
          <w:sz w:val="20"/>
          <w:szCs w:val="20"/>
          <w:color w:val="auto"/>
        </w:rPr>
      </w:pPr>
    </w:p>
    <w:p>
      <w:pPr>
        <w:jc w:val="both"/>
        <w:ind w:firstLine="259"/>
        <w:spacing w:after="0" w:line="272" w:lineRule="auto"/>
        <w:rPr>
          <w:sz w:val="20"/>
          <w:szCs w:val="20"/>
          <w:color w:val="auto"/>
        </w:rPr>
      </w:pPr>
      <w:r>
        <w:rPr>
          <w:rFonts w:ascii="Arial" w:cs="Arial" w:eastAsia="Arial" w:hAnsi="Arial"/>
          <w:sz w:val="14"/>
          <w:szCs w:val="14"/>
          <w:color w:val="auto"/>
        </w:rPr>
        <w:t>Commodity price risk is not limited to changes in forward NYMEX prices. Variation of commodity pricing between the different indices used to mark to market portions of Energy Services’ natural gas inventory (Gas Daily) and the related fair value hedge (NYMEX) can result in volatility to CenterPoint Energy’s net income. Over time, any gains or losses on the sale of storage gas inventory would be offset by gains or losses on the fair value hedges.</w:t>
      </w:r>
    </w:p>
    <w:p>
      <w:pPr>
        <w:spacing w:after="0" w:line="142" w:lineRule="exact"/>
        <w:rPr>
          <w:sz w:val="20"/>
          <w:szCs w:val="20"/>
          <w:color w:val="auto"/>
        </w:rPr>
      </w:pPr>
    </w:p>
    <w:p>
      <w:pPr>
        <w:jc w:val="both"/>
        <w:ind w:firstLine="259"/>
        <w:spacing w:after="0" w:line="289" w:lineRule="auto"/>
        <w:rPr>
          <w:sz w:val="20"/>
          <w:szCs w:val="20"/>
          <w:color w:val="auto"/>
        </w:rPr>
      </w:pPr>
      <w:r>
        <w:rPr>
          <w:rFonts w:ascii="Arial" w:cs="Arial" w:eastAsia="Arial" w:hAnsi="Arial"/>
          <w:sz w:val="13"/>
          <w:szCs w:val="13"/>
          <w:color w:val="auto"/>
        </w:rPr>
        <w:t>CenterPoint Energy’s regulated operations in Indiana have limited exposure to commodity price risk for transactions involving purchases and sales of natural gas, coal and purchased power for the benefit of retail customers due to current state regulations, which, subject to compliance with those regulations, allow for recovery of the cost of such purchases through natural gas and fuel cost adjustment mechanisms. CenterPoint Energy’s utility natural gas operations in Indiana have regulatory authority to lock in pricing for up to 50% of annual natural gas purchases using arrangements with an original term of up to 10 years. This authority has been utilized to secure fixed price natural gas using both physical purchases and financial derivatives. As of September 30, 2019, the recorded fair value of non-trading energy derivative liabilities was $20 million for CenterPoint Energy’s utility natural gas operations in Indiana, which is offset by a regulatory asset.</w:t>
      </w:r>
    </w:p>
    <w:p>
      <w:pPr>
        <w:spacing w:after="0" w:line="134" w:lineRule="exact"/>
        <w:rPr>
          <w:sz w:val="20"/>
          <w:szCs w:val="20"/>
          <w:color w:val="auto"/>
        </w:rPr>
      </w:pPr>
    </w:p>
    <w:p>
      <w:pPr>
        <w:jc w:val="both"/>
        <w:ind w:firstLine="259"/>
        <w:spacing w:after="0" w:line="264" w:lineRule="auto"/>
        <w:rPr>
          <w:sz w:val="20"/>
          <w:szCs w:val="20"/>
          <w:color w:val="auto"/>
        </w:rPr>
      </w:pPr>
      <w:r>
        <w:rPr>
          <w:rFonts w:ascii="Arial" w:cs="Arial" w:eastAsia="Arial" w:hAnsi="Arial"/>
          <w:sz w:val="14"/>
          <w:szCs w:val="14"/>
          <w:color w:val="auto"/>
        </w:rPr>
        <w:t>Although CenterPoint Energy’s regulated operations are exposed to limited commodity price risk, natural gas and coal prices have other effects on working capital requirements, interest costs, and some level of price-sensitivity in volumes sold or delivered. Constructive regulatory orders, such as those authorizing lost margin recovery, other innovative rate designs and recovery of unaccounted for natural gas and other natural gas-related expenses, also mitigate the effect natural gas costs may have on CenterPoint Energy’s financial condition. In 2008, the PUCO approved an exit of the merchant function in CenterPoint Energy’s Ohio natural gas service territory, allowing Ohio customers to purchase substantially all natural gas directly from retail marketers rather than from CenterPoint Energy.</w:t>
      </w:r>
    </w:p>
    <w:p>
      <w:pPr>
        <w:spacing w:after="0" w:line="145" w:lineRule="exact"/>
        <w:rPr>
          <w:sz w:val="20"/>
          <w:szCs w:val="20"/>
          <w:color w:val="auto"/>
        </w:rPr>
      </w:pPr>
    </w:p>
    <w:p>
      <w:pPr>
        <w:spacing w:after="0"/>
        <w:tabs>
          <w:tab w:leader="none" w:pos="640" w:val="left"/>
        </w:tabs>
        <w:rPr>
          <w:sz w:val="20"/>
          <w:szCs w:val="20"/>
          <w:color w:val="auto"/>
        </w:rPr>
      </w:pPr>
      <w:r>
        <w:rPr>
          <w:rFonts w:ascii="Arial" w:cs="Arial" w:eastAsia="Arial" w:hAnsi="Arial"/>
          <w:sz w:val="14"/>
          <w:szCs w:val="14"/>
          <w:b w:val="1"/>
          <w:bCs w:val="1"/>
          <w:color w:val="auto"/>
        </w:rPr>
        <w:t>Item 4.</w:t>
        <w:tab/>
        <w:t>CONTROLS AND PROCEDURES</w:t>
      </w:r>
    </w:p>
    <w:p>
      <w:pPr>
        <w:spacing w:after="0" w:line="188" w:lineRule="exact"/>
        <w:rPr>
          <w:sz w:val="20"/>
          <w:szCs w:val="20"/>
          <w:color w:val="auto"/>
        </w:rPr>
      </w:pPr>
    </w:p>
    <w:p>
      <w:pPr>
        <w:jc w:val="both"/>
        <w:ind w:firstLine="259"/>
        <w:spacing w:after="0" w:line="294" w:lineRule="auto"/>
        <w:rPr>
          <w:sz w:val="20"/>
          <w:szCs w:val="20"/>
          <w:color w:val="auto"/>
        </w:rPr>
      </w:pPr>
      <w:r>
        <w:rPr>
          <w:rFonts w:ascii="Arial" w:cs="Arial" w:eastAsia="Arial" w:hAnsi="Arial"/>
          <w:sz w:val="13"/>
          <w:szCs w:val="13"/>
          <w:color w:val="auto"/>
        </w:rPr>
        <w:t>In accordance with Exchange Act Rules 13a-15 and 15d-15, the Registrants carried out separate evaluations, under the supervision and with the participation of each company’s management, including the principal executive officer and principal financial officer, of the effectiveness of the disclosure controls and procedures as of the end of the period covered by this report. Based on those evaluations, the principal executive officer and principal financial officer, in each case, concluded that the disclosure controls and procedures were effective as of September 30, 2019 to provide assurance that information required to be disclosed in the reports filed or submitted under the Exchange Act is recorded, processed, summarized and reported within the time periods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95</w:t>
      </w:r>
    </w:p>
    <w:p>
      <w:pPr>
        <w:sectPr>
          <w:pgSz w:w="11900" w:h="16838" w:orient="portrait"/>
          <w:cols w:equalWidth="0" w:num="1">
            <w:col w:w="11460"/>
          </w:cols>
          <w:pgMar w:left="220" w:top="129" w:right="219" w:bottom="1440" w:gutter="0" w:footer="0" w:header="0"/>
        </w:sectPr>
      </w:pPr>
    </w:p>
    <w:bookmarkStart w:id="105" w:name="page106"/>
    <w:bookmarkEnd w:id="105"/>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205" w:lineRule="exact"/>
        <w:rPr>
          <w:sz w:val="20"/>
          <w:szCs w:val="20"/>
          <w:color w:val="auto"/>
        </w:rPr>
      </w:pPr>
    </w:p>
    <w:p>
      <w:pPr>
        <w:jc w:val="both"/>
        <w:spacing w:after="0" w:line="288" w:lineRule="auto"/>
        <w:rPr>
          <w:sz w:val="20"/>
          <w:szCs w:val="20"/>
          <w:color w:val="auto"/>
        </w:rPr>
      </w:pPr>
      <w:r>
        <w:rPr>
          <w:rFonts w:ascii="Arial" w:cs="Arial" w:eastAsia="Arial" w:hAnsi="Arial"/>
          <w:sz w:val="14"/>
          <w:szCs w:val="14"/>
          <w:color w:val="auto"/>
        </w:rPr>
        <w:t>specified in the SEC’s rules and forms and such information is accumulated and communicated to management, including the principal executive officer and principal financial officer, as appropriate to allow timely decisions regarding disclosure.</w:t>
      </w:r>
    </w:p>
    <w:p>
      <w:pPr>
        <w:spacing w:after="0" w:line="131" w:lineRule="exact"/>
        <w:rPr>
          <w:sz w:val="20"/>
          <w:szCs w:val="20"/>
          <w:color w:val="auto"/>
        </w:rPr>
      </w:pPr>
    </w:p>
    <w:p>
      <w:pPr>
        <w:jc w:val="both"/>
        <w:ind w:firstLine="259"/>
        <w:spacing w:after="0" w:line="267" w:lineRule="auto"/>
        <w:rPr>
          <w:sz w:val="20"/>
          <w:szCs w:val="20"/>
          <w:color w:val="auto"/>
        </w:rPr>
      </w:pPr>
      <w:r>
        <w:rPr>
          <w:rFonts w:ascii="Arial" w:cs="Arial" w:eastAsia="Arial" w:hAnsi="Arial"/>
          <w:sz w:val="14"/>
          <w:szCs w:val="14"/>
          <w:color w:val="auto"/>
        </w:rPr>
        <w:t>On the Merger Date, CenterPoint Energy completed the acquisition of Vectren. CenterPoint Energy is currently in the process of evaluating the control environment and implementing CenterPoint Energy’s internal control structure over the acquired operations. This effort is expected to continue through 2019. With the exception of the implementation of the Vectren acquisition into CenterPoint Energy’s control structure, there has been no change in the Registrants’ internal controls over financial reporting that occurred during the three months ended September 30, 2019 that has materially affected, or is reasonably likely to materially affect, the Registrants’ internal controls over financial reporting.</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PART II. OTHER INFORMATION</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 LEGAL PROCEEDINGS</w:t>
      </w:r>
    </w:p>
    <w:p>
      <w:pPr>
        <w:spacing w:after="0" w:line="188" w:lineRule="exact"/>
        <w:rPr>
          <w:sz w:val="20"/>
          <w:szCs w:val="20"/>
          <w:color w:val="auto"/>
        </w:rPr>
      </w:pPr>
    </w:p>
    <w:p>
      <w:pPr>
        <w:jc w:val="both"/>
        <w:ind w:firstLine="259"/>
        <w:spacing w:after="0" w:line="272" w:lineRule="auto"/>
        <w:rPr>
          <w:rFonts w:ascii="Arial" w:cs="Arial" w:eastAsia="Arial" w:hAnsi="Arial"/>
          <w:sz w:val="14"/>
          <w:szCs w:val="14"/>
          <w:color w:val="auto"/>
        </w:rPr>
      </w:pPr>
      <w:r>
        <w:rPr>
          <w:rFonts w:ascii="Arial" w:cs="Arial" w:eastAsia="Arial" w:hAnsi="Arial"/>
          <w:sz w:val="14"/>
          <w:szCs w:val="14"/>
          <w:color w:val="auto"/>
        </w:rPr>
        <w:t>For a description of certain legal and regulatory proceedings, please read Note 14(c) to the Interim Condensed Financial Statements and “Management’s Discussion and Analysis of Financial Condition and Results of Operations — Liquidity and Capital Resources — Future Sources and Uses of Cash” and “— Regulatory Matters,” each of which is incorporated herein by reference. See also “</w:t>
      </w:r>
      <w:hyperlink r:id="rId19">
        <w:r>
          <w:rPr>
            <w:rFonts w:ascii="Arial" w:cs="Arial" w:eastAsia="Arial" w:hAnsi="Arial"/>
            <w:sz w:val="14"/>
            <w:szCs w:val="14"/>
            <w:u w:val="single" w:color="auto"/>
            <w:color w:val="0000EE"/>
          </w:rPr>
          <w:t>Business — Regulation” and “— Environmental Matters</w:t>
        </w:r>
      </w:hyperlink>
      <w:r>
        <w:rPr>
          <w:rFonts w:ascii="Arial" w:cs="Arial" w:eastAsia="Arial" w:hAnsi="Arial"/>
          <w:sz w:val="14"/>
          <w:szCs w:val="14"/>
          <w:color w:val="auto"/>
        </w:rPr>
        <w:t>” in Item 1 and “</w:t>
      </w:r>
      <w:hyperlink r:id="rId20">
        <w:r>
          <w:rPr>
            <w:rFonts w:ascii="Arial" w:cs="Arial" w:eastAsia="Arial" w:hAnsi="Arial"/>
            <w:sz w:val="14"/>
            <w:szCs w:val="14"/>
            <w:u w:val="single" w:color="auto"/>
            <w:color w:val="0000EE"/>
          </w:rPr>
          <w:t>Legal Proceedings</w:t>
        </w:r>
      </w:hyperlink>
      <w:r>
        <w:rPr>
          <w:rFonts w:ascii="Arial" w:cs="Arial" w:eastAsia="Arial" w:hAnsi="Arial"/>
          <w:sz w:val="14"/>
          <w:szCs w:val="14"/>
          <w:color w:val="auto"/>
        </w:rPr>
        <w:t>” in Item 3 of the Registrants’ combined 2018 Form 10-K.</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1A.  RISK FACTORS</w:t>
      </w:r>
    </w:p>
    <w:p>
      <w:pPr>
        <w:spacing w:after="0" w:line="188" w:lineRule="exact"/>
        <w:rPr>
          <w:sz w:val="20"/>
          <w:szCs w:val="20"/>
          <w:color w:val="auto"/>
        </w:rPr>
      </w:pPr>
    </w:p>
    <w:p>
      <w:pPr>
        <w:jc w:val="both"/>
        <w:ind w:firstLine="259"/>
        <w:spacing w:after="0" w:line="288" w:lineRule="auto"/>
        <w:rPr>
          <w:sz w:val="20"/>
          <w:szCs w:val="20"/>
          <w:color w:val="auto"/>
        </w:rPr>
      </w:pPr>
      <w:r>
        <w:rPr>
          <w:rFonts w:ascii="Arial" w:cs="Arial" w:eastAsia="Arial" w:hAnsi="Arial"/>
          <w:sz w:val="14"/>
          <w:szCs w:val="14"/>
          <w:color w:val="auto"/>
        </w:rPr>
        <w:t>Other than with respect to the risk factor set forth below, which pertains to CenterPoint Energy and Houston Electric, there have been no material changes from the risk factors disclosed in our combined 2018 Form 10-K.</w:t>
      </w:r>
    </w:p>
    <w:p>
      <w:pPr>
        <w:spacing w:after="0" w:line="131" w:lineRule="exact"/>
        <w:rPr>
          <w:sz w:val="20"/>
          <w:szCs w:val="20"/>
          <w:color w:val="auto"/>
        </w:rPr>
      </w:pPr>
    </w:p>
    <w:p>
      <w:pPr>
        <w:jc w:val="both"/>
        <w:ind w:firstLine="129"/>
        <w:spacing w:after="0" w:line="272" w:lineRule="auto"/>
        <w:rPr>
          <w:sz w:val="20"/>
          <w:szCs w:val="20"/>
          <w:color w:val="auto"/>
        </w:rPr>
      </w:pPr>
      <w:r>
        <w:rPr>
          <w:rFonts w:ascii="Arial" w:cs="Arial" w:eastAsia="Arial" w:hAnsi="Arial"/>
          <w:sz w:val="14"/>
          <w:szCs w:val="14"/>
          <w:b w:val="1"/>
          <w:bCs w:val="1"/>
          <w:i w:val="1"/>
          <w:iCs w:val="1"/>
          <w:color w:val="auto"/>
        </w:rPr>
        <w:t>The outcome of the pending Houston Electric rate case, including the imposition of any “ring-fencing” measures, could adversely affect CenterPoint Energy’s and Houston Electric’s reputation, cash flows, credit quality, financial condition and results of operations and may result in a delay or denial of the ability to earn an expected return on invested capital and fully recover costs as well as the degradation in credit metrics resulting in downgrades at one or more credit rating agencies</w:t>
      </w:r>
    </w:p>
    <w:p>
      <w:pPr>
        <w:spacing w:after="0" w:line="175" w:lineRule="exact"/>
        <w:rPr>
          <w:sz w:val="20"/>
          <w:szCs w:val="20"/>
          <w:color w:val="auto"/>
        </w:rPr>
      </w:pPr>
    </w:p>
    <w:p>
      <w:pPr>
        <w:jc w:val="both"/>
        <w:ind w:firstLine="259"/>
        <w:spacing w:after="0" w:line="282" w:lineRule="auto"/>
        <w:rPr>
          <w:sz w:val="20"/>
          <w:szCs w:val="20"/>
          <w:color w:val="auto"/>
        </w:rPr>
      </w:pPr>
      <w:r>
        <w:rPr>
          <w:rFonts w:ascii="Arial" w:cs="Arial" w:eastAsia="Arial" w:hAnsi="Arial"/>
          <w:sz w:val="13"/>
          <w:szCs w:val="13"/>
          <w:color w:val="auto"/>
        </w:rPr>
        <w:t>In Houston Electric’s pending rate case, the ALJs at the Texas State Office of Administrative Hearings have recommended in their PFD, among other items, various rate base disallowances, a reduction in allowed return on equity, reductions to operation and maintenance expenses and a change to Houston Electric’s proposed capital structure. If the PFD were to be approved and adopted in its entirety, the PFD would result in an operating income reduction of $155 million, or, assuming certain issues identified in the PFD (as noted in Houston Electric’s exceptions to the PFD filing with the PUCT) are adjusted, $138 million, from Houston Electric’s request. This equates to a $27 million operating income reduction to CenterPoint Energy’s and Houston Electric’s current rates in place. Additionally, CenterPoint Energy and Houston Electric would expect to incur a pre-tax write-off of approximately $120 million and a one-time refund obligation of capital recovered from TCOS and DCRF mechanisms. The PFD recommends a separate proceeding with the PUCT to determine the amount, if any, of $158 million EDIT on securitized assets to be provided to customers. Furthermore, the PFD recommendations, if approved and adopted by the PUCT, would result in significant reduction in CenterPoint Energy’s and Houston Electric’s funds from operations, or FFO, as calculated by rating agencies, and potentially degrade CenterPoint Energy’s and Houston Electric’s credit metrics. The resulting decrease in cash flows from these recommendations and proposals, if approved and adopted by the PUCT, would potentially result in the degradation of CenterPoint Energy’s and Houston Electric’s credit quality, which may lead to downgrades at one or more credit rating agencies. Such downgrades, in turn, could increase the cost of capital for CenterPoint Energy and Houston Electric, among other potential effects.</w:t>
      </w:r>
    </w:p>
    <w:p>
      <w:pPr>
        <w:spacing w:after="0" w:line="140" w:lineRule="exact"/>
        <w:rPr>
          <w:sz w:val="20"/>
          <w:szCs w:val="20"/>
          <w:color w:val="auto"/>
        </w:rPr>
      </w:pPr>
    </w:p>
    <w:p>
      <w:pPr>
        <w:jc w:val="both"/>
        <w:ind w:firstLine="259"/>
        <w:spacing w:after="0" w:line="294" w:lineRule="auto"/>
        <w:rPr>
          <w:sz w:val="20"/>
          <w:szCs w:val="20"/>
          <w:color w:val="auto"/>
        </w:rPr>
      </w:pPr>
      <w:r>
        <w:rPr>
          <w:rFonts w:ascii="Arial" w:cs="Arial" w:eastAsia="Arial" w:hAnsi="Arial"/>
          <w:sz w:val="13"/>
          <w:szCs w:val="13"/>
          <w:color w:val="auto"/>
        </w:rPr>
        <w:t>If the PUCT were to adopt all these recommendations, the negative implications to CenterPoint Energy’s and Houston Electric’s cash flows, credit quality and cost of capital could affect their ability to recover capital investments, meet PUCT reliability thresholds, and maintain their current high level of operational and customer service performance. Additionally, the recommendations in the PFD include certain “ring-fencing” measures to increase Houston Electric’s financial separateness from CenterPoint Energy and to purportedly mitigate the risk that Houston Electric would be harmed in the event of a bankruptcy or other adverse financial development affecting CenterPoint Energy. These recommendations included ordering Houston Electric to:</w:t>
      </w:r>
    </w:p>
    <w:p>
      <w:pPr>
        <w:spacing w:after="0" w:line="130" w:lineRule="exact"/>
        <w:rPr>
          <w:sz w:val="20"/>
          <w:szCs w:val="20"/>
          <w:color w:val="auto"/>
        </w:rPr>
      </w:pPr>
    </w:p>
    <w:p>
      <w:pPr>
        <w:ind w:left="520" w:hanging="255"/>
        <w:spacing w:after="0"/>
        <w:tabs>
          <w:tab w:leader="none" w:pos="520" w:val="left"/>
        </w:tabs>
        <w:numPr>
          <w:ilvl w:val="0"/>
          <w:numId w:val="89"/>
        </w:numPr>
        <w:rPr>
          <w:rFonts w:ascii="Arial" w:cs="Arial" w:eastAsia="Arial" w:hAnsi="Arial"/>
          <w:sz w:val="14"/>
          <w:szCs w:val="14"/>
          <w:color w:val="auto"/>
        </w:rPr>
      </w:pPr>
      <w:r>
        <w:rPr>
          <w:rFonts w:ascii="Arial" w:cs="Arial" w:eastAsia="Arial" w:hAnsi="Arial"/>
          <w:sz w:val="14"/>
          <w:szCs w:val="14"/>
          <w:color w:val="auto"/>
        </w:rPr>
        <w:t>limit its payment of dividends to an amount not to exceed its net income (as determined in accordance with GAAP);</w:t>
      </w:r>
    </w:p>
    <w:p>
      <w:pPr>
        <w:spacing w:after="0" w:line="183" w:lineRule="exact"/>
        <w:rPr>
          <w:rFonts w:ascii="Arial" w:cs="Arial" w:eastAsia="Arial" w:hAnsi="Arial"/>
          <w:sz w:val="14"/>
          <w:szCs w:val="14"/>
          <w:color w:val="auto"/>
        </w:rPr>
      </w:pPr>
    </w:p>
    <w:p>
      <w:pPr>
        <w:ind w:left="520" w:hanging="255"/>
        <w:spacing w:after="0" w:line="328" w:lineRule="auto"/>
        <w:tabs>
          <w:tab w:leader="none" w:pos="520" w:val="left"/>
        </w:tabs>
        <w:numPr>
          <w:ilvl w:val="0"/>
          <w:numId w:val="89"/>
        </w:numPr>
        <w:rPr>
          <w:rFonts w:ascii="Arial" w:cs="Arial" w:eastAsia="Arial" w:hAnsi="Arial"/>
          <w:sz w:val="13"/>
          <w:szCs w:val="13"/>
          <w:color w:val="auto"/>
        </w:rPr>
      </w:pPr>
      <w:r>
        <w:rPr>
          <w:rFonts w:ascii="Arial" w:cs="Arial" w:eastAsia="Arial" w:hAnsi="Arial"/>
          <w:sz w:val="13"/>
          <w:szCs w:val="13"/>
          <w:color w:val="auto"/>
        </w:rPr>
        <w:t>work to ensure that its credit ratings at all three major ratings agencies (S&amp;P, Moody’s, and Fitch) remain at or above Houston Electric’s current credit ratings and, if Houston Electric’s credit rating at any one of the three major ratings agencies were to fall below BBB+ (or its equivalent) for Houston Electric’s senior secured debt, be required to suspend</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96</w:t>
      </w:r>
    </w:p>
    <w:p>
      <w:pPr>
        <w:sectPr>
          <w:pgSz w:w="11900" w:h="16838" w:orient="portrait"/>
          <w:cols w:equalWidth="0" w:num="1">
            <w:col w:w="11460"/>
          </w:cols>
          <w:pgMar w:left="220" w:top="129" w:right="219" w:bottom="1440" w:gutter="0" w:footer="0" w:header="0"/>
        </w:sectPr>
      </w:pPr>
    </w:p>
    <w:bookmarkStart w:id="106" w:name="page107"/>
    <w:bookmarkEnd w:id="106"/>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227" w:lineRule="exact"/>
        <w:rPr>
          <w:sz w:val="20"/>
          <w:szCs w:val="20"/>
          <w:color w:val="auto"/>
        </w:rPr>
      </w:pPr>
    </w:p>
    <w:p>
      <w:pPr>
        <w:ind w:left="520"/>
        <w:spacing w:after="0"/>
        <w:rPr>
          <w:sz w:val="20"/>
          <w:szCs w:val="20"/>
          <w:color w:val="auto"/>
        </w:rPr>
      </w:pPr>
      <w:r>
        <w:rPr>
          <w:rFonts w:ascii="Arial" w:cs="Arial" w:eastAsia="Arial" w:hAnsi="Arial"/>
          <w:sz w:val="14"/>
          <w:szCs w:val="14"/>
          <w:color w:val="auto"/>
        </w:rPr>
        <w:t>payment of dividends or other distributions, except for contractual tax payments, until otherwise allowed by the PUCT; and</w:t>
      </w:r>
    </w:p>
    <w:p>
      <w:pPr>
        <w:spacing w:after="0" w:line="195" w:lineRule="exact"/>
        <w:rPr>
          <w:sz w:val="20"/>
          <w:szCs w:val="20"/>
          <w:color w:val="auto"/>
        </w:rPr>
      </w:pPr>
    </w:p>
    <w:p>
      <w:pPr>
        <w:ind w:left="300" w:right="720" w:hanging="35"/>
        <w:spacing w:after="0" w:line="546" w:lineRule="auto"/>
        <w:tabs>
          <w:tab w:leader="none" w:pos="515" w:val="left"/>
        </w:tabs>
        <w:numPr>
          <w:ilvl w:val="0"/>
          <w:numId w:val="90"/>
        </w:numPr>
        <w:rPr>
          <w:rFonts w:ascii="Arial" w:cs="Arial" w:eastAsia="Arial" w:hAnsi="Arial"/>
          <w:sz w:val="14"/>
          <w:szCs w:val="14"/>
          <w:color w:val="auto"/>
        </w:rPr>
      </w:pPr>
      <w:r>
        <w:rPr>
          <w:rFonts w:ascii="Arial" w:cs="Arial" w:eastAsia="Arial" w:hAnsi="Arial"/>
          <w:sz w:val="14"/>
          <w:szCs w:val="14"/>
          <w:color w:val="auto"/>
        </w:rPr>
        <w:t>ensure that its debt to equity ratio is at or below the debt-to-equity ratio established from time to time by the PUCT for ratemaking purposes in Houston Electric rate proceedings. These recommended ring-fencing measures, if ordered by the PUCT, could, among other things, cause Houston Electric to:</w:t>
      </w:r>
    </w:p>
    <w:p>
      <w:pPr>
        <w:ind w:left="520" w:hanging="255"/>
        <w:spacing w:after="0" w:line="288" w:lineRule="auto"/>
        <w:tabs>
          <w:tab w:leader="none" w:pos="520" w:val="left"/>
        </w:tabs>
        <w:numPr>
          <w:ilvl w:val="0"/>
          <w:numId w:val="90"/>
        </w:numPr>
        <w:rPr>
          <w:rFonts w:ascii="Arial" w:cs="Arial" w:eastAsia="Arial" w:hAnsi="Arial"/>
          <w:sz w:val="14"/>
          <w:szCs w:val="14"/>
          <w:color w:val="auto"/>
        </w:rPr>
      </w:pPr>
      <w:r>
        <w:rPr>
          <w:rFonts w:ascii="Arial" w:cs="Arial" w:eastAsia="Arial" w:hAnsi="Arial"/>
          <w:sz w:val="14"/>
          <w:szCs w:val="14"/>
          <w:color w:val="auto"/>
        </w:rPr>
        <w:t>exceed its authorized equity levels in its authorized capital structure by limiting or prohibiting Houston Electric’s ability to true-up its capital structure through distributions to CenterPoint Energy;</w:t>
      </w:r>
    </w:p>
    <w:p>
      <w:pPr>
        <w:spacing w:after="0" w:line="130" w:lineRule="exact"/>
        <w:rPr>
          <w:rFonts w:ascii="Arial" w:cs="Arial" w:eastAsia="Arial" w:hAnsi="Arial"/>
          <w:sz w:val="14"/>
          <w:szCs w:val="14"/>
          <w:color w:val="auto"/>
        </w:rPr>
      </w:pPr>
    </w:p>
    <w:p>
      <w:pPr>
        <w:ind w:left="520" w:hanging="255"/>
        <w:spacing w:after="0" w:line="288" w:lineRule="auto"/>
        <w:tabs>
          <w:tab w:leader="none" w:pos="520" w:val="left"/>
        </w:tabs>
        <w:numPr>
          <w:ilvl w:val="0"/>
          <w:numId w:val="90"/>
        </w:numPr>
        <w:rPr>
          <w:rFonts w:ascii="Arial" w:cs="Arial" w:eastAsia="Arial" w:hAnsi="Arial"/>
          <w:sz w:val="14"/>
          <w:szCs w:val="14"/>
          <w:color w:val="auto"/>
        </w:rPr>
      </w:pPr>
      <w:r>
        <w:rPr>
          <w:rFonts w:ascii="Arial" w:cs="Arial" w:eastAsia="Arial" w:hAnsi="Arial"/>
          <w:sz w:val="14"/>
          <w:szCs w:val="14"/>
          <w:color w:val="auto"/>
        </w:rPr>
        <w:t>be prohibited from participating in the CenterPoint Energy money pool, thereby increasing Houston Electric’s cost of capital and reducing Houston Electric’s return on short term investments;</w:t>
      </w:r>
    </w:p>
    <w:p>
      <w:pPr>
        <w:spacing w:after="0" w:line="130" w:lineRule="exact"/>
        <w:rPr>
          <w:rFonts w:ascii="Arial" w:cs="Arial" w:eastAsia="Arial" w:hAnsi="Arial"/>
          <w:sz w:val="14"/>
          <w:szCs w:val="14"/>
          <w:color w:val="auto"/>
        </w:rPr>
      </w:pPr>
    </w:p>
    <w:p>
      <w:pPr>
        <w:ind w:left="520" w:hanging="255"/>
        <w:spacing w:after="0"/>
        <w:tabs>
          <w:tab w:leader="none" w:pos="520" w:val="left"/>
        </w:tabs>
        <w:numPr>
          <w:ilvl w:val="0"/>
          <w:numId w:val="90"/>
        </w:numPr>
        <w:rPr>
          <w:rFonts w:ascii="Arial" w:cs="Arial" w:eastAsia="Arial" w:hAnsi="Arial"/>
          <w:sz w:val="14"/>
          <w:szCs w:val="14"/>
          <w:color w:val="auto"/>
        </w:rPr>
      </w:pPr>
      <w:r>
        <w:rPr>
          <w:rFonts w:ascii="Arial" w:cs="Arial" w:eastAsia="Arial" w:hAnsi="Arial"/>
          <w:sz w:val="14"/>
          <w:szCs w:val="14"/>
          <w:color w:val="auto"/>
        </w:rPr>
        <w:t>realize increased administrative expenses due to increased separateness requirements and less ability to use shared services; and</w:t>
      </w:r>
    </w:p>
    <w:p>
      <w:pPr>
        <w:spacing w:after="0" w:line="183" w:lineRule="exact"/>
        <w:rPr>
          <w:rFonts w:ascii="Arial" w:cs="Arial" w:eastAsia="Arial" w:hAnsi="Arial"/>
          <w:sz w:val="14"/>
          <w:szCs w:val="14"/>
          <w:color w:val="auto"/>
        </w:rPr>
      </w:pPr>
    </w:p>
    <w:p>
      <w:pPr>
        <w:ind w:left="520" w:hanging="255"/>
        <w:spacing w:after="0"/>
        <w:tabs>
          <w:tab w:leader="none" w:pos="520" w:val="left"/>
        </w:tabs>
        <w:numPr>
          <w:ilvl w:val="0"/>
          <w:numId w:val="90"/>
        </w:numPr>
        <w:rPr>
          <w:rFonts w:ascii="Arial" w:cs="Arial" w:eastAsia="Arial" w:hAnsi="Arial"/>
          <w:sz w:val="14"/>
          <w:szCs w:val="14"/>
          <w:color w:val="auto"/>
        </w:rPr>
      </w:pPr>
      <w:r>
        <w:rPr>
          <w:rFonts w:ascii="Arial" w:cs="Arial" w:eastAsia="Arial" w:hAnsi="Arial"/>
          <w:sz w:val="14"/>
          <w:szCs w:val="14"/>
          <w:color w:val="auto"/>
        </w:rPr>
        <w:t>in conjunction with the ALJs’ other recommendations in their PFD, suffer downgrades at one or more credit rating agencies, thereby increasing Houston Electric’s cost of capital.</w:t>
      </w:r>
    </w:p>
    <w:p>
      <w:pPr>
        <w:spacing w:after="0" w:line="184" w:lineRule="exact"/>
        <w:rPr>
          <w:sz w:val="20"/>
          <w:szCs w:val="20"/>
          <w:color w:val="auto"/>
        </w:rPr>
      </w:pPr>
    </w:p>
    <w:p>
      <w:pPr>
        <w:jc w:val="both"/>
        <w:ind w:firstLine="259"/>
        <w:spacing w:after="0" w:line="288" w:lineRule="auto"/>
        <w:rPr>
          <w:sz w:val="20"/>
          <w:szCs w:val="20"/>
          <w:color w:val="auto"/>
        </w:rPr>
      </w:pPr>
      <w:r>
        <w:rPr>
          <w:rFonts w:ascii="Arial" w:cs="Arial" w:eastAsia="Arial" w:hAnsi="Arial"/>
          <w:sz w:val="14"/>
          <w:szCs w:val="14"/>
          <w:color w:val="auto"/>
        </w:rPr>
        <w:t>The recommendations in the PFD described above (including the ring-fencing measures), if ordered by the PUCT, could adversely affect CenterPoint Energy’s and Houston Electric’s reputation, cash flows, credit quality, financial condition and results of operations.</w:t>
      </w:r>
    </w:p>
    <w:p>
      <w:pPr>
        <w:spacing w:after="0" w:line="12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6. EXHIBITS</w:t>
      </w:r>
    </w:p>
    <w:p>
      <w:pPr>
        <w:spacing w:after="0" w:line="188" w:lineRule="exact"/>
        <w:rPr>
          <w:sz w:val="20"/>
          <w:szCs w:val="20"/>
          <w:color w:val="auto"/>
        </w:rPr>
      </w:pPr>
    </w:p>
    <w:p>
      <w:pPr>
        <w:jc w:val="both"/>
        <w:ind w:firstLine="259"/>
        <w:spacing w:after="0" w:line="267" w:lineRule="auto"/>
        <w:rPr>
          <w:sz w:val="20"/>
          <w:szCs w:val="20"/>
          <w:color w:val="auto"/>
        </w:rPr>
      </w:pPr>
      <w:r>
        <w:rPr>
          <w:rFonts w:ascii="Arial" w:cs="Arial" w:eastAsia="Arial" w:hAnsi="Arial"/>
          <w:sz w:val="14"/>
          <w:szCs w:val="14"/>
          <w:color w:val="auto"/>
        </w:rPr>
        <w:t>Exhibits filed herewith are designated by a cross (+); all exhibits not so designated are incorporated by reference to a prior filing as indicated. Agreements included as exhibits are included only to provide information to investors regarding their terms. Agreements listed below may contain representations, warranties and other provisions that were made, among other things, to provide the parties thereto with specified rights and obligations and to allocate risk among them, and no such agreement should be relied upon as constituting or providing any factual disclosures about the Registrants, any other persons, any state of affairs or other matters.</w:t>
      </w:r>
    </w:p>
    <w:p>
      <w:pPr>
        <w:spacing w:after="0" w:line="146" w:lineRule="exact"/>
        <w:rPr>
          <w:sz w:val="20"/>
          <w:szCs w:val="20"/>
          <w:color w:val="auto"/>
        </w:rPr>
      </w:pPr>
    </w:p>
    <w:p>
      <w:pPr>
        <w:jc w:val="both"/>
        <w:ind w:firstLine="259"/>
        <w:spacing w:after="0" w:line="272" w:lineRule="auto"/>
        <w:rPr>
          <w:sz w:val="20"/>
          <w:szCs w:val="20"/>
          <w:color w:val="auto"/>
        </w:rPr>
      </w:pPr>
      <w:r>
        <w:rPr>
          <w:rFonts w:ascii="Arial" w:cs="Arial" w:eastAsia="Arial" w:hAnsi="Arial"/>
          <w:sz w:val="14"/>
          <w:szCs w:val="14"/>
          <w:color w:val="auto"/>
        </w:rPr>
        <w:t>Pursuant to Item 601(b)(4)(iii)(A) of Regulation S-K, the Registrants have not filed as exhibits to this Form 10-Q certain long-term debt instruments, including indentures, under which the total amount of securities authorized does not exceed 10% of the total assets of the Registrants and its subsidiaries on a consolidated basis. The Registrants hereby agree to furnish a copy of any such instrument to the SEC upon request.</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820" w:type="dxa"/>
            <w:vAlign w:val="bottom"/>
            <w:gridSpan w:val="2"/>
            <w:vMerge w:val="restart"/>
          </w:tcPr>
          <w:p>
            <w:pPr>
              <w:jc w:val="center"/>
              <w:ind w:right="120"/>
              <w:spacing w:after="0"/>
              <w:rPr>
                <w:sz w:val="20"/>
                <w:szCs w:val="20"/>
                <w:color w:val="auto"/>
              </w:rPr>
            </w:pPr>
            <w:r>
              <w:rPr>
                <w:rFonts w:ascii="Arial" w:cs="Arial" w:eastAsia="Arial" w:hAnsi="Arial"/>
                <w:sz w:val="11"/>
                <w:szCs w:val="11"/>
                <w:b w:val="1"/>
                <w:bCs w:val="1"/>
                <w:color w:val="auto"/>
              </w:rPr>
              <w:t>Exhibit</w:t>
            </w:r>
          </w:p>
        </w:tc>
        <w:tc>
          <w:tcPr>
            <w:tcW w:w="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40" w:type="dxa"/>
            <w:vAlign w:val="bottom"/>
            <w:gridSpan w:val="2"/>
            <w:vMerge w:val="restart"/>
          </w:tcPr>
          <w:p>
            <w:pPr>
              <w:ind w:left="300"/>
              <w:spacing w:after="0"/>
              <w:rPr>
                <w:sz w:val="20"/>
                <w:szCs w:val="20"/>
                <w:color w:val="auto"/>
              </w:rPr>
            </w:pPr>
            <w:r>
              <w:rPr>
                <w:rFonts w:ascii="Arial" w:cs="Arial" w:eastAsia="Arial" w:hAnsi="Arial"/>
                <w:sz w:val="11"/>
                <w:szCs w:val="11"/>
                <w:b w:val="1"/>
                <w:bCs w:val="1"/>
                <w:color w:val="auto"/>
              </w:rPr>
              <w:t>Report or Registration</w:t>
            </w:r>
          </w:p>
        </w:tc>
        <w:tc>
          <w:tcPr>
            <w:tcW w:w="128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5"/>
              </w:rPr>
              <w:t>SEC File or</w:t>
            </w:r>
          </w:p>
        </w:tc>
        <w:tc>
          <w:tcPr>
            <w:tcW w:w="1020" w:type="dxa"/>
            <w:vAlign w:val="bottom"/>
            <w:gridSpan w:val="2"/>
            <w:vMerge w:val="restart"/>
          </w:tcPr>
          <w:p>
            <w:pPr>
              <w:jc w:val="center"/>
              <w:ind w:right="120"/>
              <w:spacing w:after="0"/>
              <w:rPr>
                <w:sz w:val="20"/>
                <w:szCs w:val="20"/>
                <w:color w:val="auto"/>
              </w:rPr>
            </w:pPr>
            <w:r>
              <w:rPr>
                <w:rFonts w:ascii="Arial" w:cs="Arial" w:eastAsia="Arial" w:hAnsi="Arial"/>
                <w:sz w:val="11"/>
                <w:szCs w:val="11"/>
                <w:b w:val="1"/>
                <w:bCs w:val="1"/>
                <w:color w:val="auto"/>
              </w:rPr>
              <w:t>Exhibit</w:t>
            </w: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82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900" w:type="dxa"/>
            <w:vAlign w:val="bottom"/>
            <w:gridSpan w:val="6"/>
            <w:vMerge w:val="restart"/>
          </w:tcPr>
          <w:p>
            <w:pPr>
              <w:ind w:left="120"/>
              <w:spacing w:after="0"/>
              <w:rPr>
                <w:sz w:val="20"/>
                <w:szCs w:val="20"/>
                <w:color w:val="auto"/>
              </w:rPr>
            </w:pPr>
            <w:r>
              <w:rPr>
                <w:rFonts w:ascii="Arial" w:cs="Arial" w:eastAsia="Arial" w:hAnsi="Arial"/>
                <w:sz w:val="11"/>
                <w:szCs w:val="11"/>
                <w:b w:val="1"/>
                <w:bCs w:val="1"/>
                <w:color w:val="auto"/>
              </w:rPr>
              <w:t>Description</w:t>
            </w:r>
          </w:p>
        </w:tc>
        <w:tc>
          <w:tcPr>
            <w:tcW w:w="120" w:type="dxa"/>
            <w:vAlign w:val="bottom"/>
            <w:vMerge w:val="restart"/>
          </w:tcPr>
          <w:p>
            <w:pPr>
              <w:spacing w:after="0"/>
              <w:rPr>
                <w:sz w:val="10"/>
                <w:szCs w:val="10"/>
                <w:color w:val="auto"/>
              </w:rPr>
            </w:pPr>
          </w:p>
        </w:tc>
        <w:tc>
          <w:tcPr>
            <w:tcW w:w="1840" w:type="dxa"/>
            <w:vAlign w:val="bottom"/>
            <w:gridSpan w:val="2"/>
            <w:vMerge w:val="continue"/>
          </w:tcPr>
          <w:p>
            <w:pPr>
              <w:spacing w:after="0"/>
              <w:rPr>
                <w:sz w:val="10"/>
                <w:szCs w:val="10"/>
                <w:color w:val="auto"/>
              </w:rPr>
            </w:pPr>
          </w:p>
        </w:tc>
        <w:tc>
          <w:tcPr>
            <w:tcW w:w="1280" w:type="dxa"/>
            <w:vAlign w:val="bottom"/>
            <w:gridSpan w:val="2"/>
          </w:tcPr>
          <w:p>
            <w:pPr>
              <w:jc w:val="center"/>
              <w:ind w:right="120"/>
              <w:spacing w:after="0" w:line="119" w:lineRule="exact"/>
              <w:rPr>
                <w:sz w:val="20"/>
                <w:szCs w:val="20"/>
                <w:color w:val="auto"/>
              </w:rPr>
            </w:pPr>
            <w:r>
              <w:rPr>
                <w:rFonts w:ascii="Arial" w:cs="Arial" w:eastAsia="Arial" w:hAnsi="Arial"/>
                <w:sz w:val="11"/>
                <w:szCs w:val="11"/>
                <w:b w:val="1"/>
                <w:bCs w:val="1"/>
                <w:color w:val="auto"/>
                <w:w w:val="93"/>
              </w:rPr>
              <w:t>Registration</w:t>
            </w:r>
          </w:p>
        </w:tc>
        <w:tc>
          <w:tcPr>
            <w:tcW w:w="1020" w:type="dxa"/>
            <w:vAlign w:val="bottom"/>
            <w:gridSpan w:val="2"/>
            <w:vMerge w:val="continue"/>
          </w:tcPr>
          <w:p>
            <w:pPr>
              <w:spacing w:after="0"/>
              <w:rPr>
                <w:sz w:val="10"/>
                <w:szCs w:val="10"/>
                <w:color w:val="auto"/>
              </w:rPr>
            </w:pPr>
          </w:p>
        </w:tc>
        <w:tc>
          <w:tcPr>
            <w:tcW w:w="114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5"/>
              </w:rPr>
              <w:t>CenterPoint Energy</w:t>
            </w:r>
          </w:p>
        </w:tc>
        <w:tc>
          <w:tcPr>
            <w:tcW w:w="100" w:type="dxa"/>
            <w:vAlign w:val="bottom"/>
            <w:vMerge w:val="restart"/>
          </w:tcPr>
          <w:p>
            <w:pPr>
              <w:spacing w:after="0"/>
              <w:rPr>
                <w:sz w:val="10"/>
                <w:szCs w:val="10"/>
                <w:color w:val="auto"/>
              </w:rPr>
            </w:pPr>
          </w:p>
        </w:tc>
        <w:tc>
          <w:tcPr>
            <w:tcW w:w="104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6"/>
              </w:rPr>
              <w:t>Houston Electric</w:t>
            </w:r>
          </w:p>
        </w:tc>
        <w:tc>
          <w:tcPr>
            <w:tcW w:w="100" w:type="dxa"/>
            <w:vAlign w:val="bottom"/>
            <w:vMerge w:val="restart"/>
          </w:tcPr>
          <w:p>
            <w:pPr>
              <w:spacing w:after="0"/>
              <w:rPr>
                <w:sz w:val="10"/>
                <w:szCs w:val="10"/>
                <w:color w:val="auto"/>
              </w:rPr>
            </w:pPr>
          </w:p>
        </w:tc>
        <w:tc>
          <w:tcPr>
            <w:tcW w:w="1020" w:type="dxa"/>
            <w:vAlign w:val="bottom"/>
            <w:vMerge w:val="restart"/>
          </w:tcPr>
          <w:p>
            <w:pPr>
              <w:jc w:val="center"/>
              <w:spacing w:after="0"/>
              <w:rPr>
                <w:sz w:val="20"/>
                <w:szCs w:val="20"/>
                <w:color w:val="auto"/>
              </w:rPr>
            </w:pPr>
            <w:r>
              <w:rPr>
                <w:rFonts w:ascii="Arial" w:cs="Arial" w:eastAsia="Arial" w:hAnsi="Arial"/>
                <w:sz w:val="11"/>
                <w:szCs w:val="11"/>
                <w:b w:val="1"/>
                <w:bCs w:val="1"/>
                <w:color w:val="auto"/>
              </w:rPr>
              <w:t>CERC</w:t>
            </w:r>
          </w:p>
        </w:tc>
        <w:tc>
          <w:tcPr>
            <w:tcW w:w="0" w:type="dxa"/>
            <w:vAlign w:val="bottom"/>
          </w:tcPr>
          <w:p>
            <w:pPr>
              <w:spacing w:after="0"/>
              <w:rPr>
                <w:sz w:val="1"/>
                <w:szCs w:val="1"/>
                <w:color w:val="auto"/>
              </w:rPr>
            </w:pPr>
          </w:p>
        </w:tc>
      </w:tr>
      <w:tr>
        <w:trPr>
          <w:trHeight w:val="153"/>
        </w:trPr>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Number</w:t>
            </w:r>
          </w:p>
        </w:tc>
        <w:tc>
          <w:tcPr>
            <w:tcW w:w="12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1900" w:type="dxa"/>
            <w:vAlign w:val="bottom"/>
            <w:tcBorders>
              <w:bottom w:val="single" w:sz="8" w:color="auto"/>
            </w:tcBorders>
            <w:gridSpan w:val="6"/>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1720" w:type="dxa"/>
            <w:vAlign w:val="bottom"/>
            <w:tcBorders>
              <w:bottom w:val="single" w:sz="8" w:color="auto"/>
            </w:tcBorders>
          </w:tcPr>
          <w:p>
            <w:pPr>
              <w:ind w:left="620"/>
              <w:spacing w:after="0"/>
              <w:rPr>
                <w:sz w:val="20"/>
                <w:szCs w:val="20"/>
                <w:color w:val="auto"/>
              </w:rPr>
            </w:pPr>
            <w:r>
              <w:rPr>
                <w:rFonts w:ascii="Arial" w:cs="Arial" w:eastAsia="Arial" w:hAnsi="Arial"/>
                <w:sz w:val="11"/>
                <w:szCs w:val="11"/>
                <w:b w:val="1"/>
                <w:bCs w:val="1"/>
                <w:color w:val="auto"/>
              </w:rPr>
              <w:t>Statement</w:t>
            </w:r>
          </w:p>
        </w:tc>
        <w:tc>
          <w:tcPr>
            <w:tcW w:w="120" w:type="dxa"/>
            <w:vAlign w:val="bottom"/>
          </w:tcPr>
          <w:p>
            <w:pPr>
              <w:spacing w:after="0"/>
              <w:rPr>
                <w:sz w:val="13"/>
                <w:szCs w:val="13"/>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6"/>
              </w:rPr>
              <w:t>Number</w:t>
            </w:r>
          </w:p>
        </w:tc>
        <w:tc>
          <w:tcPr>
            <w:tcW w:w="120" w:type="dxa"/>
            <w:vAlign w:val="bottom"/>
          </w:tcPr>
          <w:p>
            <w:pPr>
              <w:spacing w:after="0"/>
              <w:rPr>
                <w:sz w:val="13"/>
                <w:szCs w:val="13"/>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3"/>
              </w:rPr>
              <w:t>Reference</w:t>
            </w:r>
          </w:p>
        </w:tc>
        <w:tc>
          <w:tcPr>
            <w:tcW w:w="120" w:type="dxa"/>
            <w:vAlign w:val="bottom"/>
          </w:tcPr>
          <w:p>
            <w:pPr>
              <w:spacing w:after="0"/>
              <w:rPr>
                <w:sz w:val="13"/>
                <w:szCs w:val="13"/>
                <w:color w:val="auto"/>
              </w:rPr>
            </w:pPr>
          </w:p>
        </w:tc>
        <w:tc>
          <w:tcPr>
            <w:tcW w:w="1140" w:type="dxa"/>
            <w:vAlign w:val="bottom"/>
            <w:tcBorders>
              <w:bottom w:val="single" w:sz="8" w:color="auto"/>
            </w:tcBorders>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1040" w:type="dxa"/>
            <w:vAlign w:val="bottom"/>
            <w:tcBorders>
              <w:bottom w:val="single" w:sz="8" w:color="auto"/>
            </w:tcBorders>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102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700" w:type="dxa"/>
            <w:vAlign w:val="bottom"/>
          </w:tcPr>
          <w:p>
            <w:pPr>
              <w:jc w:val="center"/>
              <w:spacing w:after="0" w:line="125" w:lineRule="exact"/>
              <w:rPr>
                <w:sz w:val="20"/>
                <w:szCs w:val="20"/>
                <w:color w:val="auto"/>
              </w:rPr>
            </w:pPr>
            <w:r>
              <w:rPr>
                <w:rFonts w:ascii="Arial" w:cs="Arial" w:eastAsia="Arial" w:hAnsi="Arial"/>
                <w:sz w:val="11"/>
                <w:szCs w:val="11"/>
                <w:color w:val="auto"/>
              </w:rPr>
              <w:t>2.1*</w:t>
            </w: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080" w:type="dxa"/>
            <w:vAlign w:val="bottom"/>
            <w:gridSpan w:val="8"/>
          </w:tcPr>
          <w:p>
            <w:pPr>
              <w:spacing w:after="0" w:line="125" w:lineRule="exact"/>
              <w:rPr>
                <w:rFonts w:ascii="Arial" w:cs="Arial" w:eastAsia="Arial" w:hAnsi="Arial"/>
                <w:sz w:val="11"/>
                <w:szCs w:val="11"/>
                <w:color w:val="0000FF"/>
              </w:rPr>
            </w:pPr>
            <w:hyperlink r:id="rId21">
              <w:r>
                <w:rPr>
                  <w:rFonts w:ascii="Arial" w:cs="Arial" w:eastAsia="Arial" w:hAnsi="Arial"/>
                  <w:sz w:val="11"/>
                  <w:szCs w:val="11"/>
                  <w:color w:val="0000FF"/>
                </w:rPr>
                <w:t>Agreement and Plan of Merger, dated as of April 21, 2018, by</w:t>
              </w:r>
            </w:hyperlink>
          </w:p>
        </w:tc>
        <w:tc>
          <w:tcPr>
            <w:tcW w:w="1840" w:type="dxa"/>
            <w:vAlign w:val="bottom"/>
            <w:gridSpan w:val="2"/>
          </w:tcPr>
          <w:p>
            <w:pPr>
              <w:ind w:left="20"/>
              <w:spacing w:after="0" w:line="125" w:lineRule="exact"/>
              <w:rPr>
                <w:sz w:val="20"/>
                <w:szCs w:val="20"/>
                <w:color w:val="auto"/>
              </w:rPr>
            </w:pPr>
            <w:r>
              <w:rPr>
                <w:rFonts w:ascii="Arial" w:cs="Arial" w:eastAsia="Arial" w:hAnsi="Arial"/>
                <w:sz w:val="11"/>
                <w:szCs w:val="11"/>
                <w:color w:val="auto"/>
              </w:rPr>
              <w:t>CenterPoint Energy’s Form 8-K</w:t>
            </w:r>
          </w:p>
        </w:tc>
        <w:tc>
          <w:tcPr>
            <w:tcW w:w="1160" w:type="dxa"/>
            <w:vAlign w:val="bottom"/>
          </w:tcPr>
          <w:p>
            <w:pPr>
              <w:jc w:val="center"/>
              <w:spacing w:after="0" w:line="125" w:lineRule="exact"/>
              <w:rPr>
                <w:sz w:val="20"/>
                <w:szCs w:val="20"/>
                <w:color w:val="auto"/>
              </w:rPr>
            </w:pPr>
            <w:r>
              <w:rPr>
                <w:rFonts w:ascii="Arial" w:cs="Arial" w:eastAsia="Arial" w:hAnsi="Arial"/>
                <w:sz w:val="11"/>
                <w:szCs w:val="11"/>
                <w:color w:val="auto"/>
                <w:w w:val="94"/>
              </w:rPr>
              <w:t>1-31447</w:t>
            </w:r>
          </w:p>
        </w:tc>
        <w:tc>
          <w:tcPr>
            <w:tcW w:w="120" w:type="dxa"/>
            <w:vAlign w:val="bottom"/>
          </w:tcPr>
          <w:p>
            <w:pPr>
              <w:spacing w:after="0"/>
              <w:rPr>
                <w:sz w:val="10"/>
                <w:szCs w:val="10"/>
                <w:color w:val="auto"/>
              </w:rPr>
            </w:pPr>
          </w:p>
        </w:tc>
        <w:tc>
          <w:tcPr>
            <w:tcW w:w="900" w:type="dxa"/>
            <w:vAlign w:val="bottom"/>
          </w:tcPr>
          <w:p>
            <w:pPr>
              <w:jc w:val="center"/>
              <w:spacing w:after="0" w:line="125" w:lineRule="exact"/>
              <w:rPr>
                <w:sz w:val="20"/>
                <w:szCs w:val="20"/>
                <w:color w:val="auto"/>
              </w:rPr>
            </w:pPr>
            <w:r>
              <w:rPr>
                <w:rFonts w:ascii="Arial" w:cs="Arial" w:eastAsia="Arial" w:hAnsi="Arial"/>
                <w:sz w:val="11"/>
                <w:szCs w:val="11"/>
                <w:color w:val="auto"/>
                <w:w w:val="91"/>
              </w:rPr>
              <w:t>2.1</w:t>
            </w:r>
          </w:p>
        </w:tc>
        <w:tc>
          <w:tcPr>
            <w:tcW w:w="120" w:type="dxa"/>
            <w:vAlign w:val="bottom"/>
          </w:tcPr>
          <w:p>
            <w:pPr>
              <w:spacing w:after="0"/>
              <w:rPr>
                <w:sz w:val="10"/>
                <w:szCs w:val="10"/>
                <w:color w:val="auto"/>
              </w:rPr>
            </w:pPr>
          </w:p>
        </w:tc>
        <w:tc>
          <w:tcPr>
            <w:tcW w:w="1240" w:type="dxa"/>
            <w:vAlign w:val="bottom"/>
            <w:gridSpan w:val="2"/>
          </w:tcPr>
          <w:p>
            <w:pPr>
              <w:jc w:val="center"/>
              <w:ind w:right="100"/>
              <w:spacing w:after="0" w:line="125" w:lineRule="exact"/>
              <w:rPr>
                <w:sz w:val="20"/>
                <w:szCs w:val="20"/>
                <w:color w:val="auto"/>
              </w:rPr>
            </w:pPr>
            <w:r>
              <w:rPr>
                <w:rFonts w:ascii="Arial" w:cs="Arial" w:eastAsia="Arial" w:hAnsi="Arial"/>
                <w:sz w:val="11"/>
                <w:szCs w:val="11"/>
                <w:color w:val="auto"/>
              </w:rPr>
              <w:t>x</w:t>
            </w: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2840" w:type="dxa"/>
            <w:vAlign w:val="bottom"/>
            <w:tcBorders>
              <w:top w:val="single" w:sz="8" w:color="0000FF"/>
              <w:bottom w:val="single" w:sz="8" w:color="0000FF"/>
            </w:tcBorders>
            <w:gridSpan w:val="5"/>
          </w:tcPr>
          <w:p>
            <w:pPr>
              <w:spacing w:after="0" w:line="99" w:lineRule="exact"/>
              <w:rPr>
                <w:rFonts w:ascii="Arial" w:cs="Arial" w:eastAsia="Arial" w:hAnsi="Arial"/>
                <w:sz w:val="11"/>
                <w:szCs w:val="11"/>
                <w:color w:val="0000FF"/>
                <w:w w:val="92"/>
              </w:rPr>
            </w:pPr>
            <w:hyperlink r:id="rId21">
              <w:r>
                <w:rPr>
                  <w:rFonts w:ascii="Arial" w:cs="Arial" w:eastAsia="Arial" w:hAnsi="Arial"/>
                  <w:sz w:val="11"/>
                  <w:szCs w:val="11"/>
                  <w:color w:val="0000FF"/>
                  <w:w w:val="92"/>
                </w:rPr>
                <w:t>and among Vectren Corporation, CenterPoint Energy, Inc. and</w:t>
              </w:r>
            </w:hyperlink>
          </w:p>
        </w:tc>
        <w:tc>
          <w:tcPr>
            <w:tcW w:w="20" w:type="dxa"/>
            <w:vAlign w:val="bottom"/>
            <w:tcBorders>
              <w:bottom w:val="single" w:sz="8" w:color="0000FF"/>
            </w:tcBorders>
          </w:tcPr>
          <w:p>
            <w:pPr>
              <w:spacing w:after="0"/>
              <w:rPr>
                <w:sz w:val="8"/>
                <w:szCs w:val="8"/>
                <w:color w:val="auto"/>
              </w:rPr>
            </w:pPr>
          </w:p>
        </w:tc>
        <w:tc>
          <w:tcPr>
            <w:tcW w:w="220" w:type="dxa"/>
            <w:vAlign w:val="bottom"/>
            <w:gridSpan w:val="2"/>
          </w:tcPr>
          <w:p>
            <w:pPr>
              <w:spacing w:after="0"/>
              <w:rPr>
                <w:sz w:val="8"/>
                <w:szCs w:val="8"/>
                <w:color w:val="auto"/>
              </w:rPr>
            </w:pPr>
          </w:p>
        </w:tc>
        <w:tc>
          <w:tcPr>
            <w:tcW w:w="1840" w:type="dxa"/>
            <w:vAlign w:val="bottom"/>
            <w:gridSpan w:val="2"/>
          </w:tcPr>
          <w:p>
            <w:pPr>
              <w:ind w:left="20"/>
              <w:spacing w:after="0" w:line="99" w:lineRule="exact"/>
              <w:rPr>
                <w:sz w:val="20"/>
                <w:szCs w:val="20"/>
                <w:color w:val="auto"/>
              </w:rPr>
            </w:pPr>
            <w:r>
              <w:rPr>
                <w:rFonts w:ascii="Arial" w:cs="Arial" w:eastAsia="Arial" w:hAnsi="Arial"/>
                <w:sz w:val="11"/>
                <w:szCs w:val="11"/>
                <w:color w:val="auto"/>
              </w:rPr>
              <w:t>dated April 21, 2018</w:t>
            </w:r>
          </w:p>
        </w:tc>
        <w:tc>
          <w:tcPr>
            <w:tcW w:w="1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60" w:type="dxa"/>
            <w:vAlign w:val="bottom"/>
            <w:tcBorders>
              <w:bottom w:val="single" w:sz="8" w:color="0000FF"/>
            </w:tcBorders>
          </w:tcPr>
          <w:p>
            <w:pPr>
              <w:spacing w:after="0" w:line="99" w:lineRule="exact"/>
              <w:rPr>
                <w:rFonts w:ascii="Arial" w:cs="Arial" w:eastAsia="Arial" w:hAnsi="Arial"/>
                <w:sz w:val="11"/>
                <w:szCs w:val="11"/>
                <w:color w:val="0000FF"/>
                <w:w w:val="91"/>
              </w:rPr>
            </w:pPr>
            <w:hyperlink r:id="rId21">
              <w:r>
                <w:rPr>
                  <w:rFonts w:ascii="Arial" w:cs="Arial" w:eastAsia="Arial" w:hAnsi="Arial"/>
                  <w:sz w:val="11"/>
                  <w:szCs w:val="11"/>
                  <w:color w:val="0000FF"/>
                  <w:w w:val="91"/>
                </w:rPr>
                <w:t>Pacer Merger Sub, Inc.</w:t>
              </w:r>
            </w:hyperlink>
          </w:p>
        </w:tc>
        <w:tc>
          <w:tcPr>
            <w:tcW w:w="1800" w:type="dxa"/>
            <w:vAlign w:val="bottom"/>
            <w:gridSpan w:val="5"/>
          </w:tcPr>
          <w:p>
            <w:pPr>
              <w:spacing w:after="0"/>
              <w:rPr>
                <w:sz w:val="8"/>
                <w:szCs w:val="8"/>
                <w:color w:val="auto"/>
              </w:rPr>
            </w:pPr>
          </w:p>
        </w:tc>
        <w:tc>
          <w:tcPr>
            <w:tcW w:w="220" w:type="dxa"/>
            <w:vAlign w:val="bottom"/>
            <w:gridSpan w:val="2"/>
          </w:tcPr>
          <w:p>
            <w:pPr>
              <w:spacing w:after="0"/>
              <w:rPr>
                <w:sz w:val="8"/>
                <w:szCs w:val="8"/>
                <w:color w:val="auto"/>
              </w:rPr>
            </w:pPr>
          </w:p>
        </w:tc>
        <w:tc>
          <w:tcPr>
            <w:tcW w:w="1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700" w:type="dxa"/>
            <w:vAlign w:val="bottom"/>
          </w:tcPr>
          <w:p>
            <w:pPr>
              <w:jc w:val="center"/>
              <w:spacing w:after="0"/>
              <w:rPr>
                <w:sz w:val="20"/>
                <w:szCs w:val="20"/>
                <w:color w:val="auto"/>
              </w:rPr>
            </w:pPr>
            <w:r>
              <w:rPr>
                <w:rFonts w:ascii="Arial" w:cs="Arial" w:eastAsia="Arial" w:hAnsi="Arial"/>
                <w:sz w:val="11"/>
                <w:szCs w:val="11"/>
                <w:color w:val="auto"/>
                <w:w w:val="91"/>
              </w:rPr>
              <w:t>3.1</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80" w:type="dxa"/>
            <w:vAlign w:val="bottom"/>
            <w:gridSpan w:val="8"/>
          </w:tcPr>
          <w:p>
            <w:pPr>
              <w:spacing w:after="0"/>
              <w:rPr>
                <w:rFonts w:ascii="Arial" w:cs="Arial" w:eastAsia="Arial" w:hAnsi="Arial"/>
                <w:sz w:val="11"/>
                <w:szCs w:val="11"/>
                <w:color w:val="0000FF"/>
              </w:rPr>
            </w:pPr>
            <w:hyperlink r:id="rId22">
              <w:r>
                <w:rPr>
                  <w:rFonts w:ascii="Arial" w:cs="Arial" w:eastAsia="Arial" w:hAnsi="Arial"/>
                  <w:sz w:val="11"/>
                  <w:szCs w:val="11"/>
                  <w:color w:val="0000FF"/>
                </w:rPr>
                <w:t>Restated Articles of Incorporation of CenterPoint Energy</w:t>
              </w:r>
            </w:hyperlink>
          </w:p>
        </w:tc>
        <w:tc>
          <w:tcPr>
            <w:tcW w:w="1840" w:type="dxa"/>
            <w:vAlign w:val="bottom"/>
            <w:gridSpan w:val="2"/>
          </w:tcPr>
          <w:p>
            <w:pPr>
              <w:ind w:left="20"/>
              <w:spacing w:after="0"/>
              <w:rPr>
                <w:sz w:val="20"/>
                <w:szCs w:val="20"/>
                <w:color w:val="auto"/>
              </w:rPr>
            </w:pPr>
            <w:r>
              <w:rPr>
                <w:rFonts w:ascii="Arial" w:cs="Arial" w:eastAsia="Arial" w:hAnsi="Arial"/>
                <w:sz w:val="11"/>
                <w:szCs w:val="11"/>
                <w:color w:val="auto"/>
              </w:rPr>
              <w:t>CenterPoint Energy’s Form 8-K</w:t>
            </w:r>
          </w:p>
        </w:tc>
        <w:tc>
          <w:tcPr>
            <w:tcW w:w="1160" w:type="dxa"/>
            <w:vAlign w:val="bottom"/>
          </w:tcPr>
          <w:p>
            <w:pPr>
              <w:jc w:val="center"/>
              <w:spacing w:after="0"/>
              <w:rPr>
                <w:sz w:val="20"/>
                <w:szCs w:val="20"/>
                <w:color w:val="auto"/>
              </w:rPr>
            </w:pPr>
            <w:r>
              <w:rPr>
                <w:rFonts w:ascii="Arial" w:cs="Arial" w:eastAsia="Arial" w:hAnsi="Arial"/>
                <w:sz w:val="11"/>
                <w:szCs w:val="11"/>
                <w:color w:val="auto"/>
                <w:w w:val="94"/>
              </w:rPr>
              <w:t>1-31447</w:t>
            </w:r>
          </w:p>
        </w:tc>
        <w:tc>
          <w:tcPr>
            <w:tcW w:w="120" w:type="dxa"/>
            <w:vAlign w:val="bottom"/>
          </w:tcPr>
          <w:p>
            <w:pPr>
              <w:spacing w:after="0"/>
              <w:rPr>
                <w:sz w:val="12"/>
                <w:szCs w:val="12"/>
                <w:color w:val="auto"/>
              </w:rPr>
            </w:pPr>
          </w:p>
        </w:tc>
        <w:tc>
          <w:tcPr>
            <w:tcW w:w="900" w:type="dxa"/>
            <w:vAlign w:val="bottom"/>
          </w:tcPr>
          <w:p>
            <w:pPr>
              <w:jc w:val="center"/>
              <w:spacing w:after="0"/>
              <w:rPr>
                <w:sz w:val="20"/>
                <w:szCs w:val="20"/>
                <w:color w:val="auto"/>
              </w:rPr>
            </w:pPr>
            <w:r>
              <w:rPr>
                <w:rFonts w:ascii="Arial" w:cs="Arial" w:eastAsia="Arial" w:hAnsi="Arial"/>
                <w:sz w:val="11"/>
                <w:szCs w:val="11"/>
                <w:color w:val="auto"/>
                <w:w w:val="91"/>
              </w:rPr>
              <w:t>3.2</w:t>
            </w:r>
          </w:p>
        </w:tc>
        <w:tc>
          <w:tcPr>
            <w:tcW w:w="120" w:type="dxa"/>
            <w:vAlign w:val="bottom"/>
          </w:tcPr>
          <w:p>
            <w:pPr>
              <w:spacing w:after="0"/>
              <w:rPr>
                <w:sz w:val="12"/>
                <w:szCs w:val="12"/>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1"/>
                <w:szCs w:val="11"/>
                <w:color w:val="auto"/>
              </w:rPr>
              <w:t>x</w:t>
            </w: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60" w:type="dxa"/>
            <w:vAlign w:val="bottom"/>
            <w:tcBorders>
              <w:top w:val="single" w:sz="8" w:color="0000FF"/>
            </w:tcBorders>
          </w:tcPr>
          <w:p>
            <w:pPr>
              <w:spacing w:after="0"/>
              <w:rPr>
                <w:sz w:val="10"/>
                <w:szCs w:val="10"/>
                <w:color w:val="auto"/>
              </w:rPr>
            </w:pPr>
          </w:p>
        </w:tc>
        <w:tc>
          <w:tcPr>
            <w:tcW w:w="940" w:type="dxa"/>
            <w:vAlign w:val="bottom"/>
            <w:tcBorders>
              <w:top w:val="single" w:sz="8" w:color="0000FF"/>
            </w:tcBorders>
          </w:tcPr>
          <w:p>
            <w:pPr>
              <w:spacing w:after="0"/>
              <w:rPr>
                <w:sz w:val="10"/>
                <w:szCs w:val="10"/>
                <w:color w:val="auto"/>
              </w:rPr>
            </w:pPr>
          </w:p>
        </w:tc>
        <w:tc>
          <w:tcPr>
            <w:tcW w:w="460" w:type="dxa"/>
            <w:vAlign w:val="bottom"/>
            <w:tcBorders>
              <w:top w:val="single" w:sz="8" w:color="0000FF"/>
            </w:tcBorders>
          </w:tcPr>
          <w:p>
            <w:pPr>
              <w:spacing w:after="0"/>
              <w:rPr>
                <w:sz w:val="10"/>
                <w:szCs w:val="10"/>
                <w:color w:val="auto"/>
              </w:rPr>
            </w:pPr>
          </w:p>
        </w:tc>
        <w:tc>
          <w:tcPr>
            <w:tcW w:w="160" w:type="dxa"/>
            <w:vAlign w:val="bottom"/>
            <w:tcBorders>
              <w:top w:val="single" w:sz="8" w:color="0000FF"/>
            </w:tcBorders>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40" w:type="dxa"/>
            <w:vAlign w:val="bottom"/>
            <w:gridSpan w:val="2"/>
          </w:tcPr>
          <w:p>
            <w:pPr>
              <w:ind w:left="20"/>
              <w:spacing w:after="0"/>
              <w:rPr>
                <w:sz w:val="20"/>
                <w:szCs w:val="20"/>
                <w:color w:val="auto"/>
              </w:rPr>
            </w:pPr>
            <w:r>
              <w:rPr>
                <w:rFonts w:ascii="Arial" w:cs="Arial" w:eastAsia="Arial" w:hAnsi="Arial"/>
                <w:sz w:val="11"/>
                <w:szCs w:val="11"/>
                <w:color w:val="auto"/>
              </w:rPr>
              <w:t>dated July 24, 2008</w:t>
            </w:r>
          </w:p>
        </w:tc>
        <w:tc>
          <w:tcPr>
            <w:tcW w:w="1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700" w:type="dxa"/>
            <w:vAlign w:val="bottom"/>
          </w:tcPr>
          <w:p>
            <w:pPr>
              <w:jc w:val="center"/>
              <w:spacing w:after="0"/>
              <w:rPr>
                <w:sz w:val="20"/>
                <w:szCs w:val="20"/>
                <w:color w:val="auto"/>
              </w:rPr>
            </w:pPr>
            <w:r>
              <w:rPr>
                <w:rFonts w:ascii="Arial" w:cs="Arial" w:eastAsia="Arial" w:hAnsi="Arial"/>
                <w:sz w:val="11"/>
                <w:szCs w:val="11"/>
                <w:color w:val="auto"/>
                <w:w w:val="91"/>
              </w:rPr>
              <w:t>3.2</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80" w:type="dxa"/>
            <w:vAlign w:val="bottom"/>
            <w:gridSpan w:val="8"/>
          </w:tcPr>
          <w:p>
            <w:pPr>
              <w:spacing w:after="0"/>
              <w:rPr>
                <w:rFonts w:ascii="Arial" w:cs="Arial" w:eastAsia="Arial" w:hAnsi="Arial"/>
                <w:sz w:val="11"/>
                <w:szCs w:val="11"/>
                <w:color w:val="0000FF"/>
              </w:rPr>
            </w:pPr>
            <w:hyperlink r:id="rId23">
              <w:r>
                <w:rPr>
                  <w:rFonts w:ascii="Arial" w:cs="Arial" w:eastAsia="Arial" w:hAnsi="Arial"/>
                  <w:sz w:val="11"/>
                  <w:szCs w:val="11"/>
                  <w:color w:val="0000FF"/>
                </w:rPr>
                <w:t>Restated Certificate of Formation of Houston Electric</w:t>
              </w:r>
            </w:hyperlink>
          </w:p>
        </w:tc>
        <w:tc>
          <w:tcPr>
            <w:tcW w:w="1840" w:type="dxa"/>
            <w:vAlign w:val="bottom"/>
            <w:gridSpan w:val="2"/>
          </w:tcPr>
          <w:p>
            <w:pPr>
              <w:ind w:left="20"/>
              <w:spacing w:after="0"/>
              <w:rPr>
                <w:sz w:val="20"/>
                <w:szCs w:val="20"/>
                <w:color w:val="auto"/>
              </w:rPr>
            </w:pPr>
            <w:r>
              <w:rPr>
                <w:rFonts w:ascii="Arial" w:cs="Arial" w:eastAsia="Arial" w:hAnsi="Arial"/>
                <w:sz w:val="11"/>
                <w:szCs w:val="11"/>
                <w:color w:val="auto"/>
              </w:rPr>
              <w:t>Houston Electric’s Form 10-Q for</w:t>
            </w:r>
          </w:p>
        </w:tc>
        <w:tc>
          <w:tcPr>
            <w:tcW w:w="1160" w:type="dxa"/>
            <w:vAlign w:val="bottom"/>
          </w:tcPr>
          <w:p>
            <w:pPr>
              <w:jc w:val="center"/>
              <w:spacing w:after="0"/>
              <w:rPr>
                <w:sz w:val="20"/>
                <w:szCs w:val="20"/>
                <w:color w:val="auto"/>
              </w:rPr>
            </w:pPr>
            <w:r>
              <w:rPr>
                <w:rFonts w:ascii="Arial" w:cs="Arial" w:eastAsia="Arial" w:hAnsi="Arial"/>
                <w:sz w:val="11"/>
                <w:szCs w:val="11"/>
                <w:color w:val="auto"/>
                <w:w w:val="93"/>
              </w:rPr>
              <w:t>1-3187</w:t>
            </w:r>
          </w:p>
        </w:tc>
        <w:tc>
          <w:tcPr>
            <w:tcW w:w="120" w:type="dxa"/>
            <w:vAlign w:val="bottom"/>
          </w:tcPr>
          <w:p>
            <w:pPr>
              <w:spacing w:after="0"/>
              <w:rPr>
                <w:sz w:val="11"/>
                <w:szCs w:val="11"/>
                <w:color w:val="auto"/>
              </w:rPr>
            </w:pPr>
          </w:p>
        </w:tc>
        <w:tc>
          <w:tcPr>
            <w:tcW w:w="900" w:type="dxa"/>
            <w:vAlign w:val="bottom"/>
          </w:tcPr>
          <w:p>
            <w:pPr>
              <w:jc w:val="center"/>
              <w:spacing w:after="0"/>
              <w:rPr>
                <w:sz w:val="20"/>
                <w:szCs w:val="20"/>
                <w:color w:val="auto"/>
              </w:rPr>
            </w:pPr>
            <w:r>
              <w:rPr>
                <w:rFonts w:ascii="Arial" w:cs="Arial" w:eastAsia="Arial" w:hAnsi="Arial"/>
                <w:sz w:val="11"/>
                <w:szCs w:val="11"/>
                <w:color w:val="auto"/>
                <w:w w:val="91"/>
              </w:rPr>
              <w:t>3.1</w:t>
            </w:r>
          </w:p>
        </w:tc>
        <w:tc>
          <w:tcPr>
            <w:tcW w:w="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gridSpan w:val="2"/>
          </w:tcPr>
          <w:p>
            <w:pPr>
              <w:jc w:val="center"/>
              <w:ind w:right="120"/>
              <w:spacing w:after="0"/>
              <w:rPr>
                <w:sz w:val="20"/>
                <w:szCs w:val="20"/>
                <w:color w:val="auto"/>
              </w:rPr>
            </w:pPr>
            <w:r>
              <w:rPr>
                <w:rFonts w:ascii="Arial" w:cs="Arial" w:eastAsia="Arial" w:hAnsi="Arial"/>
                <w:sz w:val="11"/>
                <w:szCs w:val="11"/>
                <w:color w:val="auto"/>
              </w:rPr>
              <w:t>x</w:t>
            </w: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60" w:type="dxa"/>
            <w:vAlign w:val="bottom"/>
            <w:tcBorders>
              <w:top w:val="single" w:sz="8" w:color="0000FF"/>
            </w:tcBorders>
          </w:tcPr>
          <w:p>
            <w:pPr>
              <w:spacing w:after="0"/>
              <w:rPr>
                <w:sz w:val="10"/>
                <w:szCs w:val="10"/>
                <w:color w:val="auto"/>
              </w:rPr>
            </w:pPr>
          </w:p>
        </w:tc>
        <w:tc>
          <w:tcPr>
            <w:tcW w:w="940" w:type="dxa"/>
            <w:vAlign w:val="bottom"/>
            <w:tcBorders>
              <w:top w:val="single" w:sz="8" w:color="0000FF"/>
            </w:tcBorders>
          </w:tcPr>
          <w:p>
            <w:pPr>
              <w:spacing w:after="0"/>
              <w:rPr>
                <w:sz w:val="10"/>
                <w:szCs w:val="10"/>
                <w:color w:val="auto"/>
              </w:rPr>
            </w:pPr>
          </w:p>
        </w:tc>
        <w:tc>
          <w:tcPr>
            <w:tcW w:w="460" w:type="dxa"/>
            <w:vAlign w:val="bottom"/>
            <w:tcBorders>
              <w:top w:val="single" w:sz="8" w:color="0000FF"/>
            </w:tcBorders>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40" w:type="dxa"/>
            <w:vAlign w:val="bottom"/>
            <w:gridSpan w:val="2"/>
          </w:tcPr>
          <w:p>
            <w:pPr>
              <w:ind w:left="20"/>
              <w:spacing w:after="0"/>
              <w:rPr>
                <w:sz w:val="20"/>
                <w:szCs w:val="20"/>
                <w:color w:val="auto"/>
              </w:rPr>
            </w:pPr>
            <w:r>
              <w:rPr>
                <w:rFonts w:ascii="Arial" w:cs="Arial" w:eastAsia="Arial" w:hAnsi="Arial"/>
                <w:sz w:val="11"/>
                <w:szCs w:val="11"/>
                <w:color w:val="auto"/>
              </w:rPr>
              <w:t>the quarter ended June 30, 2011</w:t>
            </w:r>
          </w:p>
        </w:tc>
        <w:tc>
          <w:tcPr>
            <w:tcW w:w="1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700" w:type="dxa"/>
            <w:vAlign w:val="bottom"/>
          </w:tcPr>
          <w:p>
            <w:pPr>
              <w:jc w:val="center"/>
              <w:spacing w:after="0"/>
              <w:rPr>
                <w:sz w:val="20"/>
                <w:szCs w:val="20"/>
                <w:color w:val="auto"/>
              </w:rPr>
            </w:pPr>
            <w:r>
              <w:rPr>
                <w:rFonts w:ascii="Arial" w:cs="Arial" w:eastAsia="Arial" w:hAnsi="Arial"/>
                <w:sz w:val="11"/>
                <w:szCs w:val="11"/>
                <w:color w:val="auto"/>
                <w:w w:val="91"/>
              </w:rPr>
              <w:t>3.3</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80" w:type="dxa"/>
            <w:vAlign w:val="bottom"/>
            <w:gridSpan w:val="8"/>
          </w:tcPr>
          <w:p>
            <w:pPr>
              <w:spacing w:after="0"/>
              <w:rPr>
                <w:sz w:val="20"/>
                <w:szCs w:val="20"/>
                <w:color w:val="auto"/>
              </w:rPr>
            </w:pPr>
            <w:r>
              <w:rPr>
                <w:rFonts w:ascii="Arial" w:cs="Arial" w:eastAsia="Arial" w:hAnsi="Arial"/>
                <w:sz w:val="11"/>
                <w:szCs w:val="11"/>
                <w:color w:val="0000FF"/>
              </w:rPr>
              <w:t>Certificate of Incorporation of RERC Corp.</w:t>
            </w:r>
          </w:p>
        </w:tc>
        <w:tc>
          <w:tcPr>
            <w:tcW w:w="1840" w:type="dxa"/>
            <w:vAlign w:val="bottom"/>
            <w:gridSpan w:val="2"/>
          </w:tcPr>
          <w:p>
            <w:pPr>
              <w:ind w:left="20"/>
              <w:spacing w:after="0"/>
              <w:rPr>
                <w:sz w:val="20"/>
                <w:szCs w:val="20"/>
                <w:color w:val="auto"/>
              </w:rPr>
            </w:pPr>
            <w:r>
              <w:rPr>
                <w:rFonts w:ascii="Arial" w:cs="Arial" w:eastAsia="Arial" w:hAnsi="Arial"/>
                <w:sz w:val="11"/>
                <w:szCs w:val="11"/>
                <w:color w:val="auto"/>
              </w:rPr>
              <w:t>CERC Form 10-K for the year</w:t>
            </w:r>
          </w:p>
        </w:tc>
        <w:tc>
          <w:tcPr>
            <w:tcW w:w="1160" w:type="dxa"/>
            <w:vAlign w:val="bottom"/>
          </w:tcPr>
          <w:p>
            <w:pPr>
              <w:jc w:val="center"/>
              <w:spacing w:after="0"/>
              <w:rPr>
                <w:sz w:val="20"/>
                <w:szCs w:val="20"/>
                <w:color w:val="auto"/>
              </w:rPr>
            </w:pPr>
            <w:r>
              <w:rPr>
                <w:rFonts w:ascii="Arial" w:cs="Arial" w:eastAsia="Arial" w:hAnsi="Arial"/>
                <w:sz w:val="11"/>
                <w:szCs w:val="11"/>
                <w:color w:val="auto"/>
                <w:w w:val="94"/>
              </w:rPr>
              <w:t>1-13265</w:t>
            </w:r>
          </w:p>
        </w:tc>
        <w:tc>
          <w:tcPr>
            <w:tcW w:w="120" w:type="dxa"/>
            <w:vAlign w:val="bottom"/>
          </w:tcPr>
          <w:p>
            <w:pPr>
              <w:spacing w:after="0"/>
              <w:rPr>
                <w:sz w:val="11"/>
                <w:szCs w:val="11"/>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1"/>
                <w:szCs w:val="11"/>
                <w:color w:val="auto"/>
                <w:w w:val="96"/>
              </w:rPr>
              <w:t>3(a)(1)</w:t>
            </w: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jc w:val="center"/>
              <w:spacing w:after="0"/>
              <w:rPr>
                <w:sz w:val="20"/>
                <w:szCs w:val="20"/>
                <w:color w:val="auto"/>
              </w:rPr>
            </w:pPr>
            <w:r>
              <w:rPr>
                <w:rFonts w:ascii="Arial" w:cs="Arial" w:eastAsia="Arial" w:hAnsi="Arial"/>
                <w:sz w:val="11"/>
                <w:szCs w:val="11"/>
                <w:color w:val="auto"/>
              </w:rPr>
              <w:t>x</w:t>
            </w:r>
          </w:p>
        </w:tc>
        <w:tc>
          <w:tcPr>
            <w:tcW w:w="0" w:type="dxa"/>
            <w:vAlign w:val="bottom"/>
          </w:tcPr>
          <w:p>
            <w:pPr>
              <w:spacing w:after="0"/>
              <w:rPr>
                <w:sz w:val="1"/>
                <w:szCs w:val="1"/>
                <w:color w:val="auto"/>
              </w:rPr>
            </w:pPr>
          </w:p>
        </w:tc>
      </w:tr>
      <w:tr>
        <w:trPr>
          <w:trHeight w:val="126"/>
        </w:trPr>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60" w:type="dxa"/>
            <w:vAlign w:val="bottom"/>
            <w:tcBorders>
              <w:top w:val="single" w:sz="8" w:color="0000FF"/>
            </w:tcBorders>
          </w:tcPr>
          <w:p>
            <w:pPr>
              <w:spacing w:after="0"/>
              <w:rPr>
                <w:sz w:val="10"/>
                <w:szCs w:val="10"/>
                <w:color w:val="auto"/>
              </w:rPr>
            </w:pPr>
          </w:p>
        </w:tc>
        <w:tc>
          <w:tcPr>
            <w:tcW w:w="940" w:type="dxa"/>
            <w:vAlign w:val="bottom"/>
            <w:tcBorders>
              <w:top w:val="single" w:sz="8" w:color="0000FF"/>
            </w:tcBorders>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40" w:type="dxa"/>
            <w:vAlign w:val="bottom"/>
            <w:gridSpan w:val="2"/>
          </w:tcPr>
          <w:p>
            <w:pPr>
              <w:ind w:left="20"/>
              <w:spacing w:after="0"/>
              <w:rPr>
                <w:sz w:val="20"/>
                <w:szCs w:val="20"/>
                <w:color w:val="auto"/>
              </w:rPr>
            </w:pPr>
            <w:r>
              <w:rPr>
                <w:rFonts w:ascii="Arial" w:cs="Arial" w:eastAsia="Arial" w:hAnsi="Arial"/>
                <w:sz w:val="11"/>
                <w:szCs w:val="11"/>
                <w:color w:val="auto"/>
              </w:rPr>
              <w:t>ended December 31, 1997</w:t>
            </w:r>
          </w:p>
        </w:tc>
        <w:tc>
          <w:tcPr>
            <w:tcW w:w="1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3" w:lineRule="exact"/>
        <w:rPr>
          <w:sz w:val="20"/>
          <w:szCs w:val="20"/>
          <w:color w:val="auto"/>
        </w:rPr>
      </w:pPr>
    </w:p>
    <w:p>
      <w:pPr>
        <w:sectPr>
          <w:pgSz w:w="11900" w:h="16838" w:orient="portrait"/>
          <w:cols w:equalWidth="0" w:num="1">
            <w:col w:w="11460"/>
          </w:cols>
          <w:pgMar w:left="220" w:top="129" w:right="219" w:bottom="1440" w:gutter="0" w:footer="0" w:header="0"/>
        </w:sectPr>
      </w:pPr>
    </w:p>
    <w:p>
      <w:pPr>
        <w:spacing w:after="0" w:line="4" w:lineRule="exact"/>
        <w:rPr>
          <w:sz w:val="20"/>
          <w:szCs w:val="20"/>
          <w:color w:val="auto"/>
        </w:rPr>
      </w:pPr>
    </w:p>
    <w:tbl>
      <w:tblPr>
        <w:tblLayout w:type="fixed"/>
        <w:tblInd w:w="280" w:type="dxa"/>
        <w:tblCellMar>
          <w:top w:w="0" w:type="dxa"/>
          <w:left w:w="0" w:type="dxa"/>
          <w:bottom w:w="0" w:type="dxa"/>
          <w:right w:w="0" w:type="dxa"/>
        </w:tblCellMar>
      </w:tblPr>
      <w:tr>
        <w:trPr>
          <w:trHeight w:val="126"/>
        </w:trPr>
        <w:tc>
          <w:tcPr>
            <w:tcW w:w="560" w:type="dxa"/>
            <w:vAlign w:val="bottom"/>
          </w:tcPr>
          <w:p>
            <w:pPr>
              <w:jc w:val="right"/>
              <w:ind w:right="363"/>
              <w:spacing w:after="0"/>
              <w:rPr>
                <w:sz w:val="20"/>
                <w:szCs w:val="20"/>
                <w:color w:val="auto"/>
              </w:rPr>
            </w:pPr>
            <w:r>
              <w:rPr>
                <w:rFonts w:ascii="Arial" w:cs="Arial" w:eastAsia="Arial" w:hAnsi="Arial"/>
                <w:sz w:val="11"/>
                <w:szCs w:val="11"/>
                <w:color w:val="auto"/>
                <w:w w:val="78"/>
              </w:rPr>
              <w:t>3.4</w:t>
            </w:r>
          </w:p>
        </w:tc>
        <w:tc>
          <w:tcPr>
            <w:tcW w:w="2760" w:type="dxa"/>
            <w:vAlign w:val="bottom"/>
            <w:gridSpan w:val="3"/>
          </w:tcPr>
          <w:p>
            <w:pPr>
              <w:spacing w:after="0"/>
              <w:rPr>
                <w:sz w:val="20"/>
                <w:szCs w:val="20"/>
                <w:color w:val="auto"/>
              </w:rPr>
            </w:pPr>
            <w:r>
              <w:rPr>
                <w:rFonts w:ascii="Arial" w:cs="Arial" w:eastAsia="Arial" w:hAnsi="Arial"/>
                <w:sz w:val="11"/>
                <w:szCs w:val="11"/>
                <w:color w:val="0000FF"/>
                <w:w w:val="97"/>
              </w:rPr>
              <w:t>Certificate of Merger merging former NorAm Energy Corp.</w:t>
            </w:r>
          </w:p>
        </w:tc>
      </w:tr>
      <w:tr>
        <w:trPr>
          <w:trHeight w:val="99"/>
        </w:trPr>
        <w:tc>
          <w:tcPr>
            <w:tcW w:w="560" w:type="dxa"/>
            <w:vAlign w:val="bottom"/>
          </w:tcPr>
          <w:p>
            <w:pPr>
              <w:spacing w:after="0"/>
              <w:rPr>
                <w:sz w:val="8"/>
                <w:szCs w:val="8"/>
                <w:color w:val="auto"/>
              </w:rPr>
            </w:pPr>
          </w:p>
        </w:tc>
        <w:tc>
          <w:tcPr>
            <w:tcW w:w="2360" w:type="dxa"/>
            <w:vAlign w:val="bottom"/>
            <w:tcBorders>
              <w:top w:val="single" w:sz="8" w:color="0000FF"/>
              <w:bottom w:val="single" w:sz="8" w:color="0000FF"/>
            </w:tcBorders>
          </w:tcPr>
          <w:p>
            <w:pPr>
              <w:spacing w:after="0" w:line="99" w:lineRule="exact"/>
              <w:rPr>
                <w:sz w:val="20"/>
                <w:szCs w:val="20"/>
                <w:color w:val="auto"/>
              </w:rPr>
            </w:pPr>
            <w:r>
              <w:rPr>
                <w:rFonts w:ascii="Arial" w:cs="Arial" w:eastAsia="Arial" w:hAnsi="Arial"/>
                <w:sz w:val="11"/>
                <w:szCs w:val="11"/>
                <w:color w:val="0000FF"/>
                <w:w w:val="95"/>
              </w:rPr>
              <w:t>with and into HI Merger, Inc. dated August 6, 1997</w:t>
            </w:r>
          </w:p>
        </w:tc>
        <w:tc>
          <w:tcPr>
            <w:tcW w:w="380" w:type="dxa"/>
            <w:vAlign w:val="bottom"/>
            <w:tcBorders>
              <w:top w:val="single" w:sz="8" w:color="0000FF"/>
            </w:tcBorders>
          </w:tcPr>
          <w:p>
            <w:pPr>
              <w:spacing w:after="0"/>
              <w:rPr>
                <w:sz w:val="8"/>
                <w:szCs w:val="8"/>
                <w:color w:val="auto"/>
              </w:rPr>
            </w:pPr>
          </w:p>
        </w:tc>
        <w:tc>
          <w:tcPr>
            <w:tcW w:w="20" w:type="dxa"/>
            <w:vAlign w:val="bottom"/>
          </w:tcPr>
          <w:p>
            <w:pPr>
              <w:spacing w:after="0"/>
              <w:rPr>
                <w:sz w:val="8"/>
                <w:szCs w:val="8"/>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6"/>
        </w:trPr>
        <w:tc>
          <w:tcPr>
            <w:tcW w:w="1800" w:type="dxa"/>
            <w:vAlign w:val="bottom"/>
          </w:tcPr>
          <w:p>
            <w:pPr>
              <w:spacing w:after="0"/>
              <w:rPr>
                <w:sz w:val="20"/>
                <w:szCs w:val="20"/>
                <w:color w:val="auto"/>
              </w:rPr>
            </w:pPr>
            <w:r>
              <w:rPr>
                <w:rFonts w:ascii="Arial" w:cs="Arial" w:eastAsia="Arial" w:hAnsi="Arial"/>
                <w:sz w:val="11"/>
                <w:szCs w:val="11"/>
                <w:color w:val="auto"/>
              </w:rPr>
              <w:t>CERC Form 10-K for the year</w:t>
            </w:r>
          </w:p>
        </w:tc>
        <w:tc>
          <w:tcPr>
            <w:tcW w:w="1200" w:type="dxa"/>
            <w:vAlign w:val="bottom"/>
          </w:tcPr>
          <w:p>
            <w:pPr>
              <w:jc w:val="right"/>
              <w:ind w:right="363"/>
              <w:spacing w:after="0"/>
              <w:rPr>
                <w:sz w:val="20"/>
                <w:szCs w:val="20"/>
                <w:color w:val="auto"/>
              </w:rPr>
            </w:pPr>
            <w:r>
              <w:rPr>
                <w:rFonts w:ascii="Arial" w:cs="Arial" w:eastAsia="Arial" w:hAnsi="Arial"/>
                <w:sz w:val="11"/>
                <w:szCs w:val="11"/>
                <w:color w:val="auto"/>
              </w:rPr>
              <w:t>1-13265</w:t>
            </w:r>
          </w:p>
        </w:tc>
        <w:tc>
          <w:tcPr>
            <w:tcW w:w="2340" w:type="dxa"/>
            <w:vAlign w:val="bottom"/>
          </w:tcPr>
          <w:p>
            <w:pPr>
              <w:ind w:left="400"/>
              <w:spacing w:after="0"/>
              <w:rPr>
                <w:sz w:val="20"/>
                <w:szCs w:val="20"/>
                <w:color w:val="auto"/>
              </w:rPr>
            </w:pPr>
            <w:r>
              <w:rPr>
                <w:rFonts w:ascii="Arial" w:cs="Arial" w:eastAsia="Arial" w:hAnsi="Arial"/>
                <w:sz w:val="11"/>
                <w:szCs w:val="11"/>
                <w:color w:val="auto"/>
              </w:rPr>
              <w:t>3(a)(2)</w:t>
            </w:r>
          </w:p>
        </w:tc>
        <w:tc>
          <w:tcPr>
            <w:tcW w:w="1700" w:type="dxa"/>
            <w:vAlign w:val="bottom"/>
          </w:tcPr>
          <w:p>
            <w:pPr>
              <w:ind w:left="1640"/>
              <w:spacing w:after="0"/>
              <w:rPr>
                <w:sz w:val="20"/>
                <w:szCs w:val="20"/>
                <w:color w:val="auto"/>
              </w:rPr>
            </w:pPr>
            <w:r>
              <w:rPr>
                <w:rFonts w:ascii="Arial" w:cs="Arial" w:eastAsia="Arial" w:hAnsi="Arial"/>
                <w:sz w:val="11"/>
                <w:szCs w:val="11"/>
                <w:color w:val="auto"/>
                <w:w w:val="71"/>
              </w:rPr>
              <w:t>x</w:t>
            </w:r>
          </w:p>
        </w:tc>
      </w:tr>
      <w:tr>
        <w:trPr>
          <w:trHeight w:val="146"/>
        </w:trPr>
        <w:tc>
          <w:tcPr>
            <w:tcW w:w="1800" w:type="dxa"/>
            <w:vAlign w:val="bottom"/>
          </w:tcPr>
          <w:p>
            <w:pPr>
              <w:spacing w:after="0"/>
              <w:rPr>
                <w:sz w:val="20"/>
                <w:szCs w:val="20"/>
                <w:color w:val="auto"/>
              </w:rPr>
            </w:pPr>
            <w:r>
              <w:rPr>
                <w:rFonts w:ascii="Arial" w:cs="Arial" w:eastAsia="Arial" w:hAnsi="Arial"/>
                <w:sz w:val="11"/>
                <w:szCs w:val="11"/>
                <w:color w:val="auto"/>
              </w:rPr>
              <w:t>ended December 31, 1997</w:t>
            </w:r>
          </w:p>
        </w:tc>
        <w:tc>
          <w:tcPr>
            <w:tcW w:w="120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700" w:type="dxa"/>
            <w:vAlign w:val="bottom"/>
          </w:tcPr>
          <w:p>
            <w:pPr>
              <w:spacing w:after="0"/>
              <w:rPr>
                <w:sz w:val="12"/>
                <w:szCs w:val="12"/>
                <w:color w:val="auto"/>
              </w:rPr>
            </w:pPr>
          </w:p>
        </w:tc>
      </w:tr>
    </w:tbl>
    <w:p>
      <w:pPr>
        <w:spacing w:after="0" w:line="7" w:lineRule="exact"/>
        <w:rPr>
          <w:sz w:val="20"/>
          <w:szCs w:val="20"/>
          <w:color w:val="auto"/>
        </w:rPr>
      </w:pPr>
    </w:p>
    <w:p>
      <w:pPr>
        <w:sectPr>
          <w:pgSz w:w="11900" w:h="16838" w:orient="portrait"/>
          <w:cols w:equalWidth="0" w:num="2">
            <w:col w:w="3580" w:space="360"/>
            <w:col w:w="7520"/>
          </w:cols>
          <w:pgMar w:left="220" w:top="129" w:right="219" w:bottom="1440" w:gutter="0" w:footer="0" w:header="0"/>
          <w:type w:val="continuous"/>
        </w:sectPr>
      </w:pPr>
    </w:p>
    <w:p>
      <w:pPr>
        <w:spacing w:after="0" w:line="5" w:lineRule="exact"/>
        <w:rPr>
          <w:sz w:val="20"/>
          <w:szCs w:val="20"/>
          <w:color w:val="auto"/>
        </w:rPr>
      </w:pPr>
    </w:p>
    <w:tbl>
      <w:tblPr>
        <w:tblLayout w:type="fixed"/>
        <w:tblInd w:w="280" w:type="dxa"/>
        <w:tblCellMar>
          <w:top w:w="0" w:type="dxa"/>
          <w:left w:w="0" w:type="dxa"/>
          <w:bottom w:w="0" w:type="dxa"/>
          <w:right w:w="0" w:type="dxa"/>
        </w:tblCellMar>
      </w:tblPr>
      <w:tr>
        <w:trPr>
          <w:trHeight w:val="126"/>
        </w:trPr>
        <w:tc>
          <w:tcPr>
            <w:tcW w:w="560" w:type="dxa"/>
            <w:vAlign w:val="bottom"/>
          </w:tcPr>
          <w:p>
            <w:pPr>
              <w:jc w:val="right"/>
              <w:ind w:right="363"/>
              <w:spacing w:after="0"/>
              <w:rPr>
                <w:sz w:val="20"/>
                <w:szCs w:val="20"/>
                <w:color w:val="auto"/>
              </w:rPr>
            </w:pPr>
            <w:r>
              <w:rPr>
                <w:rFonts w:ascii="Arial" w:cs="Arial" w:eastAsia="Arial" w:hAnsi="Arial"/>
                <w:sz w:val="11"/>
                <w:szCs w:val="11"/>
                <w:color w:val="auto"/>
                <w:w w:val="78"/>
              </w:rPr>
              <w:t>3.5</w:t>
            </w:r>
          </w:p>
        </w:tc>
        <w:tc>
          <w:tcPr>
            <w:tcW w:w="2960" w:type="dxa"/>
            <w:vAlign w:val="bottom"/>
            <w:gridSpan w:val="3"/>
          </w:tcPr>
          <w:p>
            <w:pPr>
              <w:spacing w:after="0"/>
              <w:rPr>
                <w:sz w:val="20"/>
                <w:szCs w:val="20"/>
                <w:color w:val="auto"/>
              </w:rPr>
            </w:pPr>
            <w:r>
              <w:rPr>
                <w:rFonts w:ascii="Arial" w:cs="Arial" w:eastAsia="Arial" w:hAnsi="Arial"/>
                <w:sz w:val="11"/>
                <w:szCs w:val="11"/>
                <w:color w:val="0000FF"/>
                <w:w w:val="95"/>
              </w:rPr>
              <w:t>Certificate of Amendment changing the name to Reliant Energy</w:t>
            </w:r>
          </w:p>
        </w:tc>
      </w:tr>
      <w:tr>
        <w:trPr>
          <w:trHeight w:val="99"/>
        </w:trPr>
        <w:tc>
          <w:tcPr>
            <w:tcW w:w="560" w:type="dxa"/>
            <w:vAlign w:val="bottom"/>
          </w:tcPr>
          <w:p>
            <w:pPr>
              <w:spacing w:after="0"/>
              <w:rPr>
                <w:sz w:val="8"/>
                <w:szCs w:val="8"/>
                <w:color w:val="auto"/>
              </w:rPr>
            </w:pPr>
          </w:p>
        </w:tc>
        <w:tc>
          <w:tcPr>
            <w:tcW w:w="760" w:type="dxa"/>
            <w:vAlign w:val="bottom"/>
            <w:tcBorders>
              <w:top w:val="single" w:sz="8" w:color="0000FF"/>
              <w:bottom w:val="single" w:sz="8" w:color="0000FF"/>
            </w:tcBorders>
          </w:tcPr>
          <w:p>
            <w:pPr>
              <w:spacing w:after="0" w:line="99" w:lineRule="exact"/>
              <w:rPr>
                <w:sz w:val="20"/>
                <w:szCs w:val="20"/>
                <w:color w:val="auto"/>
              </w:rPr>
            </w:pPr>
            <w:r>
              <w:rPr>
                <w:rFonts w:ascii="Arial" w:cs="Arial" w:eastAsia="Arial" w:hAnsi="Arial"/>
                <w:sz w:val="11"/>
                <w:szCs w:val="11"/>
                <w:color w:val="0000FF"/>
                <w:w w:val="89"/>
              </w:rPr>
              <w:t>Resources Corp.</w:t>
            </w:r>
          </w:p>
        </w:tc>
        <w:tc>
          <w:tcPr>
            <w:tcW w:w="2180" w:type="dxa"/>
            <w:vAlign w:val="bottom"/>
            <w:tcBorders>
              <w:top w:val="single" w:sz="8" w:color="0000FF"/>
            </w:tcBorders>
          </w:tcPr>
          <w:p>
            <w:pPr>
              <w:spacing w:after="0"/>
              <w:rPr>
                <w:sz w:val="8"/>
                <w:szCs w:val="8"/>
                <w:color w:val="auto"/>
              </w:rPr>
            </w:pPr>
          </w:p>
        </w:tc>
        <w:tc>
          <w:tcPr>
            <w:tcW w:w="20" w:type="dxa"/>
            <w:vAlign w:val="bottom"/>
          </w:tcPr>
          <w:p>
            <w:pPr>
              <w:spacing w:after="0"/>
              <w:rPr>
                <w:sz w:val="8"/>
                <w:szCs w:val="8"/>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6"/>
        </w:trPr>
        <w:tc>
          <w:tcPr>
            <w:tcW w:w="1800" w:type="dxa"/>
            <w:vAlign w:val="bottom"/>
          </w:tcPr>
          <w:p>
            <w:pPr>
              <w:spacing w:after="0"/>
              <w:rPr>
                <w:sz w:val="20"/>
                <w:szCs w:val="20"/>
                <w:color w:val="auto"/>
              </w:rPr>
            </w:pPr>
            <w:r>
              <w:rPr>
                <w:rFonts w:ascii="Arial" w:cs="Arial" w:eastAsia="Arial" w:hAnsi="Arial"/>
                <w:sz w:val="11"/>
                <w:szCs w:val="11"/>
                <w:color w:val="auto"/>
              </w:rPr>
              <w:t>CERC Form 10-K for the year</w:t>
            </w:r>
          </w:p>
        </w:tc>
        <w:tc>
          <w:tcPr>
            <w:tcW w:w="1200" w:type="dxa"/>
            <w:vAlign w:val="bottom"/>
          </w:tcPr>
          <w:p>
            <w:pPr>
              <w:jc w:val="right"/>
              <w:ind w:right="363"/>
              <w:spacing w:after="0"/>
              <w:rPr>
                <w:sz w:val="20"/>
                <w:szCs w:val="20"/>
                <w:color w:val="auto"/>
              </w:rPr>
            </w:pPr>
            <w:r>
              <w:rPr>
                <w:rFonts w:ascii="Arial" w:cs="Arial" w:eastAsia="Arial" w:hAnsi="Arial"/>
                <w:sz w:val="11"/>
                <w:szCs w:val="11"/>
                <w:color w:val="auto"/>
              </w:rPr>
              <w:t>1-13265</w:t>
            </w:r>
          </w:p>
        </w:tc>
        <w:tc>
          <w:tcPr>
            <w:tcW w:w="2340" w:type="dxa"/>
            <w:vAlign w:val="bottom"/>
          </w:tcPr>
          <w:p>
            <w:pPr>
              <w:ind w:left="400"/>
              <w:spacing w:after="0"/>
              <w:rPr>
                <w:sz w:val="20"/>
                <w:szCs w:val="20"/>
                <w:color w:val="auto"/>
              </w:rPr>
            </w:pPr>
            <w:r>
              <w:rPr>
                <w:rFonts w:ascii="Arial" w:cs="Arial" w:eastAsia="Arial" w:hAnsi="Arial"/>
                <w:sz w:val="11"/>
                <w:szCs w:val="11"/>
                <w:color w:val="auto"/>
              </w:rPr>
              <w:t>3(a)(3)</w:t>
            </w:r>
          </w:p>
        </w:tc>
        <w:tc>
          <w:tcPr>
            <w:tcW w:w="1700" w:type="dxa"/>
            <w:vAlign w:val="bottom"/>
          </w:tcPr>
          <w:p>
            <w:pPr>
              <w:ind w:left="1640"/>
              <w:spacing w:after="0"/>
              <w:rPr>
                <w:sz w:val="20"/>
                <w:szCs w:val="20"/>
                <w:color w:val="auto"/>
              </w:rPr>
            </w:pPr>
            <w:r>
              <w:rPr>
                <w:rFonts w:ascii="Arial" w:cs="Arial" w:eastAsia="Arial" w:hAnsi="Arial"/>
                <w:sz w:val="11"/>
                <w:szCs w:val="11"/>
                <w:color w:val="auto"/>
                <w:w w:val="71"/>
              </w:rPr>
              <w:t>x</w:t>
            </w:r>
          </w:p>
        </w:tc>
      </w:tr>
      <w:tr>
        <w:trPr>
          <w:trHeight w:val="146"/>
        </w:trPr>
        <w:tc>
          <w:tcPr>
            <w:tcW w:w="1800" w:type="dxa"/>
            <w:vAlign w:val="bottom"/>
          </w:tcPr>
          <w:p>
            <w:pPr>
              <w:spacing w:after="0"/>
              <w:rPr>
                <w:sz w:val="20"/>
                <w:szCs w:val="20"/>
                <w:color w:val="auto"/>
              </w:rPr>
            </w:pPr>
            <w:r>
              <w:rPr>
                <w:rFonts w:ascii="Arial" w:cs="Arial" w:eastAsia="Arial" w:hAnsi="Arial"/>
                <w:sz w:val="11"/>
                <w:szCs w:val="11"/>
                <w:color w:val="auto"/>
              </w:rPr>
              <w:t>ended December 31, 1998</w:t>
            </w:r>
          </w:p>
        </w:tc>
        <w:tc>
          <w:tcPr>
            <w:tcW w:w="120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700" w:type="dxa"/>
            <w:vAlign w:val="bottom"/>
          </w:tcPr>
          <w:p>
            <w:pPr>
              <w:spacing w:after="0"/>
              <w:rPr>
                <w:sz w:val="12"/>
                <w:szCs w:val="12"/>
                <w:color w:val="auto"/>
              </w:rPr>
            </w:pPr>
          </w:p>
        </w:tc>
      </w:tr>
    </w:tbl>
    <w:p>
      <w:pPr>
        <w:spacing w:after="0" w:line="12" w:lineRule="exact"/>
        <w:rPr>
          <w:sz w:val="20"/>
          <w:szCs w:val="20"/>
          <w:color w:val="auto"/>
        </w:rPr>
      </w:pPr>
    </w:p>
    <w:p>
      <w:pPr>
        <w:sectPr>
          <w:pgSz w:w="11900" w:h="16838" w:orient="portrait"/>
          <w:cols w:equalWidth="0" w:num="2">
            <w:col w:w="3780" w:space="160"/>
            <w:col w:w="7520"/>
          </w:cols>
          <w:pgMar w:left="220" w:top="129" w:right="219" w:bottom="1440" w:gutter="0" w:footer="0" w:header="0"/>
          <w:type w:val="continuous"/>
        </w:sectPr>
      </w:pPr>
    </w:p>
    <w:tbl>
      <w:tblPr>
        <w:tblLayout w:type="fixed"/>
        <w:tblInd w:w="280" w:type="dxa"/>
        <w:tblCellMar>
          <w:top w:w="0" w:type="dxa"/>
          <w:left w:w="0" w:type="dxa"/>
          <w:bottom w:w="0" w:type="dxa"/>
          <w:right w:w="0" w:type="dxa"/>
        </w:tblCellMar>
      </w:tblPr>
      <w:tr>
        <w:trPr>
          <w:trHeight w:val="126"/>
        </w:trPr>
        <w:tc>
          <w:tcPr>
            <w:tcW w:w="560" w:type="dxa"/>
            <w:vAlign w:val="bottom"/>
          </w:tcPr>
          <w:p>
            <w:pPr>
              <w:jc w:val="right"/>
              <w:ind w:right="363"/>
              <w:spacing w:after="0"/>
              <w:rPr>
                <w:sz w:val="20"/>
                <w:szCs w:val="20"/>
                <w:color w:val="auto"/>
              </w:rPr>
            </w:pPr>
            <w:r>
              <w:rPr>
                <w:rFonts w:ascii="Arial" w:cs="Arial" w:eastAsia="Arial" w:hAnsi="Arial"/>
                <w:sz w:val="11"/>
                <w:szCs w:val="11"/>
                <w:color w:val="auto"/>
                <w:w w:val="78"/>
              </w:rPr>
              <w:t>3.6</w:t>
            </w:r>
          </w:p>
        </w:tc>
        <w:tc>
          <w:tcPr>
            <w:tcW w:w="2940" w:type="dxa"/>
            <w:vAlign w:val="bottom"/>
            <w:gridSpan w:val="3"/>
          </w:tcPr>
          <w:p>
            <w:pPr>
              <w:spacing w:after="0"/>
              <w:rPr>
                <w:sz w:val="20"/>
                <w:szCs w:val="20"/>
                <w:color w:val="auto"/>
              </w:rPr>
            </w:pPr>
            <w:r>
              <w:rPr>
                <w:rFonts w:ascii="Arial" w:cs="Arial" w:eastAsia="Arial" w:hAnsi="Arial"/>
                <w:sz w:val="11"/>
                <w:szCs w:val="11"/>
                <w:color w:val="0000FF"/>
                <w:w w:val="99"/>
              </w:rPr>
              <w:t>Certificate of Amendment changing the name to CenterPoint</w:t>
            </w:r>
          </w:p>
        </w:tc>
        <w:tc>
          <w:tcPr>
            <w:tcW w:w="2020" w:type="dxa"/>
            <w:vAlign w:val="bottom"/>
          </w:tcPr>
          <w:p>
            <w:pPr>
              <w:ind w:left="160"/>
              <w:spacing w:after="0"/>
              <w:rPr>
                <w:sz w:val="20"/>
                <w:szCs w:val="20"/>
                <w:color w:val="auto"/>
              </w:rPr>
            </w:pPr>
            <w:r>
              <w:rPr>
                <w:rFonts w:ascii="Arial" w:cs="Arial" w:eastAsia="Arial" w:hAnsi="Arial"/>
                <w:sz w:val="11"/>
                <w:szCs w:val="11"/>
                <w:color w:val="auto"/>
              </w:rPr>
              <w:t>CERC Form 10-Q for the quarter</w:t>
            </w:r>
          </w:p>
        </w:tc>
        <w:tc>
          <w:tcPr>
            <w:tcW w:w="1140" w:type="dxa"/>
            <w:vAlign w:val="bottom"/>
          </w:tcPr>
          <w:p>
            <w:pPr>
              <w:jc w:val="right"/>
              <w:ind w:right="363"/>
              <w:spacing w:after="0"/>
              <w:rPr>
                <w:sz w:val="20"/>
                <w:szCs w:val="20"/>
                <w:color w:val="auto"/>
              </w:rPr>
            </w:pPr>
            <w:r>
              <w:rPr>
                <w:rFonts w:ascii="Arial" w:cs="Arial" w:eastAsia="Arial" w:hAnsi="Arial"/>
                <w:sz w:val="11"/>
                <w:szCs w:val="11"/>
                <w:color w:val="auto"/>
              </w:rPr>
              <w:t>1-13265</w:t>
            </w:r>
          </w:p>
        </w:tc>
        <w:tc>
          <w:tcPr>
            <w:tcW w:w="2340" w:type="dxa"/>
            <w:vAlign w:val="bottom"/>
          </w:tcPr>
          <w:p>
            <w:pPr>
              <w:ind w:left="400"/>
              <w:spacing w:after="0"/>
              <w:rPr>
                <w:sz w:val="20"/>
                <w:szCs w:val="20"/>
                <w:color w:val="auto"/>
              </w:rPr>
            </w:pPr>
            <w:r>
              <w:rPr>
                <w:rFonts w:ascii="Arial" w:cs="Arial" w:eastAsia="Arial" w:hAnsi="Arial"/>
                <w:sz w:val="11"/>
                <w:szCs w:val="11"/>
                <w:color w:val="auto"/>
              </w:rPr>
              <w:t>3(a)(4)</w:t>
            </w:r>
          </w:p>
        </w:tc>
        <w:tc>
          <w:tcPr>
            <w:tcW w:w="1700" w:type="dxa"/>
            <w:vAlign w:val="bottom"/>
          </w:tcPr>
          <w:p>
            <w:pPr>
              <w:ind w:left="1640"/>
              <w:spacing w:after="0"/>
              <w:rPr>
                <w:sz w:val="20"/>
                <w:szCs w:val="20"/>
                <w:color w:val="auto"/>
              </w:rPr>
            </w:pPr>
            <w:r>
              <w:rPr>
                <w:rFonts w:ascii="Arial" w:cs="Arial" w:eastAsia="Arial" w:hAnsi="Arial"/>
                <w:sz w:val="11"/>
                <w:szCs w:val="11"/>
                <w:color w:val="auto"/>
                <w:w w:val="71"/>
              </w:rPr>
              <w:t>x</w:t>
            </w:r>
          </w:p>
        </w:tc>
      </w:tr>
      <w:tr>
        <w:trPr>
          <w:trHeight w:val="99"/>
        </w:trPr>
        <w:tc>
          <w:tcPr>
            <w:tcW w:w="560" w:type="dxa"/>
            <w:vAlign w:val="bottom"/>
          </w:tcPr>
          <w:p>
            <w:pPr>
              <w:spacing w:after="0"/>
              <w:rPr>
                <w:sz w:val="8"/>
                <w:szCs w:val="8"/>
                <w:color w:val="auto"/>
              </w:rPr>
            </w:pPr>
          </w:p>
        </w:tc>
        <w:tc>
          <w:tcPr>
            <w:tcW w:w="1120" w:type="dxa"/>
            <w:vAlign w:val="bottom"/>
            <w:tcBorders>
              <w:top w:val="single" w:sz="8" w:color="0000FF"/>
              <w:bottom w:val="single" w:sz="8" w:color="0000FF"/>
            </w:tcBorders>
          </w:tcPr>
          <w:p>
            <w:pPr>
              <w:spacing w:after="0" w:line="99" w:lineRule="exact"/>
              <w:rPr>
                <w:sz w:val="20"/>
                <w:szCs w:val="20"/>
                <w:color w:val="auto"/>
              </w:rPr>
            </w:pPr>
            <w:r>
              <w:rPr>
                <w:rFonts w:ascii="Arial" w:cs="Arial" w:eastAsia="Arial" w:hAnsi="Arial"/>
                <w:sz w:val="11"/>
                <w:szCs w:val="11"/>
                <w:color w:val="0000FF"/>
                <w:w w:val="91"/>
              </w:rPr>
              <w:t>Energy Resources Corp.</w:t>
            </w:r>
          </w:p>
        </w:tc>
        <w:tc>
          <w:tcPr>
            <w:tcW w:w="1680" w:type="dxa"/>
            <w:vAlign w:val="bottom"/>
            <w:tcBorders>
              <w:top w:val="single" w:sz="8" w:color="0000FF"/>
            </w:tcBorders>
          </w:tcPr>
          <w:p>
            <w:pPr>
              <w:spacing w:after="0"/>
              <w:rPr>
                <w:sz w:val="8"/>
                <w:szCs w:val="8"/>
                <w:color w:val="auto"/>
              </w:rPr>
            </w:pPr>
          </w:p>
        </w:tc>
        <w:tc>
          <w:tcPr>
            <w:tcW w:w="140" w:type="dxa"/>
            <w:vAlign w:val="bottom"/>
          </w:tcPr>
          <w:p>
            <w:pPr>
              <w:spacing w:after="0"/>
              <w:rPr>
                <w:sz w:val="8"/>
                <w:szCs w:val="8"/>
                <w:color w:val="auto"/>
              </w:rPr>
            </w:pPr>
          </w:p>
        </w:tc>
        <w:tc>
          <w:tcPr>
            <w:tcW w:w="2020" w:type="dxa"/>
            <w:vAlign w:val="bottom"/>
          </w:tcPr>
          <w:p>
            <w:pPr>
              <w:ind w:left="160"/>
              <w:spacing w:after="0" w:line="99" w:lineRule="exact"/>
              <w:rPr>
                <w:sz w:val="20"/>
                <w:szCs w:val="20"/>
                <w:color w:val="auto"/>
              </w:rPr>
            </w:pPr>
            <w:r>
              <w:rPr>
                <w:rFonts w:ascii="Arial" w:cs="Arial" w:eastAsia="Arial" w:hAnsi="Arial"/>
                <w:sz w:val="11"/>
                <w:szCs w:val="11"/>
                <w:color w:val="auto"/>
              </w:rPr>
              <w:t>ended June 30, 2003</w:t>
            </w:r>
          </w:p>
        </w:tc>
        <w:tc>
          <w:tcPr>
            <w:tcW w:w="1140" w:type="dxa"/>
            <w:vAlign w:val="bottom"/>
          </w:tcPr>
          <w:p>
            <w:pPr>
              <w:spacing w:after="0"/>
              <w:rPr>
                <w:sz w:val="8"/>
                <w:szCs w:val="8"/>
                <w:color w:val="auto"/>
              </w:rPr>
            </w:pPr>
          </w:p>
        </w:tc>
        <w:tc>
          <w:tcPr>
            <w:tcW w:w="2340" w:type="dxa"/>
            <w:vAlign w:val="bottom"/>
          </w:tcPr>
          <w:p>
            <w:pPr>
              <w:spacing w:after="0"/>
              <w:rPr>
                <w:sz w:val="8"/>
                <w:szCs w:val="8"/>
                <w:color w:val="auto"/>
              </w:rPr>
            </w:pPr>
          </w:p>
        </w:tc>
        <w:tc>
          <w:tcPr>
            <w:tcW w:w="1700" w:type="dxa"/>
            <w:vAlign w:val="bottom"/>
          </w:tcPr>
          <w:p>
            <w:pPr>
              <w:spacing w:after="0"/>
              <w:rPr>
                <w:sz w:val="8"/>
                <w:szCs w:val="8"/>
                <w:color w:val="auto"/>
              </w:rPr>
            </w:pPr>
          </w:p>
        </w:tc>
      </w:tr>
    </w:tbl>
    <w:p>
      <w:pPr>
        <w:spacing w:after="0" w:line="20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97</w:t>
      </w:r>
    </w:p>
    <w:p>
      <w:pPr>
        <w:sectPr>
          <w:pgSz w:w="11900" w:h="16838" w:orient="portrait"/>
          <w:cols w:equalWidth="0" w:num="1">
            <w:col w:w="11460"/>
          </w:cols>
          <w:pgMar w:left="220" w:top="129" w:right="219" w:bottom="1440" w:gutter="0" w:footer="0" w:header="0"/>
          <w:type w:val="continuous"/>
        </w:sectPr>
      </w:pPr>
    </w:p>
    <w:bookmarkStart w:id="107" w:name="page108"/>
    <w:bookmarkEnd w:id="107"/>
    <w:p>
      <w:pPr>
        <w:spacing w:after="0"/>
        <w:rPr>
          <w:rFonts w:ascii="Arial" w:cs="Arial" w:eastAsia="Arial" w:hAnsi="Arial"/>
          <w:sz w:val="12"/>
          <w:szCs w:val="12"/>
          <w:i w:val="1"/>
          <w:iCs w:val="1"/>
          <w:u w:val="single" w:color="auto"/>
          <w:color w:val="0000EE"/>
        </w:rPr>
      </w:pPr>
      <w:hyperlink w:anchor="page3">
        <w:r>
          <w:rPr>
            <w:rFonts w:ascii="Arial" w:cs="Arial" w:eastAsia="Arial" w:hAnsi="Arial"/>
            <w:sz w:val="12"/>
            <w:szCs w:val="12"/>
            <w:i w:val="1"/>
            <w:iCs w:val="1"/>
            <w:u w:val="single" w:color="auto"/>
            <w:color w:val="0000EE"/>
          </w:rPr>
          <w:t>Table of Contents</w:t>
        </w:r>
      </w:hyperlink>
    </w:p>
    <w:p>
      <w:pPr>
        <w:sectPr>
          <w:pgSz w:w="11900" w:h="16838" w:orient="portrait"/>
          <w:cols w:equalWidth="0" w:num="1">
            <w:col w:w="11460"/>
          </w:cols>
          <w:pgMar w:left="220" w:top="129" w:right="219" w:bottom="1440" w:gutter="0" w:footer="0" w:header="0"/>
        </w:sectPr>
      </w:pP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82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rPr>
              <w:t>Exhibit</w:t>
            </w:r>
          </w:p>
        </w:tc>
        <w:tc>
          <w:tcPr>
            <w:tcW w:w="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900" w:type="dxa"/>
            <w:vAlign w:val="bottom"/>
            <w:gridSpan w:val="32"/>
            <w:vMerge w:val="restart"/>
          </w:tcPr>
          <w:p>
            <w:pPr>
              <w:ind w:left="100"/>
              <w:spacing w:after="0"/>
              <w:rPr>
                <w:sz w:val="20"/>
                <w:szCs w:val="20"/>
                <w:color w:val="auto"/>
              </w:rPr>
            </w:pPr>
            <w:r>
              <w:rPr>
                <w:rFonts w:ascii="Arial" w:cs="Arial" w:eastAsia="Arial" w:hAnsi="Arial"/>
                <w:sz w:val="11"/>
                <w:szCs w:val="11"/>
                <w:b w:val="1"/>
                <w:bCs w:val="1"/>
                <w:color w:val="auto"/>
              </w:rPr>
              <w:t>Description</w:t>
            </w:r>
          </w:p>
        </w:tc>
        <w:tc>
          <w:tcPr>
            <w:tcW w:w="0" w:type="dxa"/>
            <w:vAlign w:val="bottom"/>
          </w:tcPr>
          <w:p>
            <w:pPr>
              <w:spacing w:after="0"/>
              <w:rPr>
                <w:sz w:val="1"/>
                <w:szCs w:val="1"/>
                <w:color w:val="auto"/>
              </w:rPr>
            </w:pPr>
          </w:p>
        </w:tc>
      </w:tr>
      <w:tr>
        <w:trPr>
          <w:trHeight w:val="153"/>
        </w:trPr>
        <w:tc>
          <w:tcPr>
            <w:tcW w:w="82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rPr>
              <w:t>Number</w:t>
            </w: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900" w:type="dxa"/>
            <w:vAlign w:val="bottom"/>
            <w:gridSpan w:val="3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700" w:type="dxa"/>
            <w:vAlign w:val="bottom"/>
            <w:tcBorders>
              <w:top w:val="single" w:sz="8" w:color="auto"/>
            </w:tcBorders>
          </w:tcPr>
          <w:p>
            <w:pPr>
              <w:jc w:val="center"/>
              <w:spacing w:after="0" w:line="125" w:lineRule="exact"/>
              <w:rPr>
                <w:sz w:val="20"/>
                <w:szCs w:val="20"/>
                <w:color w:val="auto"/>
              </w:rPr>
            </w:pPr>
            <w:r>
              <w:rPr>
                <w:rFonts w:ascii="Arial" w:cs="Arial" w:eastAsia="Arial" w:hAnsi="Arial"/>
                <w:sz w:val="11"/>
                <w:szCs w:val="11"/>
                <w:color w:val="auto"/>
                <w:w w:val="91"/>
              </w:rPr>
              <w:t>3.7</w:t>
            </w:r>
          </w:p>
        </w:tc>
        <w:tc>
          <w:tcPr>
            <w:tcW w:w="120" w:type="dxa"/>
            <w:vAlign w:val="bottom"/>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2780" w:type="dxa"/>
            <w:vAlign w:val="bottom"/>
            <w:tcBorders>
              <w:top w:val="single" w:sz="8" w:color="auto"/>
              <w:bottom w:val="single" w:sz="8" w:color="0000FF"/>
            </w:tcBorders>
            <w:gridSpan w:val="24"/>
          </w:tcPr>
          <w:p>
            <w:pPr>
              <w:spacing w:after="0" w:line="125" w:lineRule="exact"/>
              <w:rPr>
                <w:rFonts w:ascii="Arial" w:cs="Arial" w:eastAsia="Arial" w:hAnsi="Arial"/>
                <w:sz w:val="11"/>
                <w:szCs w:val="11"/>
                <w:color w:val="0000FF"/>
                <w:w w:val="94"/>
              </w:rPr>
            </w:pPr>
            <w:hyperlink r:id="rId24">
              <w:r>
                <w:rPr>
                  <w:rFonts w:ascii="Arial" w:cs="Arial" w:eastAsia="Arial" w:hAnsi="Arial"/>
                  <w:sz w:val="11"/>
                  <w:szCs w:val="11"/>
                  <w:color w:val="0000FF"/>
                  <w:w w:val="94"/>
                </w:rPr>
                <w:t>Third Amended and Restated Bylaws of CenterPoint Energy</w:t>
              </w:r>
            </w:hyperlink>
          </w:p>
        </w:tc>
        <w:tc>
          <w:tcPr>
            <w:tcW w:w="200" w:type="dxa"/>
            <w:vAlign w:val="bottom"/>
            <w:tcBorders>
              <w:top w:val="single" w:sz="8" w:color="auto"/>
            </w:tcBorders>
            <w:gridSpan w:val="13"/>
          </w:tcPr>
          <w:p>
            <w:pPr>
              <w:spacing w:after="0"/>
              <w:rPr>
                <w:sz w:val="10"/>
                <w:szCs w:val="10"/>
                <w:color w:val="auto"/>
              </w:rPr>
            </w:pPr>
          </w:p>
        </w:tc>
        <w:tc>
          <w:tcPr>
            <w:tcW w:w="0" w:type="dxa"/>
            <w:vAlign w:val="bottom"/>
          </w:tcPr>
          <w:p>
            <w:pPr>
              <w:spacing w:after="0"/>
              <w:rPr>
                <w:sz w:val="1"/>
                <w:szCs w:val="1"/>
                <w:color w:val="auto"/>
              </w:rPr>
            </w:pPr>
          </w:p>
        </w:tc>
      </w:tr>
      <w:tr>
        <w:trPr>
          <w:trHeight w:val="260"/>
        </w:trPr>
        <w:tc>
          <w:tcPr>
            <w:tcW w:w="700" w:type="dxa"/>
            <w:vAlign w:val="bottom"/>
          </w:tcPr>
          <w:p>
            <w:pPr>
              <w:jc w:val="center"/>
              <w:spacing w:after="0"/>
              <w:rPr>
                <w:sz w:val="20"/>
                <w:szCs w:val="20"/>
                <w:color w:val="auto"/>
              </w:rPr>
            </w:pPr>
            <w:r>
              <w:rPr>
                <w:rFonts w:ascii="Arial" w:cs="Arial" w:eastAsia="Arial" w:hAnsi="Arial"/>
                <w:sz w:val="11"/>
                <w:szCs w:val="11"/>
                <w:color w:val="auto"/>
                <w:w w:val="91"/>
              </w:rPr>
              <w:t>3.8</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980" w:type="dxa"/>
            <w:vAlign w:val="bottom"/>
            <w:gridSpan w:val="37"/>
          </w:tcPr>
          <w:p>
            <w:pPr>
              <w:spacing w:after="0"/>
              <w:rPr>
                <w:rFonts w:ascii="Arial" w:cs="Arial" w:eastAsia="Arial" w:hAnsi="Arial"/>
                <w:sz w:val="11"/>
                <w:szCs w:val="11"/>
                <w:color w:val="0000FF"/>
                <w:w w:val="98"/>
              </w:rPr>
            </w:pPr>
            <w:hyperlink r:id="rId25">
              <w:r>
                <w:rPr>
                  <w:rFonts w:ascii="Arial" w:cs="Arial" w:eastAsia="Arial" w:hAnsi="Arial"/>
                  <w:sz w:val="11"/>
                  <w:szCs w:val="11"/>
                  <w:color w:val="0000FF"/>
                  <w:w w:val="98"/>
                </w:rPr>
                <w:t>Amended and Restated Limited Liability Company Agreement</w:t>
              </w:r>
            </w:hyperlink>
          </w:p>
        </w:tc>
        <w:tc>
          <w:tcPr>
            <w:tcW w:w="0" w:type="dxa"/>
            <w:vAlign w:val="bottom"/>
          </w:tcPr>
          <w:p>
            <w:pPr>
              <w:spacing w:after="0"/>
              <w:rPr>
                <w:sz w:val="1"/>
                <w:szCs w:val="1"/>
                <w:color w:val="auto"/>
              </w:rPr>
            </w:pPr>
          </w:p>
        </w:tc>
      </w:tr>
      <w:tr>
        <w:trPr>
          <w:trHeight w:val="99"/>
        </w:trPr>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tcBorders>
              <w:top w:val="single" w:sz="8" w:color="0000FF"/>
              <w:bottom w:val="single" w:sz="8" w:color="0000FF"/>
            </w:tcBorders>
            <w:gridSpan w:val="4"/>
          </w:tcPr>
          <w:p>
            <w:pPr>
              <w:spacing w:after="0" w:line="99" w:lineRule="exact"/>
              <w:rPr>
                <w:rFonts w:ascii="Arial" w:cs="Arial" w:eastAsia="Arial" w:hAnsi="Arial"/>
                <w:sz w:val="11"/>
                <w:szCs w:val="11"/>
                <w:color w:val="0000FF"/>
                <w:w w:val="95"/>
              </w:rPr>
            </w:pPr>
            <w:hyperlink r:id="rId25">
              <w:r>
                <w:rPr>
                  <w:rFonts w:ascii="Arial" w:cs="Arial" w:eastAsia="Arial" w:hAnsi="Arial"/>
                  <w:sz w:val="11"/>
                  <w:szCs w:val="11"/>
                  <w:color w:val="0000FF"/>
                  <w:w w:val="95"/>
                </w:rPr>
                <w:t>of Houston Electric</w:t>
              </w:r>
            </w:hyperlink>
          </w:p>
        </w:tc>
        <w:tc>
          <w:tcPr>
            <w:tcW w:w="2040" w:type="dxa"/>
            <w:vAlign w:val="bottom"/>
            <w:tcBorders>
              <w:top w:val="single" w:sz="8" w:color="0000FF"/>
            </w:tcBorders>
            <w:gridSpan w:val="27"/>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4294967237"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700" w:type="dxa"/>
            <w:vAlign w:val="bottom"/>
          </w:tcPr>
          <w:p>
            <w:pPr>
              <w:jc w:val="center"/>
              <w:spacing w:after="0"/>
              <w:rPr>
                <w:sz w:val="20"/>
                <w:szCs w:val="20"/>
                <w:color w:val="auto"/>
              </w:rPr>
            </w:pPr>
            <w:r>
              <w:rPr>
                <w:rFonts w:ascii="Arial" w:cs="Arial" w:eastAsia="Arial" w:hAnsi="Arial"/>
                <w:sz w:val="11"/>
                <w:szCs w:val="11"/>
                <w:color w:val="auto"/>
                <w:w w:val="91"/>
              </w:rPr>
              <w:t>3.9</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980" w:type="dxa"/>
            <w:vAlign w:val="bottom"/>
            <w:gridSpan w:val="37"/>
          </w:tcPr>
          <w:p>
            <w:pPr>
              <w:spacing w:after="0"/>
              <w:rPr>
                <w:sz w:val="20"/>
                <w:szCs w:val="20"/>
                <w:color w:val="auto"/>
              </w:rPr>
            </w:pPr>
            <w:r>
              <w:rPr>
                <w:rFonts w:ascii="Arial" w:cs="Arial" w:eastAsia="Arial" w:hAnsi="Arial"/>
                <w:sz w:val="11"/>
                <w:szCs w:val="11"/>
                <w:color w:val="0000FF"/>
              </w:rPr>
              <w:t>Bylaws of RERC Corp.</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77"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37"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0"/>
        </w:trPr>
        <w:tc>
          <w:tcPr>
            <w:tcW w:w="700" w:type="dxa"/>
            <w:vAlign w:val="bottom"/>
          </w:tcPr>
          <w:p>
            <w:pPr>
              <w:jc w:val="center"/>
              <w:spacing w:after="0"/>
              <w:rPr>
                <w:sz w:val="20"/>
                <w:szCs w:val="20"/>
                <w:color w:val="auto"/>
              </w:rPr>
            </w:pPr>
            <w:r>
              <w:rPr>
                <w:rFonts w:ascii="Arial" w:cs="Arial" w:eastAsia="Arial" w:hAnsi="Arial"/>
                <w:sz w:val="11"/>
                <w:szCs w:val="11"/>
                <w:color w:val="auto"/>
                <w:w w:val="93"/>
              </w:rPr>
              <w:t>3.10</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980" w:type="dxa"/>
            <w:vAlign w:val="bottom"/>
            <w:gridSpan w:val="37"/>
          </w:tcPr>
          <w:p>
            <w:pPr>
              <w:spacing w:after="0"/>
              <w:rPr>
                <w:rFonts w:ascii="Arial" w:cs="Arial" w:eastAsia="Arial" w:hAnsi="Arial"/>
                <w:sz w:val="11"/>
                <w:szCs w:val="11"/>
                <w:color w:val="0000FF"/>
                <w:w w:val="96"/>
              </w:rPr>
            </w:pPr>
            <w:hyperlink r:id="rId26">
              <w:r>
                <w:rPr>
                  <w:rFonts w:ascii="Arial" w:cs="Arial" w:eastAsia="Arial" w:hAnsi="Arial"/>
                  <w:sz w:val="11"/>
                  <w:szCs w:val="11"/>
                  <w:color w:val="0000FF"/>
                  <w:w w:val="96"/>
                </w:rPr>
                <w:t>Statement of Resolutions Deleting Shares Designated Series A</w:t>
              </w:r>
            </w:hyperlink>
          </w:p>
        </w:tc>
        <w:tc>
          <w:tcPr>
            <w:tcW w:w="0" w:type="dxa"/>
            <w:vAlign w:val="bottom"/>
          </w:tcPr>
          <w:p>
            <w:pPr>
              <w:spacing w:after="0"/>
              <w:rPr>
                <w:sz w:val="1"/>
                <w:szCs w:val="1"/>
                <w:color w:val="auto"/>
              </w:rPr>
            </w:pPr>
          </w:p>
        </w:tc>
      </w:tr>
      <w:tr>
        <w:trPr>
          <w:trHeight w:val="99"/>
        </w:trPr>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1780" w:type="dxa"/>
            <w:vAlign w:val="bottom"/>
            <w:tcBorders>
              <w:top w:val="single" w:sz="8" w:color="0000FF"/>
              <w:bottom w:val="single" w:sz="8" w:color="0000FF"/>
            </w:tcBorders>
            <w:gridSpan w:val="9"/>
          </w:tcPr>
          <w:p>
            <w:pPr>
              <w:spacing w:after="0" w:line="99" w:lineRule="exact"/>
              <w:rPr>
                <w:rFonts w:ascii="Arial" w:cs="Arial" w:eastAsia="Arial" w:hAnsi="Arial"/>
                <w:sz w:val="11"/>
                <w:szCs w:val="11"/>
                <w:color w:val="0000FF"/>
                <w:w w:val="93"/>
              </w:rPr>
            </w:pPr>
            <w:hyperlink r:id="rId26">
              <w:r>
                <w:rPr>
                  <w:rFonts w:ascii="Arial" w:cs="Arial" w:eastAsia="Arial" w:hAnsi="Arial"/>
                  <w:sz w:val="11"/>
                  <w:szCs w:val="11"/>
                  <w:color w:val="0000FF"/>
                  <w:w w:val="93"/>
                </w:rPr>
                <w:t>Preferred Stock of CenterPoint Energy</w:t>
              </w:r>
            </w:hyperlink>
          </w:p>
        </w:tc>
        <w:tc>
          <w:tcPr>
            <w:tcW w:w="1100" w:type="dxa"/>
            <w:vAlign w:val="bottom"/>
            <w:tcBorders>
              <w:top w:val="single" w:sz="8" w:color="0000FF"/>
            </w:tcBorders>
            <w:gridSpan w:val="19"/>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4294967237"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0"/>
        </w:trPr>
        <w:tc>
          <w:tcPr>
            <w:tcW w:w="700" w:type="dxa"/>
            <w:vAlign w:val="bottom"/>
          </w:tcPr>
          <w:p>
            <w:pPr>
              <w:jc w:val="center"/>
              <w:spacing w:after="0"/>
              <w:rPr>
                <w:sz w:val="20"/>
                <w:szCs w:val="20"/>
                <w:color w:val="auto"/>
              </w:rPr>
            </w:pPr>
            <w:r>
              <w:rPr>
                <w:rFonts w:ascii="Arial" w:cs="Arial" w:eastAsia="Arial" w:hAnsi="Arial"/>
                <w:sz w:val="11"/>
                <w:szCs w:val="11"/>
                <w:color w:val="auto"/>
                <w:w w:val="83"/>
              </w:rPr>
              <w:t>3.11</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980" w:type="dxa"/>
            <w:vAlign w:val="bottom"/>
            <w:gridSpan w:val="37"/>
          </w:tcPr>
          <w:p>
            <w:pPr>
              <w:spacing w:after="0"/>
              <w:rPr>
                <w:rFonts w:ascii="Arial" w:cs="Arial" w:eastAsia="Arial" w:hAnsi="Arial"/>
                <w:sz w:val="11"/>
                <w:szCs w:val="11"/>
                <w:color w:val="0000FF"/>
              </w:rPr>
            </w:pPr>
            <w:hyperlink r:id="rId27">
              <w:r>
                <w:rPr>
                  <w:rFonts w:ascii="Arial" w:cs="Arial" w:eastAsia="Arial" w:hAnsi="Arial"/>
                  <w:sz w:val="11"/>
                  <w:szCs w:val="11"/>
                  <w:color w:val="0000FF"/>
                </w:rPr>
                <w:t>Statement of Resolution Establishing Series of Shares</w:t>
              </w:r>
            </w:hyperlink>
          </w:p>
        </w:tc>
        <w:tc>
          <w:tcPr>
            <w:tcW w:w="0" w:type="dxa"/>
            <w:vAlign w:val="bottom"/>
          </w:tcPr>
          <w:p>
            <w:pPr>
              <w:spacing w:after="0"/>
              <w:rPr>
                <w:sz w:val="1"/>
                <w:szCs w:val="1"/>
                <w:color w:val="auto"/>
              </w:rPr>
            </w:pPr>
          </w:p>
        </w:tc>
      </w:tr>
      <w:tr>
        <w:trPr>
          <w:trHeight w:val="99"/>
        </w:trPr>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2480" w:type="dxa"/>
            <w:vAlign w:val="bottom"/>
            <w:tcBorders>
              <w:top w:val="single" w:sz="8" w:color="0000FF"/>
              <w:bottom w:val="single" w:sz="8" w:color="0000FF"/>
            </w:tcBorders>
            <w:gridSpan w:val="15"/>
          </w:tcPr>
          <w:p>
            <w:pPr>
              <w:spacing w:after="0" w:line="99" w:lineRule="exact"/>
              <w:rPr>
                <w:rFonts w:ascii="Arial" w:cs="Arial" w:eastAsia="Arial" w:hAnsi="Arial"/>
                <w:sz w:val="11"/>
                <w:szCs w:val="11"/>
                <w:color w:val="0000FF"/>
                <w:w w:val="91"/>
              </w:rPr>
            </w:pPr>
            <w:hyperlink r:id="rId27">
              <w:r>
                <w:rPr>
                  <w:rFonts w:ascii="Arial" w:cs="Arial" w:eastAsia="Arial" w:hAnsi="Arial"/>
                  <w:sz w:val="11"/>
                  <w:szCs w:val="11"/>
                  <w:color w:val="0000FF"/>
                  <w:w w:val="91"/>
                </w:rPr>
                <w:t>Designated Series A Fixed-to-Floating Rate Cumulative</w:t>
              </w:r>
            </w:hyperlink>
          </w:p>
        </w:tc>
        <w:tc>
          <w:tcPr>
            <w:tcW w:w="20" w:type="dxa"/>
            <w:vAlign w:val="bottom"/>
            <w:tcBorders>
              <w:bottom w:val="single" w:sz="8" w:color="0000FF"/>
            </w:tcBorders>
          </w:tcPr>
          <w:p>
            <w:pPr>
              <w:spacing w:after="0"/>
              <w:rPr>
                <w:sz w:val="8"/>
                <w:szCs w:val="8"/>
                <w:color w:val="auto"/>
              </w:rPr>
            </w:pPr>
          </w:p>
        </w:tc>
        <w:tc>
          <w:tcPr>
            <w:tcW w:w="80" w:type="dxa"/>
            <w:vAlign w:val="bottom"/>
            <w:tcBorders>
              <w:bottom w:val="single" w:sz="8" w:color="0000FF"/>
            </w:tcBorders>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4294967277"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4294967237"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2580" w:type="dxa"/>
            <w:vAlign w:val="bottom"/>
            <w:gridSpan w:val="17"/>
          </w:tcPr>
          <w:p>
            <w:pPr>
              <w:spacing w:after="0" w:line="99" w:lineRule="exact"/>
              <w:rPr>
                <w:rFonts w:ascii="Arial" w:cs="Arial" w:eastAsia="Arial" w:hAnsi="Arial"/>
                <w:sz w:val="11"/>
                <w:szCs w:val="11"/>
                <w:color w:val="0000FF"/>
              </w:rPr>
            </w:pPr>
            <w:hyperlink r:id="rId27">
              <w:r>
                <w:rPr>
                  <w:rFonts w:ascii="Arial" w:cs="Arial" w:eastAsia="Arial" w:hAnsi="Arial"/>
                  <w:sz w:val="11"/>
                  <w:szCs w:val="11"/>
                  <w:color w:val="0000FF"/>
                </w:rPr>
                <w:t>Redeemable Preferred Stock of CenterPoint Energy</w:t>
              </w:r>
            </w:hyperlink>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4294967277"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4294967237"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77"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37"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700" w:type="dxa"/>
            <w:vAlign w:val="bottom"/>
          </w:tcPr>
          <w:p>
            <w:pPr>
              <w:jc w:val="center"/>
              <w:spacing w:after="0"/>
              <w:rPr>
                <w:sz w:val="20"/>
                <w:szCs w:val="20"/>
                <w:color w:val="auto"/>
              </w:rPr>
            </w:pPr>
            <w:r>
              <w:rPr>
                <w:rFonts w:ascii="Arial" w:cs="Arial" w:eastAsia="Arial" w:hAnsi="Arial"/>
                <w:sz w:val="11"/>
                <w:szCs w:val="11"/>
                <w:color w:val="auto"/>
                <w:w w:val="93"/>
              </w:rPr>
              <w:t>3.12</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80" w:type="dxa"/>
            <w:vAlign w:val="bottom"/>
            <w:tcBorders>
              <w:bottom w:val="single" w:sz="8" w:color="0000FF"/>
            </w:tcBorders>
            <w:gridSpan w:val="15"/>
          </w:tcPr>
          <w:p>
            <w:pPr>
              <w:spacing w:after="0"/>
              <w:rPr>
                <w:rFonts w:ascii="Arial" w:cs="Arial" w:eastAsia="Arial" w:hAnsi="Arial"/>
                <w:sz w:val="11"/>
                <w:szCs w:val="11"/>
                <w:color w:val="0000FF"/>
                <w:w w:val="93"/>
              </w:rPr>
            </w:pPr>
            <w:hyperlink r:id="rId28">
              <w:r>
                <w:rPr>
                  <w:rFonts w:ascii="Arial" w:cs="Arial" w:eastAsia="Arial" w:hAnsi="Arial"/>
                  <w:sz w:val="11"/>
                  <w:szCs w:val="11"/>
                  <w:color w:val="0000FF"/>
                  <w:w w:val="93"/>
                </w:rPr>
                <w:t>Statement of Resolution Establishing Series of Shares</w:t>
              </w:r>
            </w:hyperlink>
          </w:p>
        </w:tc>
        <w:tc>
          <w:tcPr>
            <w:tcW w:w="500" w:type="dxa"/>
            <w:vAlign w:val="bottom"/>
            <w:gridSpan w:val="22"/>
          </w:tcPr>
          <w:p>
            <w:pPr>
              <w:spacing w:after="0"/>
              <w:rPr>
                <w:sz w:val="12"/>
                <w:szCs w:val="12"/>
                <w:color w:val="auto"/>
              </w:rPr>
            </w:pPr>
          </w:p>
        </w:tc>
        <w:tc>
          <w:tcPr>
            <w:tcW w:w="0" w:type="dxa"/>
            <w:vAlign w:val="bottom"/>
          </w:tcPr>
          <w:p>
            <w:pPr>
              <w:spacing w:after="0"/>
              <w:rPr>
                <w:sz w:val="1"/>
                <w:szCs w:val="1"/>
                <w:color w:val="auto"/>
              </w:rPr>
            </w:pPr>
          </w:p>
        </w:tc>
      </w:tr>
      <w:tr>
        <w:trPr>
          <w:trHeight w:val="99"/>
        </w:trPr>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2980" w:type="dxa"/>
            <w:vAlign w:val="bottom"/>
            <w:gridSpan w:val="37"/>
          </w:tcPr>
          <w:p>
            <w:pPr>
              <w:spacing w:after="0" w:line="99" w:lineRule="exact"/>
              <w:rPr>
                <w:rFonts w:ascii="Arial" w:cs="Arial" w:eastAsia="Arial" w:hAnsi="Arial"/>
                <w:sz w:val="11"/>
                <w:szCs w:val="11"/>
                <w:color w:val="0000FF"/>
              </w:rPr>
            </w:pPr>
            <w:hyperlink r:id="rId28">
              <w:r>
                <w:rPr>
                  <w:rFonts w:ascii="Arial" w:cs="Arial" w:eastAsia="Arial" w:hAnsi="Arial"/>
                  <w:sz w:val="11"/>
                  <w:szCs w:val="11"/>
                  <w:color w:val="0000FF"/>
                </w:rPr>
                <w:t>designated 7.00% Series B Mandatory Convertible Preferred</w:t>
              </w:r>
            </w:hyperlink>
          </w:p>
        </w:tc>
        <w:tc>
          <w:tcPr>
            <w:tcW w:w="0" w:type="dxa"/>
            <w:vAlign w:val="bottom"/>
          </w:tcPr>
          <w:p>
            <w:pPr>
              <w:spacing w:after="0"/>
              <w:rPr>
                <w:sz w:val="1"/>
                <w:szCs w:val="1"/>
                <w:color w:val="auto"/>
              </w:rPr>
            </w:pPr>
          </w:p>
        </w:tc>
      </w:tr>
      <w:tr>
        <w:trPr>
          <w:trHeight w:val="99"/>
        </w:trPr>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1320" w:type="dxa"/>
            <w:vAlign w:val="bottom"/>
            <w:tcBorders>
              <w:top w:val="single" w:sz="8" w:color="0000FF"/>
              <w:bottom w:val="single" w:sz="8" w:color="0000FF"/>
            </w:tcBorders>
            <w:gridSpan w:val="7"/>
          </w:tcPr>
          <w:p>
            <w:pPr>
              <w:spacing w:after="0" w:line="99" w:lineRule="exact"/>
              <w:rPr>
                <w:rFonts w:ascii="Arial" w:cs="Arial" w:eastAsia="Arial" w:hAnsi="Arial"/>
                <w:sz w:val="11"/>
                <w:szCs w:val="11"/>
                <w:color w:val="0000FF"/>
                <w:w w:val="93"/>
              </w:rPr>
            </w:pPr>
            <w:hyperlink r:id="rId28">
              <w:r>
                <w:rPr>
                  <w:rFonts w:ascii="Arial" w:cs="Arial" w:eastAsia="Arial" w:hAnsi="Arial"/>
                  <w:sz w:val="11"/>
                  <w:szCs w:val="11"/>
                  <w:color w:val="0000FF"/>
                  <w:w w:val="93"/>
                </w:rPr>
                <w:t>Stock of CenterPoint Energy</w:t>
              </w:r>
            </w:hyperlink>
          </w:p>
        </w:tc>
        <w:tc>
          <w:tcPr>
            <w:tcW w:w="1460" w:type="dxa"/>
            <w:vAlign w:val="bottom"/>
            <w:tcBorders>
              <w:top w:val="single" w:sz="8" w:color="0000FF"/>
            </w:tcBorders>
            <w:gridSpan w:val="17"/>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4294967237"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700" w:type="dxa"/>
            <w:vAlign w:val="bottom"/>
          </w:tcPr>
          <w:p>
            <w:pPr>
              <w:jc w:val="center"/>
              <w:spacing w:after="0"/>
              <w:rPr>
                <w:sz w:val="20"/>
                <w:szCs w:val="20"/>
                <w:color w:val="auto"/>
              </w:rPr>
            </w:pPr>
            <w:r>
              <w:rPr>
                <w:rFonts w:ascii="Arial" w:cs="Arial" w:eastAsia="Arial" w:hAnsi="Arial"/>
                <w:sz w:val="11"/>
                <w:szCs w:val="11"/>
                <w:color w:val="auto"/>
                <w:w w:val="91"/>
              </w:rPr>
              <w:t>4.1</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980" w:type="dxa"/>
            <w:vAlign w:val="bottom"/>
            <w:gridSpan w:val="37"/>
          </w:tcPr>
          <w:p>
            <w:pPr>
              <w:spacing w:after="0"/>
              <w:rPr>
                <w:rFonts w:ascii="Arial" w:cs="Arial" w:eastAsia="Arial" w:hAnsi="Arial"/>
                <w:sz w:val="11"/>
                <w:szCs w:val="11"/>
                <w:color w:val="0000FF"/>
              </w:rPr>
            </w:pPr>
            <w:hyperlink r:id="rId29">
              <w:r>
                <w:rPr>
                  <w:rFonts w:ascii="Arial" w:cs="Arial" w:eastAsia="Arial" w:hAnsi="Arial"/>
                  <w:sz w:val="11"/>
                  <w:szCs w:val="11"/>
                  <w:color w:val="0000FF"/>
                </w:rPr>
                <w:t>Form of CenterPoint Energy Stock Certificate</w:t>
              </w:r>
            </w:hyperlink>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200" w:type="dxa"/>
            <w:vAlign w:val="bottom"/>
            <w:tcBorders>
              <w:left w:val="single" w:sz="8" w:color="0000FF"/>
            </w:tcBorders>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77"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37"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0"/>
        </w:trPr>
        <w:tc>
          <w:tcPr>
            <w:tcW w:w="700" w:type="dxa"/>
            <w:vAlign w:val="bottom"/>
          </w:tcPr>
          <w:p>
            <w:pPr>
              <w:jc w:val="center"/>
              <w:spacing w:after="0"/>
              <w:rPr>
                <w:sz w:val="20"/>
                <w:szCs w:val="20"/>
                <w:color w:val="auto"/>
              </w:rPr>
            </w:pPr>
            <w:r>
              <w:rPr>
                <w:rFonts w:ascii="Arial" w:cs="Arial" w:eastAsia="Arial" w:hAnsi="Arial"/>
                <w:sz w:val="11"/>
                <w:szCs w:val="11"/>
                <w:color w:val="auto"/>
                <w:w w:val="91"/>
              </w:rPr>
              <w:t>4.2</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980" w:type="dxa"/>
            <w:vAlign w:val="bottom"/>
            <w:gridSpan w:val="37"/>
          </w:tcPr>
          <w:p>
            <w:pPr>
              <w:spacing w:after="0"/>
              <w:rPr>
                <w:rFonts w:ascii="Arial" w:cs="Arial" w:eastAsia="Arial" w:hAnsi="Arial"/>
                <w:sz w:val="11"/>
                <w:szCs w:val="11"/>
                <w:color w:val="0000FF"/>
                <w:w w:val="97"/>
              </w:rPr>
            </w:pPr>
            <w:hyperlink r:id="rId30">
              <w:r>
                <w:rPr>
                  <w:rFonts w:ascii="Arial" w:cs="Arial" w:eastAsia="Arial" w:hAnsi="Arial"/>
                  <w:sz w:val="11"/>
                  <w:szCs w:val="11"/>
                  <w:color w:val="0000FF"/>
                  <w:w w:val="97"/>
                </w:rPr>
                <w:t>Form of Certificate representing the Series A Fixed-to-Floating</w:t>
              </w:r>
            </w:hyperlink>
          </w:p>
        </w:tc>
        <w:tc>
          <w:tcPr>
            <w:tcW w:w="0" w:type="dxa"/>
            <w:vAlign w:val="bottom"/>
          </w:tcPr>
          <w:p>
            <w:pPr>
              <w:spacing w:after="0"/>
              <w:rPr>
                <w:sz w:val="1"/>
                <w:szCs w:val="1"/>
                <w:color w:val="auto"/>
              </w:rPr>
            </w:pPr>
          </w:p>
        </w:tc>
      </w:tr>
      <w:tr>
        <w:trPr>
          <w:trHeight w:val="99"/>
        </w:trPr>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2980" w:type="dxa"/>
            <w:vAlign w:val="bottom"/>
            <w:tcBorders>
              <w:top w:val="single" w:sz="8" w:color="0000FF"/>
            </w:tcBorders>
            <w:gridSpan w:val="33"/>
          </w:tcPr>
          <w:p>
            <w:pPr>
              <w:spacing w:after="0" w:line="99" w:lineRule="exact"/>
              <w:rPr>
                <w:rFonts w:ascii="Arial" w:cs="Arial" w:eastAsia="Arial" w:hAnsi="Arial"/>
                <w:sz w:val="11"/>
                <w:szCs w:val="11"/>
                <w:color w:val="0000FF"/>
                <w:w w:val="98"/>
              </w:rPr>
            </w:pPr>
            <w:hyperlink r:id="rId30">
              <w:r>
                <w:rPr>
                  <w:rFonts w:ascii="Arial" w:cs="Arial" w:eastAsia="Arial" w:hAnsi="Arial"/>
                  <w:sz w:val="11"/>
                  <w:szCs w:val="11"/>
                  <w:color w:val="0000FF"/>
                  <w:w w:val="98"/>
                </w:rPr>
                <w:t>Rate Cumulative Redeemable Preferred Stock of CenterPoint</w:t>
              </w:r>
            </w:hyperlink>
          </w:p>
        </w:tc>
        <w:tc>
          <w:tcPr>
            <w:tcW w:w="4294967237"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Borders>
              <w:top w:val="single" w:sz="8" w:color="0000FF"/>
              <w:bottom w:val="single" w:sz="8" w:color="0000FF"/>
            </w:tcBorders>
            <w:gridSpan w:val="2"/>
          </w:tcPr>
          <w:p>
            <w:pPr>
              <w:spacing w:after="0" w:line="99" w:lineRule="exact"/>
              <w:rPr>
                <w:rFonts w:ascii="Arial" w:cs="Arial" w:eastAsia="Arial" w:hAnsi="Arial"/>
                <w:sz w:val="11"/>
                <w:szCs w:val="11"/>
                <w:color w:val="0000FF"/>
                <w:w w:val="91"/>
              </w:rPr>
            </w:pPr>
            <w:hyperlink r:id="rId30">
              <w:r>
                <w:rPr>
                  <w:rFonts w:ascii="Arial" w:cs="Arial" w:eastAsia="Arial" w:hAnsi="Arial"/>
                  <w:sz w:val="11"/>
                  <w:szCs w:val="11"/>
                  <w:color w:val="0000FF"/>
                  <w:w w:val="91"/>
                </w:rPr>
                <w:t>Energy</w:t>
              </w:r>
            </w:hyperlink>
          </w:p>
        </w:tc>
        <w:tc>
          <w:tcPr>
            <w:tcW w:w="2480" w:type="dxa"/>
            <w:vAlign w:val="bottom"/>
            <w:tcBorders>
              <w:top w:val="single" w:sz="8" w:color="0000FF"/>
            </w:tcBorders>
            <w:gridSpan w:val="23"/>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gridSpan w:val="2"/>
          </w:tcPr>
          <w:p>
            <w:pPr>
              <w:spacing w:after="0"/>
              <w:rPr>
                <w:sz w:val="8"/>
                <w:szCs w:val="8"/>
                <w:color w:val="auto"/>
              </w:rPr>
            </w:pPr>
          </w:p>
        </w:tc>
        <w:tc>
          <w:tcPr>
            <w:tcW w:w="4294967257"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700" w:type="dxa"/>
            <w:vAlign w:val="bottom"/>
          </w:tcPr>
          <w:p>
            <w:pPr>
              <w:jc w:val="center"/>
              <w:spacing w:after="0"/>
              <w:rPr>
                <w:sz w:val="20"/>
                <w:szCs w:val="20"/>
                <w:color w:val="auto"/>
              </w:rPr>
            </w:pPr>
            <w:r>
              <w:rPr>
                <w:rFonts w:ascii="Arial" w:cs="Arial" w:eastAsia="Arial" w:hAnsi="Arial"/>
                <w:sz w:val="11"/>
                <w:szCs w:val="11"/>
                <w:color w:val="auto"/>
                <w:w w:val="91"/>
              </w:rPr>
              <w:t>4.3</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980" w:type="dxa"/>
            <w:vAlign w:val="bottom"/>
            <w:gridSpan w:val="37"/>
          </w:tcPr>
          <w:p>
            <w:pPr>
              <w:spacing w:after="0"/>
              <w:rPr>
                <w:rFonts w:ascii="Arial" w:cs="Arial" w:eastAsia="Arial" w:hAnsi="Arial"/>
                <w:sz w:val="11"/>
                <w:szCs w:val="11"/>
                <w:color w:val="0000FF"/>
                <w:w w:val="96"/>
              </w:rPr>
            </w:pPr>
            <w:hyperlink r:id="rId28">
              <w:r>
                <w:rPr>
                  <w:rFonts w:ascii="Arial" w:cs="Arial" w:eastAsia="Arial" w:hAnsi="Arial"/>
                  <w:sz w:val="11"/>
                  <w:szCs w:val="11"/>
                  <w:color w:val="0000FF"/>
                  <w:w w:val="96"/>
                </w:rPr>
                <w:t>Form of Certificate representing the 7.00% Series B Mandatory</w:t>
              </w:r>
            </w:hyperlink>
          </w:p>
        </w:tc>
        <w:tc>
          <w:tcPr>
            <w:tcW w:w="0" w:type="dxa"/>
            <w:vAlign w:val="bottom"/>
          </w:tcPr>
          <w:p>
            <w:pPr>
              <w:spacing w:after="0"/>
              <w:rPr>
                <w:sz w:val="1"/>
                <w:szCs w:val="1"/>
                <w:color w:val="auto"/>
              </w:rPr>
            </w:pPr>
          </w:p>
        </w:tc>
      </w:tr>
      <w:tr>
        <w:trPr>
          <w:trHeight w:val="99"/>
        </w:trPr>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2920" w:type="dxa"/>
            <w:vAlign w:val="bottom"/>
            <w:tcBorders>
              <w:top w:val="single" w:sz="8" w:color="0000FF"/>
              <w:bottom w:val="single" w:sz="8" w:color="0000FF"/>
            </w:tcBorders>
            <w:gridSpan w:val="34"/>
          </w:tcPr>
          <w:p>
            <w:pPr>
              <w:spacing w:after="0" w:line="99" w:lineRule="exact"/>
              <w:rPr>
                <w:rFonts w:ascii="Arial" w:cs="Arial" w:eastAsia="Arial" w:hAnsi="Arial"/>
                <w:sz w:val="11"/>
                <w:szCs w:val="11"/>
                <w:color w:val="0000FF"/>
                <w:w w:val="93"/>
              </w:rPr>
            </w:pPr>
            <w:hyperlink r:id="rId28">
              <w:r>
                <w:rPr>
                  <w:rFonts w:ascii="Arial" w:cs="Arial" w:eastAsia="Arial" w:hAnsi="Arial"/>
                  <w:sz w:val="11"/>
                  <w:szCs w:val="11"/>
                  <w:color w:val="0000FF"/>
                  <w:w w:val="93"/>
                </w:rPr>
                <w:t>Convertible Preferred Stock of CenterPoint Energy (included as</w:t>
              </w:r>
            </w:hyperlink>
          </w:p>
        </w:tc>
        <w:tc>
          <w:tcPr>
            <w:tcW w:w="20" w:type="dxa"/>
            <w:vAlign w:val="bottom"/>
            <w:tcBorders>
              <w:bottom w:val="single" w:sz="8" w:color="0000FF"/>
            </w:tcBorders>
          </w:tcPr>
          <w:p>
            <w:pPr>
              <w:spacing w:after="0"/>
              <w:rPr>
                <w:sz w:val="8"/>
                <w:szCs w:val="8"/>
                <w:color w:val="auto"/>
              </w:rPr>
            </w:pPr>
          </w:p>
        </w:tc>
        <w:tc>
          <w:tcPr>
            <w:tcW w:w="20" w:type="dxa"/>
            <w:vAlign w:val="bottom"/>
            <w:tcBorders>
              <w:bottom w:val="single" w:sz="8" w:color="0000FF"/>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0" w:type="dxa"/>
            <w:vAlign w:val="bottom"/>
            <w:tcBorders>
              <w:bottom w:val="single" w:sz="8" w:color="0000FF"/>
            </w:tcBorders>
            <w:gridSpan w:val="6"/>
          </w:tcPr>
          <w:p>
            <w:pPr>
              <w:spacing w:after="0" w:line="99" w:lineRule="exact"/>
              <w:rPr>
                <w:rFonts w:ascii="Arial" w:cs="Arial" w:eastAsia="Arial" w:hAnsi="Arial"/>
                <w:sz w:val="11"/>
                <w:szCs w:val="11"/>
                <w:color w:val="0000FF"/>
                <w:w w:val="98"/>
              </w:rPr>
            </w:pPr>
            <w:hyperlink r:id="rId28">
              <w:r>
                <w:rPr>
                  <w:rFonts w:ascii="Arial" w:cs="Arial" w:eastAsia="Arial" w:hAnsi="Arial"/>
                  <w:sz w:val="11"/>
                  <w:szCs w:val="11"/>
                  <w:color w:val="0000FF"/>
                  <w:w w:val="98"/>
                </w:rPr>
                <w:t>Exhibit A to Exhibit 3.12)</w:t>
              </w:r>
            </w:hyperlink>
          </w:p>
        </w:tc>
        <w:tc>
          <w:tcPr>
            <w:tcW w:w="1760" w:type="dxa"/>
            <w:vAlign w:val="bottom"/>
            <w:gridSpan w:val="30"/>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700" w:type="dxa"/>
            <w:vAlign w:val="bottom"/>
          </w:tcPr>
          <w:p>
            <w:pPr>
              <w:jc w:val="center"/>
              <w:spacing w:after="0"/>
              <w:rPr>
                <w:sz w:val="20"/>
                <w:szCs w:val="20"/>
                <w:color w:val="auto"/>
              </w:rPr>
            </w:pPr>
            <w:r>
              <w:rPr>
                <w:rFonts w:ascii="Arial" w:cs="Arial" w:eastAsia="Arial" w:hAnsi="Arial"/>
                <w:sz w:val="11"/>
                <w:szCs w:val="11"/>
                <w:color w:val="auto"/>
                <w:w w:val="91"/>
              </w:rPr>
              <w:t>4.4</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0" w:type="dxa"/>
            <w:vAlign w:val="bottom"/>
            <w:tcBorders>
              <w:bottom w:val="single" w:sz="8" w:color="0000FF"/>
            </w:tcBorders>
            <w:gridSpan w:val="18"/>
          </w:tcPr>
          <w:p>
            <w:pPr>
              <w:spacing w:after="0"/>
              <w:rPr>
                <w:rFonts w:ascii="Arial" w:cs="Arial" w:eastAsia="Arial" w:hAnsi="Arial"/>
                <w:sz w:val="11"/>
                <w:szCs w:val="11"/>
                <w:color w:val="0000FF"/>
                <w:w w:val="93"/>
              </w:rPr>
            </w:pPr>
            <w:hyperlink r:id="rId31">
              <w:r>
                <w:rPr>
                  <w:rFonts w:ascii="Arial" w:cs="Arial" w:eastAsia="Arial" w:hAnsi="Arial"/>
                  <w:sz w:val="11"/>
                  <w:szCs w:val="11"/>
                  <w:color w:val="0000FF"/>
                  <w:w w:val="93"/>
                </w:rPr>
                <w:t>Deposit Agreement, dated as of October 1, 2018, among</w:t>
              </w:r>
            </w:hyperlink>
          </w:p>
        </w:tc>
        <w:tc>
          <w:tcPr>
            <w:tcW w:w="380" w:type="dxa"/>
            <w:vAlign w:val="bottom"/>
            <w:gridSpan w:val="19"/>
          </w:tcPr>
          <w:p>
            <w:pPr>
              <w:spacing w:after="0"/>
              <w:rPr>
                <w:sz w:val="12"/>
                <w:szCs w:val="12"/>
                <w:color w:val="auto"/>
              </w:rPr>
            </w:pPr>
          </w:p>
        </w:tc>
        <w:tc>
          <w:tcPr>
            <w:tcW w:w="0" w:type="dxa"/>
            <w:vAlign w:val="bottom"/>
          </w:tcPr>
          <w:p>
            <w:pPr>
              <w:spacing w:after="0"/>
              <w:rPr>
                <w:sz w:val="1"/>
                <w:szCs w:val="1"/>
                <w:color w:val="auto"/>
              </w:rPr>
            </w:pPr>
          </w:p>
        </w:tc>
      </w:tr>
      <w:tr>
        <w:trPr>
          <w:trHeight w:val="99"/>
        </w:trPr>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2980" w:type="dxa"/>
            <w:vAlign w:val="bottom"/>
            <w:gridSpan w:val="37"/>
          </w:tcPr>
          <w:p>
            <w:pPr>
              <w:spacing w:after="0" w:line="99" w:lineRule="exact"/>
              <w:rPr>
                <w:rFonts w:ascii="Arial" w:cs="Arial" w:eastAsia="Arial" w:hAnsi="Arial"/>
                <w:sz w:val="11"/>
                <w:szCs w:val="11"/>
                <w:color w:val="0000FF"/>
                <w:w w:val="95"/>
              </w:rPr>
            </w:pPr>
            <w:hyperlink r:id="rId31">
              <w:r>
                <w:rPr>
                  <w:rFonts w:ascii="Arial" w:cs="Arial" w:eastAsia="Arial" w:hAnsi="Arial"/>
                  <w:sz w:val="11"/>
                  <w:szCs w:val="11"/>
                  <w:color w:val="0000FF"/>
                  <w:w w:val="95"/>
                </w:rPr>
                <w:t>CenterPoint Energy and Broadridge Corporate Issuer Solutions,</w:t>
              </w:r>
            </w:hyperlink>
          </w:p>
        </w:tc>
        <w:tc>
          <w:tcPr>
            <w:tcW w:w="0" w:type="dxa"/>
            <w:vAlign w:val="bottom"/>
          </w:tcPr>
          <w:p>
            <w:pPr>
              <w:spacing w:after="0"/>
              <w:rPr>
                <w:sz w:val="1"/>
                <w:szCs w:val="1"/>
                <w:color w:val="auto"/>
              </w:rPr>
            </w:pPr>
          </w:p>
        </w:tc>
      </w:tr>
      <w:tr>
        <w:trPr>
          <w:trHeight w:val="99"/>
        </w:trPr>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2940" w:type="dxa"/>
            <w:vAlign w:val="bottom"/>
            <w:tcBorders>
              <w:top w:val="single" w:sz="8" w:color="0000FF"/>
            </w:tcBorders>
            <w:gridSpan w:val="35"/>
          </w:tcPr>
          <w:p>
            <w:pPr>
              <w:spacing w:after="0" w:line="99" w:lineRule="exact"/>
              <w:rPr>
                <w:rFonts w:ascii="Arial" w:cs="Arial" w:eastAsia="Arial" w:hAnsi="Arial"/>
                <w:sz w:val="11"/>
                <w:szCs w:val="11"/>
                <w:color w:val="0000FF"/>
              </w:rPr>
            </w:pPr>
            <w:hyperlink r:id="rId31">
              <w:r>
                <w:rPr>
                  <w:rFonts w:ascii="Arial" w:cs="Arial" w:eastAsia="Arial" w:hAnsi="Arial"/>
                  <w:sz w:val="11"/>
                  <w:szCs w:val="11"/>
                  <w:color w:val="0000FF"/>
                </w:rPr>
                <w:t>Inc., as Depositary, and the holders from time to time of the</w:t>
              </w:r>
            </w:hyperlink>
          </w:p>
        </w:tc>
        <w:tc>
          <w:tcPr>
            <w:tcW w:w="4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2740" w:type="dxa"/>
            <w:vAlign w:val="bottom"/>
            <w:tcBorders>
              <w:top w:val="single" w:sz="8" w:color="0000FF"/>
            </w:tcBorders>
            <w:gridSpan w:val="20"/>
          </w:tcPr>
          <w:p>
            <w:pPr>
              <w:spacing w:after="0" w:line="99" w:lineRule="exact"/>
              <w:rPr>
                <w:rFonts w:ascii="Arial" w:cs="Arial" w:eastAsia="Arial" w:hAnsi="Arial"/>
                <w:sz w:val="11"/>
                <w:szCs w:val="11"/>
                <w:color w:val="0000FF"/>
              </w:rPr>
            </w:pPr>
            <w:hyperlink r:id="rId31">
              <w:r>
                <w:rPr>
                  <w:rFonts w:ascii="Arial" w:cs="Arial" w:eastAsia="Arial" w:hAnsi="Arial"/>
                  <w:sz w:val="11"/>
                  <w:szCs w:val="11"/>
                  <w:color w:val="0000FF"/>
                </w:rPr>
                <w:t>Depositary Receipts described therein</w:t>
              </w:r>
            </w:hyperlink>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4294967277" w:type="dxa"/>
            <w:vAlign w:val="bottom"/>
          </w:tcPr>
          <w:p>
            <w:pPr>
              <w:spacing w:after="0"/>
              <w:rPr>
                <w:sz w:val="8"/>
                <w:szCs w:val="8"/>
                <w:color w:val="auto"/>
              </w:rPr>
            </w:pPr>
          </w:p>
        </w:tc>
        <w:tc>
          <w:tcPr>
            <w:tcW w:w="6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gridSpan w:val="2"/>
          </w:tcPr>
          <w:p>
            <w:pPr>
              <w:spacing w:after="0"/>
              <w:rPr>
                <w:sz w:val="8"/>
                <w:szCs w:val="8"/>
                <w:color w:val="auto"/>
              </w:rPr>
            </w:pPr>
          </w:p>
        </w:tc>
        <w:tc>
          <w:tcPr>
            <w:tcW w:w="4294967257" w:type="dxa"/>
            <w:vAlign w:val="bottom"/>
            <w:gridSpan w:val="2"/>
          </w:tcPr>
          <w:p>
            <w:pPr>
              <w:spacing w:after="0"/>
              <w:rPr>
                <w:sz w:val="8"/>
                <w:szCs w:val="8"/>
                <w:color w:val="auto"/>
              </w:rPr>
            </w:pPr>
          </w:p>
        </w:tc>
        <w:tc>
          <w:tcPr>
            <w:tcW w:w="60" w:type="dxa"/>
            <w:vAlign w:val="bottom"/>
            <w:gridSpan w:val="3"/>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080" w:type="dxa"/>
            <w:vAlign w:val="bottom"/>
            <w:gridSpan w:val="5"/>
            <w:shd w:val="clear" w:color="auto" w:fill="0000FF"/>
          </w:tcPr>
          <w:p>
            <w:pPr>
              <w:spacing w:after="0" w:line="20" w:lineRule="exact"/>
              <w:rPr>
                <w:sz w:val="1"/>
                <w:szCs w:val="1"/>
                <w:color w:val="auto"/>
              </w:rPr>
            </w:pPr>
          </w:p>
        </w:tc>
        <w:tc>
          <w:tcPr>
            <w:tcW w:w="200" w:type="dxa"/>
            <w:vAlign w:val="bottom"/>
            <w:tcBorders>
              <w:left w:val="single" w:sz="8" w:color="0000FF"/>
            </w:tcBorders>
            <w:gridSpan w:val="2"/>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77"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294967257"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700" w:type="dxa"/>
            <w:vAlign w:val="bottom"/>
          </w:tcPr>
          <w:p>
            <w:pPr>
              <w:jc w:val="center"/>
              <w:spacing w:after="0"/>
              <w:rPr>
                <w:sz w:val="20"/>
                <w:szCs w:val="20"/>
                <w:color w:val="auto"/>
              </w:rPr>
            </w:pPr>
            <w:r>
              <w:rPr>
                <w:rFonts w:ascii="Arial" w:cs="Arial" w:eastAsia="Arial" w:hAnsi="Arial"/>
                <w:sz w:val="11"/>
                <w:szCs w:val="11"/>
                <w:color w:val="auto"/>
                <w:w w:val="91"/>
              </w:rPr>
              <w:t>4.5</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980" w:type="dxa"/>
            <w:vAlign w:val="bottom"/>
            <w:gridSpan w:val="37"/>
          </w:tcPr>
          <w:p>
            <w:pPr>
              <w:spacing w:after="0"/>
              <w:rPr>
                <w:rFonts w:ascii="Arial" w:cs="Arial" w:eastAsia="Arial" w:hAnsi="Arial"/>
                <w:sz w:val="11"/>
                <w:szCs w:val="11"/>
                <w:color w:val="0000FF"/>
              </w:rPr>
            </w:pPr>
            <w:hyperlink r:id="rId31">
              <w:r>
                <w:rPr>
                  <w:rFonts w:ascii="Arial" w:cs="Arial" w:eastAsia="Arial" w:hAnsi="Arial"/>
                  <w:sz w:val="11"/>
                  <w:szCs w:val="11"/>
                  <w:color w:val="0000FF"/>
                </w:rPr>
                <w:t>Form of Depositary Receipt for the Depositary Shares</w:t>
              </w:r>
            </w:hyperlink>
          </w:p>
        </w:tc>
        <w:tc>
          <w:tcPr>
            <w:tcW w:w="0" w:type="dxa"/>
            <w:vAlign w:val="bottom"/>
          </w:tcPr>
          <w:p>
            <w:pPr>
              <w:spacing w:after="0"/>
              <w:rPr>
                <w:sz w:val="1"/>
                <w:szCs w:val="1"/>
                <w:color w:val="auto"/>
              </w:rPr>
            </w:pPr>
          </w:p>
        </w:tc>
      </w:tr>
      <w:tr>
        <w:trPr>
          <w:trHeight w:val="99"/>
        </w:trPr>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2500" w:type="dxa"/>
            <w:vAlign w:val="bottom"/>
            <w:tcBorders>
              <w:top w:val="single" w:sz="8" w:color="0000FF"/>
            </w:tcBorders>
            <w:gridSpan w:val="16"/>
          </w:tcPr>
          <w:p>
            <w:pPr>
              <w:spacing w:after="0" w:line="99" w:lineRule="exact"/>
              <w:rPr>
                <w:rFonts w:ascii="Arial" w:cs="Arial" w:eastAsia="Arial" w:hAnsi="Arial"/>
                <w:sz w:val="11"/>
                <w:szCs w:val="11"/>
                <w:color w:val="0000FF"/>
              </w:rPr>
            </w:pPr>
            <w:hyperlink r:id="rId31">
              <w:r>
                <w:rPr>
                  <w:rFonts w:ascii="Arial" w:cs="Arial" w:eastAsia="Arial" w:hAnsi="Arial"/>
                  <w:sz w:val="11"/>
                  <w:szCs w:val="11"/>
                  <w:color w:val="0000FF"/>
                </w:rPr>
                <w:t>(included as Exhibit A to Exhibit 4.4)</w:t>
              </w:r>
            </w:hyperlink>
          </w:p>
        </w:tc>
        <w:tc>
          <w:tcPr>
            <w:tcW w:w="200" w:type="dxa"/>
            <w:vAlign w:val="bottom"/>
            <w:gridSpan w:val="3"/>
          </w:tcPr>
          <w:p>
            <w:pPr>
              <w:spacing w:after="0"/>
              <w:rPr>
                <w:sz w:val="8"/>
                <w:szCs w:val="8"/>
                <w:color w:val="auto"/>
              </w:rPr>
            </w:pPr>
          </w:p>
        </w:tc>
        <w:tc>
          <w:tcPr>
            <w:tcW w:w="6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4294967277" w:type="dxa"/>
            <w:vAlign w:val="bottom"/>
          </w:tcPr>
          <w:p>
            <w:pPr>
              <w:spacing w:after="0"/>
              <w:rPr>
                <w:sz w:val="8"/>
                <w:szCs w:val="8"/>
                <w:color w:val="auto"/>
              </w:rPr>
            </w:pPr>
          </w:p>
        </w:tc>
        <w:tc>
          <w:tcPr>
            <w:tcW w:w="6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gridSpan w:val="2"/>
          </w:tcPr>
          <w:p>
            <w:pPr>
              <w:spacing w:after="0"/>
              <w:rPr>
                <w:sz w:val="8"/>
                <w:szCs w:val="8"/>
                <w:color w:val="auto"/>
              </w:rPr>
            </w:pPr>
          </w:p>
        </w:tc>
        <w:tc>
          <w:tcPr>
            <w:tcW w:w="4294967257" w:type="dxa"/>
            <w:vAlign w:val="bottom"/>
            <w:gridSpan w:val="2"/>
          </w:tcPr>
          <w:p>
            <w:pPr>
              <w:spacing w:after="0"/>
              <w:rPr>
                <w:sz w:val="8"/>
                <w:szCs w:val="8"/>
                <w:color w:val="auto"/>
              </w:rPr>
            </w:pPr>
          </w:p>
        </w:tc>
        <w:tc>
          <w:tcPr>
            <w:tcW w:w="60" w:type="dxa"/>
            <w:vAlign w:val="bottom"/>
            <w:gridSpan w:val="3"/>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080" w:type="dxa"/>
            <w:vAlign w:val="bottom"/>
            <w:gridSpan w:val="5"/>
            <w:shd w:val="clear" w:color="auto" w:fill="0000FF"/>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77"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294967257"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700" w:type="dxa"/>
            <w:vAlign w:val="bottom"/>
          </w:tcPr>
          <w:p>
            <w:pPr>
              <w:jc w:val="center"/>
              <w:spacing w:after="0"/>
              <w:rPr>
                <w:sz w:val="20"/>
                <w:szCs w:val="20"/>
                <w:color w:val="auto"/>
              </w:rPr>
            </w:pPr>
            <w:r>
              <w:rPr>
                <w:rFonts w:ascii="Arial" w:cs="Arial" w:eastAsia="Arial" w:hAnsi="Arial"/>
                <w:sz w:val="11"/>
                <w:szCs w:val="11"/>
                <w:color w:val="auto"/>
                <w:w w:val="91"/>
              </w:rPr>
              <w:t>4.6</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980" w:type="dxa"/>
            <w:vAlign w:val="bottom"/>
            <w:gridSpan w:val="37"/>
          </w:tcPr>
          <w:p>
            <w:pPr>
              <w:spacing w:after="0"/>
              <w:rPr>
                <w:rFonts w:ascii="Arial" w:cs="Arial" w:eastAsia="Arial" w:hAnsi="Arial"/>
                <w:sz w:val="11"/>
                <w:szCs w:val="11"/>
                <w:color w:val="0000FF"/>
                <w:w w:val="97"/>
              </w:rPr>
            </w:pPr>
            <w:hyperlink r:id="rId32">
              <w:r>
                <w:rPr>
                  <w:rFonts w:ascii="Arial" w:cs="Arial" w:eastAsia="Arial" w:hAnsi="Arial"/>
                  <w:sz w:val="11"/>
                  <w:szCs w:val="11"/>
                  <w:u w:val="single" w:color="auto"/>
                  <w:color w:val="0000FF"/>
                  <w:w w:val="97"/>
                </w:rPr>
                <w:t>$</w:t>
              </w:r>
              <w:r>
                <w:rPr>
                  <w:rFonts w:ascii="Arial" w:cs="Arial" w:eastAsia="Arial" w:hAnsi="Arial"/>
                  <w:sz w:val="11"/>
                  <w:szCs w:val="11"/>
                  <w:color w:val="0000FF"/>
                  <w:w w:val="97"/>
                </w:rPr>
                <w:t>1,600,000,000 Credit Agreement, dated as of March 3, 2016,</w:t>
              </w:r>
            </w:hyperlink>
          </w:p>
        </w:tc>
        <w:tc>
          <w:tcPr>
            <w:tcW w:w="0" w:type="dxa"/>
            <w:vAlign w:val="bottom"/>
          </w:tcPr>
          <w:p>
            <w:pPr>
              <w:spacing w:after="0"/>
              <w:rPr>
                <w:sz w:val="1"/>
                <w:szCs w:val="1"/>
                <w:color w:val="auto"/>
              </w:rPr>
            </w:pPr>
          </w:p>
        </w:tc>
      </w:tr>
      <w:tr>
        <w:trPr>
          <w:trHeight w:val="99"/>
        </w:trPr>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2860" w:type="dxa"/>
            <w:vAlign w:val="bottom"/>
            <w:tcBorders>
              <w:top w:val="single" w:sz="8" w:color="0000FF"/>
              <w:bottom w:val="single" w:sz="8" w:color="0000FF"/>
            </w:tcBorders>
            <w:gridSpan w:val="27"/>
          </w:tcPr>
          <w:p>
            <w:pPr>
              <w:spacing w:after="0" w:line="99" w:lineRule="exact"/>
              <w:rPr>
                <w:rFonts w:ascii="Arial" w:cs="Arial" w:eastAsia="Arial" w:hAnsi="Arial"/>
                <w:sz w:val="11"/>
                <w:szCs w:val="11"/>
                <w:color w:val="0000FF"/>
                <w:w w:val="91"/>
              </w:rPr>
            </w:pPr>
            <w:hyperlink r:id="rId32">
              <w:r>
                <w:rPr>
                  <w:rFonts w:ascii="Arial" w:cs="Arial" w:eastAsia="Arial" w:hAnsi="Arial"/>
                  <w:sz w:val="11"/>
                  <w:szCs w:val="11"/>
                  <w:color w:val="0000FF"/>
                  <w:w w:val="91"/>
                </w:rPr>
                <w:t>among CenterPoint Energy, as Borrower, and the banks named</w:t>
              </w:r>
            </w:hyperlink>
          </w:p>
        </w:tc>
        <w:tc>
          <w:tcPr>
            <w:tcW w:w="40" w:type="dxa"/>
            <w:vAlign w:val="bottom"/>
            <w:tcBorders>
              <w:bottom w:val="single" w:sz="8" w:color="0000FF"/>
            </w:tcBorders>
            <w:gridSpan w:val="2"/>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gridSpan w:val="2"/>
          </w:tcPr>
          <w:p>
            <w:pPr>
              <w:spacing w:after="0"/>
              <w:rPr>
                <w:sz w:val="8"/>
                <w:szCs w:val="8"/>
                <w:color w:val="auto"/>
              </w:rPr>
            </w:pPr>
          </w:p>
        </w:tc>
        <w:tc>
          <w:tcPr>
            <w:tcW w:w="4294967257" w:type="dxa"/>
            <w:vAlign w:val="bottom"/>
            <w:gridSpan w:val="2"/>
          </w:tcPr>
          <w:p>
            <w:pPr>
              <w:spacing w:after="0"/>
              <w:rPr>
                <w:sz w:val="8"/>
                <w:szCs w:val="8"/>
                <w:color w:val="auto"/>
              </w:rPr>
            </w:pPr>
          </w:p>
        </w:tc>
        <w:tc>
          <w:tcPr>
            <w:tcW w:w="60" w:type="dxa"/>
            <w:vAlign w:val="bottom"/>
            <w:gridSpan w:val="3"/>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Borders>
              <w:bottom w:val="single" w:sz="8" w:color="0000FF"/>
            </w:tcBorders>
          </w:tcPr>
          <w:p>
            <w:pPr>
              <w:spacing w:after="0" w:line="99" w:lineRule="exact"/>
              <w:rPr>
                <w:rFonts w:ascii="Arial" w:cs="Arial" w:eastAsia="Arial" w:hAnsi="Arial"/>
                <w:sz w:val="11"/>
                <w:szCs w:val="11"/>
                <w:color w:val="0000FF"/>
                <w:w w:val="89"/>
              </w:rPr>
            </w:pPr>
            <w:hyperlink r:id="rId32">
              <w:r>
                <w:rPr>
                  <w:rFonts w:ascii="Arial" w:cs="Arial" w:eastAsia="Arial" w:hAnsi="Arial"/>
                  <w:sz w:val="11"/>
                  <w:szCs w:val="11"/>
                  <w:color w:val="0000FF"/>
                  <w:w w:val="89"/>
                </w:rPr>
                <w:t>therein</w:t>
              </w:r>
            </w:hyperlink>
          </w:p>
        </w:tc>
        <w:tc>
          <w:tcPr>
            <w:tcW w:w="2580" w:type="dxa"/>
            <w:vAlign w:val="bottom"/>
            <w:gridSpan w:val="28"/>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gridSpan w:val="2"/>
          </w:tcPr>
          <w:p>
            <w:pPr>
              <w:spacing w:after="0"/>
              <w:rPr>
                <w:sz w:val="8"/>
                <w:szCs w:val="8"/>
                <w:color w:val="auto"/>
              </w:rPr>
            </w:pPr>
          </w:p>
        </w:tc>
        <w:tc>
          <w:tcPr>
            <w:tcW w:w="4294967257" w:type="dxa"/>
            <w:vAlign w:val="bottom"/>
            <w:gridSpan w:val="2"/>
          </w:tcPr>
          <w:p>
            <w:pPr>
              <w:spacing w:after="0"/>
              <w:rPr>
                <w:sz w:val="8"/>
                <w:szCs w:val="8"/>
                <w:color w:val="auto"/>
              </w:rPr>
            </w:pPr>
          </w:p>
        </w:tc>
        <w:tc>
          <w:tcPr>
            <w:tcW w:w="60" w:type="dxa"/>
            <w:vAlign w:val="bottom"/>
            <w:gridSpan w:val="3"/>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700" w:type="dxa"/>
            <w:vAlign w:val="bottom"/>
          </w:tcPr>
          <w:p>
            <w:pPr>
              <w:jc w:val="center"/>
              <w:spacing w:after="0"/>
              <w:rPr>
                <w:sz w:val="20"/>
                <w:szCs w:val="20"/>
                <w:color w:val="auto"/>
              </w:rPr>
            </w:pPr>
            <w:r>
              <w:rPr>
                <w:rFonts w:ascii="Arial" w:cs="Arial" w:eastAsia="Arial" w:hAnsi="Arial"/>
                <w:sz w:val="11"/>
                <w:szCs w:val="11"/>
                <w:color w:val="auto"/>
                <w:w w:val="91"/>
              </w:rPr>
              <w:t>4.7</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980" w:type="dxa"/>
            <w:vAlign w:val="bottom"/>
            <w:gridSpan w:val="37"/>
          </w:tcPr>
          <w:p>
            <w:pPr>
              <w:spacing w:after="0"/>
              <w:rPr>
                <w:rFonts w:ascii="Arial" w:cs="Arial" w:eastAsia="Arial" w:hAnsi="Arial"/>
                <w:sz w:val="11"/>
                <w:szCs w:val="11"/>
                <w:color w:val="0000FF"/>
              </w:rPr>
            </w:pPr>
            <w:hyperlink r:id="rId33">
              <w:r>
                <w:rPr>
                  <w:rFonts w:ascii="Arial" w:cs="Arial" w:eastAsia="Arial" w:hAnsi="Arial"/>
                  <w:sz w:val="11"/>
                  <w:szCs w:val="11"/>
                  <w:u w:val="single" w:color="auto"/>
                  <w:color w:val="0000FF"/>
                </w:rPr>
                <w:t>$</w:t>
              </w:r>
              <w:r>
                <w:rPr>
                  <w:rFonts w:ascii="Arial" w:cs="Arial" w:eastAsia="Arial" w:hAnsi="Arial"/>
                  <w:sz w:val="11"/>
                  <w:szCs w:val="11"/>
                  <w:color w:val="0000FF"/>
                </w:rPr>
                <w:t>300,000,000 Credit Agreement, dated as of March 3, 2016,</w:t>
              </w:r>
            </w:hyperlink>
          </w:p>
        </w:tc>
        <w:tc>
          <w:tcPr>
            <w:tcW w:w="0" w:type="dxa"/>
            <w:vAlign w:val="bottom"/>
          </w:tcPr>
          <w:p>
            <w:pPr>
              <w:spacing w:after="0"/>
              <w:rPr>
                <w:sz w:val="1"/>
                <w:szCs w:val="1"/>
                <w:color w:val="auto"/>
              </w:rPr>
            </w:pPr>
          </w:p>
        </w:tc>
      </w:tr>
      <w:tr>
        <w:trPr>
          <w:trHeight w:val="99"/>
        </w:trPr>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0" w:type="dxa"/>
            <w:vAlign w:val="bottom"/>
            <w:tcBorders>
              <w:top w:val="single" w:sz="8" w:color="0000FF"/>
            </w:tcBorders>
            <w:gridSpan w:val="23"/>
          </w:tcPr>
          <w:p>
            <w:pPr>
              <w:spacing w:after="0" w:line="99" w:lineRule="exact"/>
              <w:rPr>
                <w:rFonts w:ascii="Arial" w:cs="Arial" w:eastAsia="Arial" w:hAnsi="Arial"/>
                <w:sz w:val="11"/>
                <w:szCs w:val="11"/>
                <w:color w:val="0000FF"/>
                <w:w w:val="94"/>
              </w:rPr>
            </w:pPr>
            <w:hyperlink r:id="rId33">
              <w:r>
                <w:rPr>
                  <w:rFonts w:ascii="Arial" w:cs="Arial" w:eastAsia="Arial" w:hAnsi="Arial"/>
                  <w:sz w:val="11"/>
                  <w:szCs w:val="11"/>
                  <w:color w:val="0000FF"/>
                  <w:w w:val="94"/>
                </w:rPr>
                <w:t>among Houston Electric, as Borrower, and the banks named</w:t>
              </w:r>
            </w:hyperlink>
          </w:p>
        </w:tc>
        <w:tc>
          <w:tcPr>
            <w:tcW w:w="4294967277" w:type="dxa"/>
            <w:vAlign w:val="bottom"/>
          </w:tcPr>
          <w:p>
            <w:pPr>
              <w:spacing w:after="0"/>
              <w:rPr>
                <w:sz w:val="8"/>
                <w:szCs w:val="8"/>
                <w:color w:val="auto"/>
              </w:rPr>
            </w:pPr>
          </w:p>
        </w:tc>
        <w:tc>
          <w:tcPr>
            <w:tcW w:w="60" w:type="dxa"/>
            <w:vAlign w:val="bottom"/>
            <w:gridSpan w:val="2"/>
          </w:tcPr>
          <w:p>
            <w:pPr>
              <w:spacing w:after="0"/>
              <w:rPr>
                <w:sz w:val="8"/>
                <w:szCs w:val="8"/>
                <w:color w:val="auto"/>
              </w:rPr>
            </w:pPr>
          </w:p>
        </w:tc>
        <w:tc>
          <w:tcPr>
            <w:tcW w:w="80" w:type="dxa"/>
            <w:vAlign w:val="bottom"/>
            <w:gridSpan w:val="4"/>
          </w:tcPr>
          <w:p>
            <w:pPr>
              <w:spacing w:after="0"/>
              <w:rPr>
                <w:sz w:val="8"/>
                <w:szCs w:val="8"/>
                <w:color w:val="auto"/>
              </w:rPr>
            </w:pPr>
          </w:p>
        </w:tc>
        <w:tc>
          <w:tcPr>
            <w:tcW w:w="40" w:type="dxa"/>
            <w:vAlign w:val="bottom"/>
            <w:gridSpan w:val="2"/>
          </w:tcPr>
          <w:p>
            <w:pPr>
              <w:spacing w:after="0"/>
              <w:rPr>
                <w:sz w:val="8"/>
                <w:szCs w:val="8"/>
                <w:color w:val="auto"/>
              </w:rPr>
            </w:pPr>
          </w:p>
        </w:tc>
        <w:tc>
          <w:tcPr>
            <w:tcW w:w="4294967257" w:type="dxa"/>
            <w:vAlign w:val="bottom"/>
            <w:gridSpan w:val="2"/>
          </w:tcPr>
          <w:p>
            <w:pPr>
              <w:spacing w:after="0"/>
              <w:rPr>
                <w:sz w:val="8"/>
                <w:szCs w:val="8"/>
                <w:color w:val="auto"/>
              </w:rPr>
            </w:pPr>
          </w:p>
        </w:tc>
        <w:tc>
          <w:tcPr>
            <w:tcW w:w="60" w:type="dxa"/>
            <w:vAlign w:val="bottom"/>
            <w:gridSpan w:val="3"/>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Borders>
              <w:top w:val="single" w:sz="8" w:color="0000FF"/>
              <w:bottom w:val="single" w:sz="8" w:color="0000FF"/>
            </w:tcBorders>
          </w:tcPr>
          <w:p>
            <w:pPr>
              <w:spacing w:after="0" w:line="99" w:lineRule="exact"/>
              <w:rPr>
                <w:rFonts w:ascii="Arial" w:cs="Arial" w:eastAsia="Arial" w:hAnsi="Arial"/>
                <w:sz w:val="11"/>
                <w:szCs w:val="11"/>
                <w:color w:val="0000FF"/>
                <w:w w:val="89"/>
              </w:rPr>
            </w:pPr>
            <w:hyperlink r:id="rId33">
              <w:r>
                <w:rPr>
                  <w:rFonts w:ascii="Arial" w:cs="Arial" w:eastAsia="Arial" w:hAnsi="Arial"/>
                  <w:sz w:val="11"/>
                  <w:szCs w:val="11"/>
                  <w:color w:val="0000FF"/>
                  <w:w w:val="89"/>
                </w:rPr>
                <w:t>therein</w:t>
              </w:r>
            </w:hyperlink>
          </w:p>
        </w:tc>
        <w:tc>
          <w:tcPr>
            <w:tcW w:w="2460" w:type="dxa"/>
            <w:vAlign w:val="bottom"/>
            <w:tcBorders>
              <w:top w:val="single" w:sz="8" w:color="0000FF"/>
            </w:tcBorders>
            <w:gridSpan w:val="21"/>
          </w:tcPr>
          <w:p>
            <w:pPr>
              <w:spacing w:after="0"/>
              <w:rPr>
                <w:sz w:val="8"/>
                <w:szCs w:val="8"/>
                <w:color w:val="auto"/>
              </w:rPr>
            </w:pPr>
          </w:p>
        </w:tc>
        <w:tc>
          <w:tcPr>
            <w:tcW w:w="0" w:type="dxa"/>
            <w:vAlign w:val="bottom"/>
            <w:gridSpan w:val="2"/>
          </w:tcPr>
          <w:p>
            <w:pPr>
              <w:spacing w:after="0"/>
              <w:rPr>
                <w:sz w:val="8"/>
                <w:szCs w:val="8"/>
                <w:color w:val="auto"/>
              </w:rPr>
            </w:pPr>
          </w:p>
        </w:tc>
        <w:tc>
          <w:tcPr>
            <w:tcW w:w="60" w:type="dxa"/>
            <w:vAlign w:val="bottom"/>
            <w:gridSpan w:val="2"/>
          </w:tcPr>
          <w:p>
            <w:pPr>
              <w:spacing w:after="0"/>
              <w:rPr>
                <w:sz w:val="8"/>
                <w:szCs w:val="8"/>
                <w:color w:val="auto"/>
              </w:rPr>
            </w:pPr>
          </w:p>
        </w:tc>
        <w:tc>
          <w:tcPr>
            <w:tcW w:w="80" w:type="dxa"/>
            <w:vAlign w:val="bottom"/>
            <w:gridSpan w:val="4"/>
          </w:tcPr>
          <w:p>
            <w:pPr>
              <w:spacing w:after="0"/>
              <w:rPr>
                <w:sz w:val="8"/>
                <w:szCs w:val="8"/>
                <w:color w:val="auto"/>
              </w:rPr>
            </w:pPr>
          </w:p>
        </w:tc>
        <w:tc>
          <w:tcPr>
            <w:tcW w:w="40" w:type="dxa"/>
            <w:vAlign w:val="bottom"/>
            <w:gridSpan w:val="2"/>
          </w:tcPr>
          <w:p>
            <w:pPr>
              <w:spacing w:after="0"/>
              <w:rPr>
                <w:sz w:val="8"/>
                <w:szCs w:val="8"/>
                <w:color w:val="auto"/>
              </w:rPr>
            </w:pPr>
          </w:p>
        </w:tc>
        <w:tc>
          <w:tcPr>
            <w:tcW w:w="4294967257" w:type="dxa"/>
            <w:vAlign w:val="bottom"/>
            <w:gridSpan w:val="2"/>
          </w:tcPr>
          <w:p>
            <w:pPr>
              <w:spacing w:after="0"/>
              <w:rPr>
                <w:sz w:val="8"/>
                <w:szCs w:val="8"/>
                <w:color w:val="auto"/>
              </w:rPr>
            </w:pPr>
          </w:p>
        </w:tc>
        <w:tc>
          <w:tcPr>
            <w:tcW w:w="60" w:type="dxa"/>
            <w:vAlign w:val="bottom"/>
            <w:gridSpan w:val="3"/>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700" w:type="dxa"/>
            <w:vAlign w:val="bottom"/>
          </w:tcPr>
          <w:p>
            <w:pPr>
              <w:jc w:val="center"/>
              <w:spacing w:after="0"/>
              <w:rPr>
                <w:sz w:val="20"/>
                <w:szCs w:val="20"/>
                <w:color w:val="auto"/>
              </w:rPr>
            </w:pPr>
            <w:r>
              <w:rPr>
                <w:rFonts w:ascii="Arial" w:cs="Arial" w:eastAsia="Arial" w:hAnsi="Arial"/>
                <w:sz w:val="11"/>
                <w:szCs w:val="11"/>
                <w:color w:val="auto"/>
                <w:w w:val="91"/>
              </w:rPr>
              <w:t>4.8</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780" w:type="dxa"/>
            <w:vAlign w:val="bottom"/>
            <w:tcBorders>
              <w:bottom w:val="single" w:sz="8" w:color="0000FF"/>
            </w:tcBorders>
            <w:gridSpan w:val="24"/>
          </w:tcPr>
          <w:p>
            <w:pPr>
              <w:spacing w:after="0"/>
              <w:rPr>
                <w:rFonts w:ascii="Arial" w:cs="Arial" w:eastAsia="Arial" w:hAnsi="Arial"/>
                <w:sz w:val="11"/>
                <w:szCs w:val="11"/>
                <w:color w:val="0000FF"/>
                <w:w w:val="94"/>
              </w:rPr>
            </w:pPr>
            <w:hyperlink r:id="rId34">
              <w:r>
                <w:rPr>
                  <w:rFonts w:ascii="Arial" w:cs="Arial" w:eastAsia="Arial" w:hAnsi="Arial"/>
                  <w:sz w:val="11"/>
                  <w:szCs w:val="11"/>
                  <w:u w:val="single" w:color="auto"/>
                  <w:color w:val="0000FF"/>
                  <w:w w:val="94"/>
                </w:rPr>
                <w:t>$</w:t>
              </w:r>
              <w:r>
                <w:rPr>
                  <w:rFonts w:ascii="Arial" w:cs="Arial" w:eastAsia="Arial" w:hAnsi="Arial"/>
                  <w:sz w:val="11"/>
                  <w:szCs w:val="11"/>
                  <w:color w:val="0000FF"/>
                  <w:w w:val="94"/>
                </w:rPr>
                <w:t>600,000,000 Credit Agreement, dated as of March 3, 2016,</w:t>
              </w:r>
            </w:hyperlink>
          </w:p>
        </w:tc>
        <w:tc>
          <w:tcPr>
            <w:tcW w:w="200" w:type="dxa"/>
            <w:vAlign w:val="bottom"/>
            <w:gridSpan w:val="13"/>
          </w:tcPr>
          <w:p>
            <w:pPr>
              <w:spacing w:after="0"/>
              <w:rPr>
                <w:sz w:val="12"/>
                <w:szCs w:val="12"/>
                <w:color w:val="auto"/>
              </w:rPr>
            </w:pPr>
          </w:p>
        </w:tc>
        <w:tc>
          <w:tcPr>
            <w:tcW w:w="0" w:type="dxa"/>
            <w:vAlign w:val="bottom"/>
          </w:tcPr>
          <w:p>
            <w:pPr>
              <w:spacing w:after="0"/>
              <w:rPr>
                <w:sz w:val="1"/>
                <w:szCs w:val="1"/>
                <w:color w:val="auto"/>
              </w:rPr>
            </w:pPr>
          </w:p>
        </w:tc>
      </w:tr>
      <w:tr>
        <w:trPr>
          <w:trHeight w:val="99"/>
        </w:trPr>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2920" w:type="dxa"/>
            <w:vAlign w:val="bottom"/>
            <w:tcBorders>
              <w:bottom w:val="single" w:sz="8" w:color="0000FF"/>
            </w:tcBorders>
            <w:gridSpan w:val="34"/>
          </w:tcPr>
          <w:p>
            <w:pPr>
              <w:spacing w:after="0" w:line="99" w:lineRule="exact"/>
              <w:rPr>
                <w:rFonts w:ascii="Arial" w:cs="Arial" w:eastAsia="Arial" w:hAnsi="Arial"/>
                <w:sz w:val="11"/>
                <w:szCs w:val="11"/>
                <w:color w:val="0000FF"/>
                <w:w w:val="92"/>
              </w:rPr>
            </w:pPr>
            <w:hyperlink r:id="rId34">
              <w:r>
                <w:rPr>
                  <w:rFonts w:ascii="Arial" w:cs="Arial" w:eastAsia="Arial" w:hAnsi="Arial"/>
                  <w:sz w:val="11"/>
                  <w:szCs w:val="11"/>
                  <w:color w:val="0000FF"/>
                  <w:w w:val="92"/>
                </w:rPr>
                <w:t>among CERC Corp., as Borrower, and the banks named therein</w:t>
              </w:r>
            </w:hyperlink>
          </w:p>
        </w:tc>
        <w:tc>
          <w:tcPr>
            <w:tcW w:w="60" w:type="dxa"/>
            <w:vAlign w:val="bottom"/>
            <w:gridSpan w:val="3"/>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700" w:type="dxa"/>
            <w:vAlign w:val="bottom"/>
          </w:tcPr>
          <w:p>
            <w:pPr>
              <w:jc w:val="center"/>
              <w:spacing w:after="0"/>
              <w:rPr>
                <w:sz w:val="20"/>
                <w:szCs w:val="20"/>
                <w:color w:val="auto"/>
              </w:rPr>
            </w:pPr>
            <w:r>
              <w:rPr>
                <w:rFonts w:ascii="Arial" w:cs="Arial" w:eastAsia="Arial" w:hAnsi="Arial"/>
                <w:sz w:val="11"/>
                <w:szCs w:val="11"/>
                <w:color w:val="auto"/>
                <w:w w:val="91"/>
              </w:rPr>
              <w:t>4.9</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980" w:type="dxa"/>
            <w:vAlign w:val="bottom"/>
            <w:gridSpan w:val="37"/>
          </w:tcPr>
          <w:p>
            <w:pPr>
              <w:spacing w:after="0"/>
              <w:rPr>
                <w:rFonts w:ascii="Arial" w:cs="Arial" w:eastAsia="Arial" w:hAnsi="Arial"/>
                <w:sz w:val="11"/>
                <w:szCs w:val="11"/>
                <w:color w:val="0000FF"/>
                <w:w w:val="96"/>
              </w:rPr>
            </w:pPr>
            <w:hyperlink r:id="rId35">
              <w:r>
                <w:rPr>
                  <w:rFonts w:ascii="Arial" w:cs="Arial" w:eastAsia="Arial" w:hAnsi="Arial"/>
                  <w:sz w:val="11"/>
                  <w:szCs w:val="11"/>
                  <w:color w:val="0000FF"/>
                  <w:w w:val="96"/>
                </w:rPr>
                <w:t>First Amendment to Amended and Restated Credit Agreement,</w:t>
              </w:r>
            </w:hyperlink>
          </w:p>
        </w:tc>
        <w:tc>
          <w:tcPr>
            <w:tcW w:w="0" w:type="dxa"/>
            <w:vAlign w:val="bottom"/>
          </w:tcPr>
          <w:p>
            <w:pPr>
              <w:spacing w:after="0"/>
              <w:rPr>
                <w:sz w:val="1"/>
                <w:szCs w:val="1"/>
                <w:color w:val="auto"/>
              </w:rPr>
            </w:pPr>
          </w:p>
        </w:tc>
      </w:tr>
      <w:tr>
        <w:trPr>
          <w:trHeight w:val="99"/>
        </w:trPr>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2960" w:type="dxa"/>
            <w:vAlign w:val="bottom"/>
            <w:tcBorders>
              <w:top w:val="single" w:sz="8" w:color="0000FF"/>
            </w:tcBorders>
            <w:gridSpan w:val="32"/>
          </w:tcPr>
          <w:p>
            <w:pPr>
              <w:spacing w:after="0" w:line="99" w:lineRule="exact"/>
              <w:rPr>
                <w:rFonts w:ascii="Arial" w:cs="Arial" w:eastAsia="Arial" w:hAnsi="Arial"/>
                <w:sz w:val="11"/>
                <w:szCs w:val="11"/>
                <w:color w:val="0000FF"/>
                <w:w w:val="96"/>
              </w:rPr>
            </w:pPr>
            <w:hyperlink r:id="rId35">
              <w:r>
                <w:rPr>
                  <w:rFonts w:ascii="Arial" w:cs="Arial" w:eastAsia="Arial" w:hAnsi="Arial"/>
                  <w:sz w:val="11"/>
                  <w:szCs w:val="11"/>
                  <w:color w:val="0000FF"/>
                  <w:w w:val="96"/>
                </w:rPr>
                <w:t>dated as of June 16, 2017, by and among CenterPoint Energy,</w:t>
              </w:r>
            </w:hyperlink>
          </w:p>
        </w:tc>
        <w:tc>
          <w:tcPr>
            <w:tcW w:w="20" w:type="dxa"/>
            <w:vAlign w:val="bottom"/>
            <w:gridSpan w:val="5"/>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2840" w:type="dxa"/>
            <w:vAlign w:val="bottom"/>
            <w:tcBorders>
              <w:top w:val="single" w:sz="8" w:color="0000FF"/>
            </w:tcBorders>
            <w:gridSpan w:val="26"/>
          </w:tcPr>
          <w:p>
            <w:pPr>
              <w:spacing w:after="0" w:line="99" w:lineRule="exact"/>
              <w:rPr>
                <w:rFonts w:ascii="Arial" w:cs="Arial" w:eastAsia="Arial" w:hAnsi="Arial"/>
                <w:sz w:val="11"/>
                <w:szCs w:val="11"/>
                <w:color w:val="0000FF"/>
              </w:rPr>
            </w:pPr>
            <w:hyperlink r:id="rId35">
              <w:r>
                <w:rPr>
                  <w:rFonts w:ascii="Arial" w:cs="Arial" w:eastAsia="Arial" w:hAnsi="Arial"/>
                  <w:sz w:val="11"/>
                  <w:szCs w:val="11"/>
                  <w:color w:val="0000FF"/>
                </w:rPr>
                <w:t>as Borrower, and the banks named therein</w:t>
              </w:r>
            </w:hyperlink>
          </w:p>
        </w:tc>
        <w:tc>
          <w:tcPr>
            <w:tcW w:w="80" w:type="dxa"/>
            <w:vAlign w:val="bottom"/>
            <w:gridSpan w:val="4"/>
          </w:tcPr>
          <w:p>
            <w:pPr>
              <w:spacing w:after="0"/>
              <w:rPr>
                <w:sz w:val="8"/>
                <w:szCs w:val="8"/>
                <w:color w:val="auto"/>
              </w:rPr>
            </w:pPr>
          </w:p>
        </w:tc>
        <w:tc>
          <w:tcPr>
            <w:tcW w:w="60" w:type="dxa"/>
            <w:vAlign w:val="bottom"/>
            <w:gridSpan w:val="7"/>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1280" w:type="dxa"/>
            <w:vAlign w:val="bottom"/>
            <w:gridSpan w:val="7"/>
            <w:shd w:val="clear" w:color="auto" w:fill="0000FF"/>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gridSpan w:val="9"/>
          </w:tcPr>
          <w:p>
            <w:pPr>
              <w:spacing w:after="0" w:line="20" w:lineRule="exact"/>
              <w:rPr>
                <w:sz w:val="1"/>
                <w:szCs w:val="1"/>
                <w:color w:val="auto"/>
              </w:rPr>
            </w:pPr>
          </w:p>
        </w:tc>
        <w:tc>
          <w:tcPr>
            <w:tcW w:w="6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700" w:type="dxa"/>
            <w:vAlign w:val="bottom"/>
          </w:tcPr>
          <w:p>
            <w:pPr>
              <w:jc w:val="center"/>
              <w:spacing w:after="0"/>
              <w:rPr>
                <w:sz w:val="20"/>
                <w:szCs w:val="20"/>
                <w:color w:val="auto"/>
              </w:rPr>
            </w:pPr>
            <w:r>
              <w:rPr>
                <w:rFonts w:ascii="Arial" w:cs="Arial" w:eastAsia="Arial" w:hAnsi="Arial"/>
                <w:sz w:val="11"/>
                <w:szCs w:val="11"/>
                <w:color w:val="auto"/>
                <w:w w:val="93"/>
              </w:rPr>
              <w:t>4.10</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980" w:type="dxa"/>
            <w:vAlign w:val="bottom"/>
            <w:gridSpan w:val="37"/>
          </w:tcPr>
          <w:p>
            <w:pPr>
              <w:spacing w:after="0"/>
              <w:rPr>
                <w:rFonts w:ascii="Arial" w:cs="Arial" w:eastAsia="Arial" w:hAnsi="Arial"/>
                <w:sz w:val="11"/>
                <w:szCs w:val="11"/>
                <w:color w:val="0000FF"/>
              </w:rPr>
            </w:pPr>
            <w:hyperlink r:id="rId36">
              <w:r>
                <w:rPr>
                  <w:rFonts w:ascii="Arial" w:cs="Arial" w:eastAsia="Arial" w:hAnsi="Arial"/>
                  <w:sz w:val="11"/>
                  <w:szCs w:val="11"/>
                  <w:color w:val="0000FF"/>
                </w:rPr>
                <w:t>Second Amendment to Amended and Restated Credit</w:t>
              </w:r>
            </w:hyperlink>
          </w:p>
        </w:tc>
        <w:tc>
          <w:tcPr>
            <w:tcW w:w="0" w:type="dxa"/>
            <w:vAlign w:val="bottom"/>
          </w:tcPr>
          <w:p>
            <w:pPr>
              <w:spacing w:after="0"/>
              <w:rPr>
                <w:sz w:val="1"/>
                <w:szCs w:val="1"/>
                <w:color w:val="auto"/>
              </w:rPr>
            </w:pPr>
          </w:p>
        </w:tc>
      </w:tr>
      <w:tr>
        <w:trPr>
          <w:trHeight w:val="99"/>
        </w:trPr>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2440" w:type="dxa"/>
            <w:vAlign w:val="bottom"/>
            <w:tcBorders>
              <w:top w:val="single" w:sz="8" w:color="0000FF"/>
              <w:bottom w:val="single" w:sz="8" w:color="0000FF"/>
            </w:tcBorders>
            <w:gridSpan w:val="13"/>
          </w:tcPr>
          <w:p>
            <w:pPr>
              <w:spacing w:after="0" w:line="99" w:lineRule="exact"/>
              <w:rPr>
                <w:rFonts w:ascii="Arial" w:cs="Arial" w:eastAsia="Arial" w:hAnsi="Arial"/>
                <w:sz w:val="11"/>
                <w:szCs w:val="11"/>
                <w:color w:val="0000FF"/>
                <w:w w:val="93"/>
              </w:rPr>
            </w:pPr>
            <w:hyperlink r:id="rId36">
              <w:r>
                <w:rPr>
                  <w:rFonts w:ascii="Arial" w:cs="Arial" w:eastAsia="Arial" w:hAnsi="Arial"/>
                  <w:sz w:val="11"/>
                  <w:szCs w:val="11"/>
                  <w:color w:val="0000FF"/>
                  <w:w w:val="93"/>
                </w:rPr>
                <w:t>Agreement, dated as of May 25, 2018, by and among</w:t>
              </w:r>
            </w:hyperlink>
          </w:p>
        </w:tc>
        <w:tc>
          <w:tcPr>
            <w:tcW w:w="20" w:type="dxa"/>
            <w:vAlign w:val="bottom"/>
            <w:tcBorders>
              <w:top w:val="single" w:sz="8" w:color="0000FF"/>
            </w:tcBorders>
          </w:tcPr>
          <w:p>
            <w:pPr>
              <w:spacing w:after="0"/>
              <w:rPr>
                <w:sz w:val="8"/>
                <w:szCs w:val="8"/>
                <w:color w:val="auto"/>
              </w:rPr>
            </w:pPr>
          </w:p>
        </w:tc>
        <w:tc>
          <w:tcPr>
            <w:tcW w:w="240" w:type="dxa"/>
            <w:vAlign w:val="bottom"/>
            <w:gridSpan w:val="5"/>
          </w:tcPr>
          <w:p>
            <w:pPr>
              <w:spacing w:after="0"/>
              <w:rPr>
                <w:sz w:val="8"/>
                <w:szCs w:val="8"/>
                <w:color w:val="auto"/>
              </w:rPr>
            </w:pPr>
          </w:p>
        </w:tc>
        <w:tc>
          <w:tcPr>
            <w:tcW w:w="60" w:type="dxa"/>
            <w:vAlign w:val="bottom"/>
            <w:gridSpan w:val="2"/>
          </w:tcPr>
          <w:p>
            <w:pPr>
              <w:spacing w:after="0"/>
              <w:rPr>
                <w:sz w:val="8"/>
                <w:szCs w:val="8"/>
                <w:color w:val="auto"/>
              </w:rPr>
            </w:pPr>
          </w:p>
        </w:tc>
        <w:tc>
          <w:tcPr>
            <w:tcW w:w="160" w:type="dxa"/>
            <w:vAlign w:val="bottom"/>
            <w:gridSpan w:val="9"/>
          </w:tcPr>
          <w:p>
            <w:pPr>
              <w:spacing w:after="0"/>
              <w:rPr>
                <w:sz w:val="8"/>
                <w:szCs w:val="8"/>
                <w:color w:val="auto"/>
              </w:rPr>
            </w:pPr>
          </w:p>
        </w:tc>
        <w:tc>
          <w:tcPr>
            <w:tcW w:w="60" w:type="dxa"/>
            <w:vAlign w:val="bottom"/>
            <w:gridSpan w:val="7"/>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2920" w:type="dxa"/>
            <w:vAlign w:val="bottom"/>
            <w:tcBorders>
              <w:bottom w:val="single" w:sz="8" w:color="0000FF"/>
            </w:tcBorders>
            <w:gridSpan w:val="30"/>
          </w:tcPr>
          <w:p>
            <w:pPr>
              <w:spacing w:after="0" w:line="99" w:lineRule="exact"/>
              <w:rPr>
                <w:rFonts w:ascii="Arial" w:cs="Arial" w:eastAsia="Arial" w:hAnsi="Arial"/>
                <w:sz w:val="11"/>
                <w:szCs w:val="11"/>
                <w:color w:val="0000FF"/>
                <w:w w:val="93"/>
              </w:rPr>
            </w:pPr>
            <w:hyperlink r:id="rId36">
              <w:r>
                <w:rPr>
                  <w:rFonts w:ascii="Arial" w:cs="Arial" w:eastAsia="Arial" w:hAnsi="Arial"/>
                  <w:sz w:val="11"/>
                  <w:szCs w:val="11"/>
                  <w:color w:val="0000FF"/>
                  <w:w w:val="93"/>
                </w:rPr>
                <w:t>CenterPoint Energy, as Borrower, and the banks named therein</w:t>
              </w:r>
            </w:hyperlink>
          </w:p>
        </w:tc>
        <w:tc>
          <w:tcPr>
            <w:tcW w:w="60" w:type="dxa"/>
            <w:vAlign w:val="bottom"/>
            <w:gridSpan w:val="7"/>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700" w:type="dxa"/>
            <w:vAlign w:val="bottom"/>
          </w:tcPr>
          <w:p>
            <w:pPr>
              <w:jc w:val="center"/>
              <w:spacing w:after="0"/>
              <w:rPr>
                <w:sz w:val="20"/>
                <w:szCs w:val="20"/>
                <w:color w:val="auto"/>
              </w:rPr>
            </w:pPr>
            <w:r>
              <w:rPr>
                <w:rFonts w:ascii="Arial" w:cs="Arial" w:eastAsia="Arial" w:hAnsi="Arial"/>
                <w:sz w:val="11"/>
                <w:szCs w:val="11"/>
                <w:color w:val="auto"/>
                <w:w w:val="83"/>
              </w:rPr>
              <w:t>4.11</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980" w:type="dxa"/>
            <w:vAlign w:val="bottom"/>
            <w:gridSpan w:val="37"/>
          </w:tcPr>
          <w:p>
            <w:pPr>
              <w:spacing w:after="0"/>
              <w:rPr>
                <w:rFonts w:ascii="Arial" w:cs="Arial" w:eastAsia="Arial" w:hAnsi="Arial"/>
                <w:sz w:val="11"/>
                <w:szCs w:val="11"/>
                <w:color w:val="0000FF"/>
              </w:rPr>
            </w:pPr>
            <w:hyperlink r:id="rId37">
              <w:r>
                <w:rPr>
                  <w:rFonts w:ascii="Arial" w:cs="Arial" w:eastAsia="Arial" w:hAnsi="Arial"/>
                  <w:sz w:val="11"/>
                  <w:szCs w:val="11"/>
                  <w:color w:val="0000FF"/>
                </w:rPr>
                <w:t>First Amendment to Credit Agreement, dated as of June 16,</w:t>
              </w:r>
            </w:hyperlink>
          </w:p>
        </w:tc>
        <w:tc>
          <w:tcPr>
            <w:tcW w:w="0" w:type="dxa"/>
            <w:vAlign w:val="bottom"/>
          </w:tcPr>
          <w:p>
            <w:pPr>
              <w:spacing w:after="0"/>
              <w:rPr>
                <w:sz w:val="1"/>
                <w:szCs w:val="1"/>
                <w:color w:val="auto"/>
              </w:rPr>
            </w:pPr>
          </w:p>
        </w:tc>
      </w:tr>
      <w:tr>
        <w:trPr>
          <w:trHeight w:val="99"/>
        </w:trPr>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2760" w:type="dxa"/>
            <w:vAlign w:val="bottom"/>
            <w:tcBorders>
              <w:top w:val="single" w:sz="8" w:color="0000FF"/>
            </w:tcBorders>
            <w:gridSpan w:val="21"/>
          </w:tcPr>
          <w:p>
            <w:pPr>
              <w:spacing w:after="0" w:line="99" w:lineRule="exact"/>
              <w:rPr>
                <w:rFonts w:ascii="Arial" w:cs="Arial" w:eastAsia="Arial" w:hAnsi="Arial"/>
                <w:sz w:val="11"/>
                <w:szCs w:val="11"/>
                <w:color w:val="0000FF"/>
                <w:w w:val="95"/>
              </w:rPr>
            </w:pPr>
            <w:hyperlink r:id="rId37">
              <w:r>
                <w:rPr>
                  <w:rFonts w:ascii="Arial" w:cs="Arial" w:eastAsia="Arial" w:hAnsi="Arial"/>
                  <w:sz w:val="11"/>
                  <w:szCs w:val="11"/>
                  <w:color w:val="0000FF"/>
                  <w:w w:val="95"/>
                </w:rPr>
                <w:t>2017, among Houston Electric, as Borrower, and the banks</w:t>
              </w:r>
            </w:hyperlink>
          </w:p>
        </w:tc>
        <w:tc>
          <w:tcPr>
            <w:tcW w:w="220" w:type="dxa"/>
            <w:vAlign w:val="bottom"/>
            <w:gridSpan w:val="16"/>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2700" w:type="dxa"/>
            <w:vAlign w:val="bottom"/>
            <w:tcBorders>
              <w:top w:val="single" w:sz="8" w:color="0000FF"/>
            </w:tcBorders>
            <w:gridSpan w:val="19"/>
          </w:tcPr>
          <w:p>
            <w:pPr>
              <w:spacing w:after="0" w:line="99" w:lineRule="exact"/>
              <w:rPr>
                <w:rFonts w:ascii="Arial" w:cs="Arial" w:eastAsia="Arial" w:hAnsi="Arial"/>
                <w:sz w:val="11"/>
                <w:szCs w:val="11"/>
                <w:color w:val="0000FF"/>
              </w:rPr>
            </w:pPr>
            <w:hyperlink r:id="rId37">
              <w:r>
                <w:rPr>
                  <w:rFonts w:ascii="Arial" w:cs="Arial" w:eastAsia="Arial" w:hAnsi="Arial"/>
                  <w:sz w:val="11"/>
                  <w:szCs w:val="11"/>
                  <w:color w:val="0000FF"/>
                </w:rPr>
                <w:t>named therein</w:t>
              </w:r>
            </w:hyperlink>
          </w:p>
        </w:tc>
        <w:tc>
          <w:tcPr>
            <w:tcW w:w="280" w:type="dxa"/>
            <w:vAlign w:val="bottom"/>
            <w:gridSpan w:val="18"/>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77"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37"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32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6"/>
        </w:trPr>
        <w:tc>
          <w:tcPr>
            <w:tcW w:w="1840" w:type="dxa"/>
            <w:vAlign w:val="bottom"/>
            <w:gridSpan w:val="2"/>
            <w:vMerge w:val="restart"/>
          </w:tcPr>
          <w:p>
            <w:pPr>
              <w:ind w:left="300"/>
              <w:spacing w:after="0"/>
              <w:rPr>
                <w:sz w:val="20"/>
                <w:szCs w:val="20"/>
                <w:color w:val="auto"/>
              </w:rPr>
            </w:pPr>
            <w:r>
              <w:rPr>
                <w:rFonts w:ascii="Arial" w:cs="Arial" w:eastAsia="Arial" w:hAnsi="Arial"/>
                <w:sz w:val="11"/>
                <w:szCs w:val="11"/>
                <w:b w:val="1"/>
                <w:bCs w:val="1"/>
                <w:color w:val="auto"/>
              </w:rPr>
              <w:t>Report or Registration</w:t>
            </w:r>
          </w:p>
        </w:tc>
        <w:tc>
          <w:tcPr>
            <w:tcW w:w="128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5"/>
              </w:rPr>
              <w:t>SEC File or</w:t>
            </w:r>
          </w:p>
        </w:tc>
        <w:tc>
          <w:tcPr>
            <w:tcW w:w="1020" w:type="dxa"/>
            <w:vAlign w:val="bottom"/>
            <w:gridSpan w:val="2"/>
            <w:vMerge w:val="restart"/>
          </w:tcPr>
          <w:p>
            <w:pPr>
              <w:jc w:val="center"/>
              <w:ind w:right="120"/>
              <w:spacing w:after="0"/>
              <w:rPr>
                <w:sz w:val="20"/>
                <w:szCs w:val="20"/>
                <w:color w:val="auto"/>
              </w:rPr>
            </w:pPr>
            <w:r>
              <w:rPr>
                <w:rFonts w:ascii="Arial" w:cs="Arial" w:eastAsia="Arial" w:hAnsi="Arial"/>
                <w:sz w:val="11"/>
                <w:szCs w:val="11"/>
                <w:b w:val="1"/>
                <w:bCs w:val="1"/>
                <w:color w:val="auto"/>
              </w:rPr>
              <w:t>Exhibit</w:t>
            </w: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1840" w:type="dxa"/>
            <w:vAlign w:val="bottom"/>
            <w:gridSpan w:val="2"/>
            <w:vMerge w:val="continue"/>
          </w:tcPr>
          <w:p>
            <w:pPr>
              <w:spacing w:after="0"/>
              <w:rPr>
                <w:sz w:val="10"/>
                <w:szCs w:val="10"/>
                <w:color w:val="auto"/>
              </w:rPr>
            </w:pPr>
          </w:p>
        </w:tc>
        <w:tc>
          <w:tcPr>
            <w:tcW w:w="1280" w:type="dxa"/>
            <w:vAlign w:val="bottom"/>
            <w:gridSpan w:val="2"/>
          </w:tcPr>
          <w:p>
            <w:pPr>
              <w:jc w:val="center"/>
              <w:ind w:right="120"/>
              <w:spacing w:after="0" w:line="119" w:lineRule="exact"/>
              <w:rPr>
                <w:sz w:val="20"/>
                <w:szCs w:val="20"/>
                <w:color w:val="auto"/>
              </w:rPr>
            </w:pPr>
            <w:r>
              <w:rPr>
                <w:rFonts w:ascii="Arial" w:cs="Arial" w:eastAsia="Arial" w:hAnsi="Arial"/>
                <w:sz w:val="11"/>
                <w:szCs w:val="11"/>
                <w:b w:val="1"/>
                <w:bCs w:val="1"/>
                <w:color w:val="auto"/>
                <w:w w:val="93"/>
              </w:rPr>
              <w:t>Registration</w:t>
            </w:r>
          </w:p>
        </w:tc>
        <w:tc>
          <w:tcPr>
            <w:tcW w:w="1020" w:type="dxa"/>
            <w:vAlign w:val="bottom"/>
            <w:gridSpan w:val="2"/>
            <w:vMerge w:val="continue"/>
          </w:tcPr>
          <w:p>
            <w:pPr>
              <w:spacing w:after="0"/>
              <w:rPr>
                <w:sz w:val="10"/>
                <w:szCs w:val="10"/>
                <w:color w:val="auto"/>
              </w:rPr>
            </w:pPr>
          </w:p>
        </w:tc>
        <w:tc>
          <w:tcPr>
            <w:tcW w:w="114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5"/>
              </w:rPr>
              <w:t>CenterPoint Energy</w:t>
            </w:r>
          </w:p>
        </w:tc>
        <w:tc>
          <w:tcPr>
            <w:tcW w:w="100" w:type="dxa"/>
            <w:vAlign w:val="bottom"/>
            <w:vMerge w:val="restart"/>
          </w:tcPr>
          <w:p>
            <w:pPr>
              <w:spacing w:after="0"/>
              <w:rPr>
                <w:sz w:val="10"/>
                <w:szCs w:val="10"/>
                <w:color w:val="auto"/>
              </w:rPr>
            </w:pPr>
          </w:p>
        </w:tc>
        <w:tc>
          <w:tcPr>
            <w:tcW w:w="104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6"/>
              </w:rPr>
              <w:t>Houston Electric</w:t>
            </w:r>
          </w:p>
        </w:tc>
        <w:tc>
          <w:tcPr>
            <w:tcW w:w="100" w:type="dxa"/>
            <w:vAlign w:val="bottom"/>
            <w:vMerge w:val="restart"/>
          </w:tcPr>
          <w:p>
            <w:pPr>
              <w:spacing w:after="0"/>
              <w:rPr>
                <w:sz w:val="10"/>
                <w:szCs w:val="10"/>
                <w:color w:val="auto"/>
              </w:rPr>
            </w:pPr>
          </w:p>
        </w:tc>
        <w:tc>
          <w:tcPr>
            <w:tcW w:w="1020" w:type="dxa"/>
            <w:vAlign w:val="bottom"/>
            <w:vMerge w:val="restart"/>
          </w:tcPr>
          <w:p>
            <w:pPr>
              <w:jc w:val="center"/>
              <w:spacing w:after="0"/>
              <w:rPr>
                <w:sz w:val="20"/>
                <w:szCs w:val="20"/>
                <w:color w:val="auto"/>
              </w:rPr>
            </w:pPr>
            <w:r>
              <w:rPr>
                <w:rFonts w:ascii="Arial" w:cs="Arial" w:eastAsia="Arial" w:hAnsi="Arial"/>
                <w:sz w:val="11"/>
                <w:szCs w:val="11"/>
                <w:b w:val="1"/>
                <w:bCs w:val="1"/>
                <w:color w:val="auto"/>
              </w:rPr>
              <w:t>CERC</w:t>
            </w:r>
          </w:p>
        </w:tc>
        <w:tc>
          <w:tcPr>
            <w:tcW w:w="0" w:type="dxa"/>
            <w:vAlign w:val="bottom"/>
          </w:tcPr>
          <w:p>
            <w:pPr>
              <w:spacing w:after="0"/>
              <w:rPr>
                <w:sz w:val="1"/>
                <w:szCs w:val="1"/>
                <w:color w:val="auto"/>
              </w:rPr>
            </w:pPr>
          </w:p>
        </w:tc>
      </w:tr>
      <w:tr>
        <w:trPr>
          <w:trHeight w:val="153"/>
        </w:trPr>
        <w:tc>
          <w:tcPr>
            <w:tcW w:w="1720" w:type="dxa"/>
            <w:vAlign w:val="bottom"/>
            <w:tcBorders>
              <w:bottom w:val="single" w:sz="8" w:color="auto"/>
            </w:tcBorders>
          </w:tcPr>
          <w:p>
            <w:pPr>
              <w:ind w:left="620"/>
              <w:spacing w:after="0"/>
              <w:rPr>
                <w:sz w:val="20"/>
                <w:szCs w:val="20"/>
                <w:color w:val="auto"/>
              </w:rPr>
            </w:pPr>
            <w:r>
              <w:rPr>
                <w:rFonts w:ascii="Arial" w:cs="Arial" w:eastAsia="Arial" w:hAnsi="Arial"/>
                <w:sz w:val="11"/>
                <w:szCs w:val="11"/>
                <w:b w:val="1"/>
                <w:bCs w:val="1"/>
                <w:color w:val="auto"/>
              </w:rPr>
              <w:t>Statement</w:t>
            </w:r>
          </w:p>
        </w:tc>
        <w:tc>
          <w:tcPr>
            <w:tcW w:w="120" w:type="dxa"/>
            <w:vAlign w:val="bottom"/>
          </w:tcPr>
          <w:p>
            <w:pPr>
              <w:spacing w:after="0"/>
              <w:rPr>
                <w:sz w:val="13"/>
                <w:szCs w:val="13"/>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6"/>
              </w:rPr>
              <w:t>Number</w:t>
            </w:r>
          </w:p>
        </w:tc>
        <w:tc>
          <w:tcPr>
            <w:tcW w:w="120" w:type="dxa"/>
            <w:vAlign w:val="bottom"/>
          </w:tcPr>
          <w:p>
            <w:pPr>
              <w:spacing w:after="0"/>
              <w:rPr>
                <w:sz w:val="13"/>
                <w:szCs w:val="13"/>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3"/>
              </w:rPr>
              <w:t>Reference</w:t>
            </w:r>
          </w:p>
        </w:tc>
        <w:tc>
          <w:tcPr>
            <w:tcW w:w="120" w:type="dxa"/>
            <w:vAlign w:val="bottom"/>
          </w:tcPr>
          <w:p>
            <w:pPr>
              <w:spacing w:after="0"/>
              <w:rPr>
                <w:sz w:val="13"/>
                <w:szCs w:val="13"/>
                <w:color w:val="auto"/>
              </w:rPr>
            </w:pPr>
          </w:p>
        </w:tc>
        <w:tc>
          <w:tcPr>
            <w:tcW w:w="1140" w:type="dxa"/>
            <w:vAlign w:val="bottom"/>
            <w:tcBorders>
              <w:bottom w:val="single" w:sz="8" w:color="auto"/>
            </w:tcBorders>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1040" w:type="dxa"/>
            <w:vAlign w:val="bottom"/>
            <w:tcBorders>
              <w:bottom w:val="single" w:sz="8" w:color="auto"/>
            </w:tcBorders>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102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1840" w:type="dxa"/>
            <w:vAlign w:val="bottom"/>
            <w:gridSpan w:val="2"/>
          </w:tcPr>
          <w:p>
            <w:pPr>
              <w:ind w:left="20"/>
              <w:spacing w:after="0" w:line="120" w:lineRule="exact"/>
              <w:rPr>
                <w:sz w:val="20"/>
                <w:szCs w:val="20"/>
                <w:color w:val="auto"/>
              </w:rPr>
            </w:pPr>
            <w:r>
              <w:rPr>
                <w:rFonts w:ascii="Arial" w:cs="Arial" w:eastAsia="Arial" w:hAnsi="Arial"/>
                <w:sz w:val="11"/>
                <w:szCs w:val="11"/>
                <w:color w:val="auto"/>
              </w:rPr>
              <w:t>CenterPoint Energy’s Form 8-K</w:t>
            </w:r>
          </w:p>
        </w:tc>
        <w:tc>
          <w:tcPr>
            <w:tcW w:w="1160" w:type="dxa"/>
            <w:vAlign w:val="bottom"/>
          </w:tcPr>
          <w:p>
            <w:pPr>
              <w:jc w:val="center"/>
              <w:spacing w:after="0" w:line="120" w:lineRule="exact"/>
              <w:rPr>
                <w:sz w:val="20"/>
                <w:szCs w:val="20"/>
                <w:color w:val="auto"/>
              </w:rPr>
            </w:pPr>
            <w:r>
              <w:rPr>
                <w:rFonts w:ascii="Arial" w:cs="Arial" w:eastAsia="Arial" w:hAnsi="Arial"/>
                <w:sz w:val="11"/>
                <w:szCs w:val="11"/>
                <w:color w:val="auto"/>
                <w:w w:val="94"/>
              </w:rPr>
              <w:t>1-31447</w:t>
            </w:r>
          </w:p>
        </w:tc>
        <w:tc>
          <w:tcPr>
            <w:tcW w:w="120" w:type="dxa"/>
            <w:vAlign w:val="bottom"/>
          </w:tcPr>
          <w:p>
            <w:pPr>
              <w:spacing w:after="0"/>
              <w:rPr>
                <w:sz w:val="10"/>
                <w:szCs w:val="10"/>
                <w:color w:val="auto"/>
              </w:rPr>
            </w:pPr>
          </w:p>
        </w:tc>
        <w:tc>
          <w:tcPr>
            <w:tcW w:w="900" w:type="dxa"/>
            <w:vAlign w:val="bottom"/>
          </w:tcPr>
          <w:p>
            <w:pPr>
              <w:jc w:val="center"/>
              <w:spacing w:after="0" w:line="120" w:lineRule="exact"/>
              <w:rPr>
                <w:sz w:val="20"/>
                <w:szCs w:val="20"/>
                <w:color w:val="auto"/>
              </w:rPr>
            </w:pPr>
            <w:r>
              <w:rPr>
                <w:rFonts w:ascii="Arial" w:cs="Arial" w:eastAsia="Arial" w:hAnsi="Arial"/>
                <w:sz w:val="11"/>
                <w:szCs w:val="11"/>
                <w:color w:val="auto"/>
                <w:w w:val="91"/>
              </w:rPr>
              <w:t>3.1</w:t>
            </w:r>
          </w:p>
        </w:tc>
        <w:tc>
          <w:tcPr>
            <w:tcW w:w="120" w:type="dxa"/>
            <w:vAlign w:val="bottom"/>
          </w:tcPr>
          <w:p>
            <w:pPr>
              <w:spacing w:after="0"/>
              <w:rPr>
                <w:sz w:val="10"/>
                <w:szCs w:val="10"/>
                <w:color w:val="auto"/>
              </w:rPr>
            </w:pPr>
          </w:p>
        </w:tc>
        <w:tc>
          <w:tcPr>
            <w:tcW w:w="1240" w:type="dxa"/>
            <w:vAlign w:val="bottom"/>
            <w:gridSpan w:val="2"/>
          </w:tcPr>
          <w:p>
            <w:pPr>
              <w:jc w:val="center"/>
              <w:ind w:right="100"/>
              <w:spacing w:after="0" w:line="120" w:lineRule="exact"/>
              <w:rPr>
                <w:sz w:val="20"/>
                <w:szCs w:val="20"/>
                <w:color w:val="auto"/>
              </w:rPr>
            </w:pPr>
            <w:r>
              <w:rPr>
                <w:rFonts w:ascii="Arial" w:cs="Arial" w:eastAsia="Arial" w:hAnsi="Arial"/>
                <w:sz w:val="11"/>
                <w:szCs w:val="11"/>
                <w:color w:val="auto"/>
              </w:rPr>
              <w:t>x</w:t>
            </w: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1840" w:type="dxa"/>
            <w:vAlign w:val="bottom"/>
            <w:gridSpan w:val="2"/>
          </w:tcPr>
          <w:p>
            <w:pPr>
              <w:ind w:left="20"/>
              <w:spacing w:after="0"/>
              <w:rPr>
                <w:sz w:val="20"/>
                <w:szCs w:val="20"/>
                <w:color w:val="auto"/>
              </w:rPr>
            </w:pPr>
            <w:r>
              <w:rPr>
                <w:rFonts w:ascii="Arial" w:cs="Arial" w:eastAsia="Arial" w:hAnsi="Arial"/>
                <w:sz w:val="11"/>
                <w:szCs w:val="11"/>
                <w:color w:val="auto"/>
              </w:rPr>
              <w:t>dated February 21, 2017</w:t>
            </w: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1840" w:type="dxa"/>
            <w:vAlign w:val="bottom"/>
            <w:gridSpan w:val="2"/>
          </w:tcPr>
          <w:p>
            <w:pPr>
              <w:ind w:left="20"/>
              <w:spacing w:after="0"/>
              <w:rPr>
                <w:sz w:val="20"/>
                <w:szCs w:val="20"/>
                <w:color w:val="auto"/>
              </w:rPr>
            </w:pPr>
            <w:r>
              <w:rPr>
                <w:rFonts w:ascii="Arial" w:cs="Arial" w:eastAsia="Arial" w:hAnsi="Arial"/>
                <w:sz w:val="11"/>
                <w:szCs w:val="11"/>
                <w:color w:val="auto"/>
              </w:rPr>
              <w:t>Houston Electric’s Form 10-Q for</w:t>
            </w:r>
          </w:p>
        </w:tc>
        <w:tc>
          <w:tcPr>
            <w:tcW w:w="1160" w:type="dxa"/>
            <w:vAlign w:val="bottom"/>
          </w:tcPr>
          <w:p>
            <w:pPr>
              <w:jc w:val="center"/>
              <w:spacing w:after="0"/>
              <w:rPr>
                <w:sz w:val="20"/>
                <w:szCs w:val="20"/>
                <w:color w:val="auto"/>
              </w:rPr>
            </w:pPr>
            <w:r>
              <w:rPr>
                <w:rFonts w:ascii="Arial" w:cs="Arial" w:eastAsia="Arial" w:hAnsi="Arial"/>
                <w:sz w:val="11"/>
                <w:szCs w:val="11"/>
                <w:color w:val="auto"/>
                <w:w w:val="93"/>
              </w:rPr>
              <w:t>1-3187</w:t>
            </w:r>
          </w:p>
        </w:tc>
        <w:tc>
          <w:tcPr>
            <w:tcW w:w="120" w:type="dxa"/>
            <w:vAlign w:val="bottom"/>
          </w:tcPr>
          <w:p>
            <w:pPr>
              <w:spacing w:after="0"/>
              <w:rPr>
                <w:sz w:val="11"/>
                <w:szCs w:val="11"/>
                <w:color w:val="auto"/>
              </w:rPr>
            </w:pPr>
          </w:p>
        </w:tc>
        <w:tc>
          <w:tcPr>
            <w:tcW w:w="900" w:type="dxa"/>
            <w:vAlign w:val="bottom"/>
          </w:tcPr>
          <w:p>
            <w:pPr>
              <w:jc w:val="center"/>
              <w:spacing w:after="0"/>
              <w:rPr>
                <w:sz w:val="20"/>
                <w:szCs w:val="20"/>
                <w:color w:val="auto"/>
              </w:rPr>
            </w:pPr>
            <w:r>
              <w:rPr>
                <w:rFonts w:ascii="Arial" w:cs="Arial" w:eastAsia="Arial" w:hAnsi="Arial"/>
                <w:sz w:val="11"/>
                <w:szCs w:val="11"/>
                <w:color w:val="auto"/>
                <w:w w:val="91"/>
              </w:rPr>
              <w:t>3.2</w:t>
            </w:r>
          </w:p>
        </w:tc>
        <w:tc>
          <w:tcPr>
            <w:tcW w:w="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gridSpan w:val="2"/>
          </w:tcPr>
          <w:p>
            <w:pPr>
              <w:jc w:val="center"/>
              <w:ind w:right="120"/>
              <w:spacing w:after="0"/>
              <w:rPr>
                <w:sz w:val="20"/>
                <w:szCs w:val="20"/>
                <w:color w:val="auto"/>
              </w:rPr>
            </w:pPr>
            <w:r>
              <w:rPr>
                <w:rFonts w:ascii="Arial" w:cs="Arial" w:eastAsia="Arial" w:hAnsi="Arial"/>
                <w:sz w:val="11"/>
                <w:szCs w:val="11"/>
                <w:color w:val="auto"/>
              </w:rPr>
              <w:t>x</w:t>
            </w: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1840" w:type="dxa"/>
            <w:vAlign w:val="bottom"/>
            <w:gridSpan w:val="2"/>
          </w:tcPr>
          <w:p>
            <w:pPr>
              <w:ind w:left="20"/>
              <w:spacing w:after="0"/>
              <w:rPr>
                <w:sz w:val="20"/>
                <w:szCs w:val="20"/>
                <w:color w:val="auto"/>
              </w:rPr>
            </w:pPr>
            <w:r>
              <w:rPr>
                <w:rFonts w:ascii="Arial" w:cs="Arial" w:eastAsia="Arial" w:hAnsi="Arial"/>
                <w:sz w:val="11"/>
                <w:szCs w:val="11"/>
                <w:color w:val="auto"/>
              </w:rPr>
              <w:t>the quarter ended June 30, 2011</w:t>
            </w: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1840" w:type="dxa"/>
            <w:vAlign w:val="bottom"/>
            <w:gridSpan w:val="2"/>
          </w:tcPr>
          <w:p>
            <w:pPr>
              <w:ind w:left="20"/>
              <w:spacing w:after="0"/>
              <w:rPr>
                <w:sz w:val="20"/>
                <w:szCs w:val="20"/>
                <w:color w:val="auto"/>
              </w:rPr>
            </w:pPr>
            <w:r>
              <w:rPr>
                <w:rFonts w:ascii="Arial" w:cs="Arial" w:eastAsia="Arial" w:hAnsi="Arial"/>
                <w:sz w:val="11"/>
                <w:szCs w:val="11"/>
                <w:color w:val="auto"/>
              </w:rPr>
              <w:t>CERC Form 10-K for the year</w:t>
            </w:r>
          </w:p>
        </w:tc>
        <w:tc>
          <w:tcPr>
            <w:tcW w:w="1160" w:type="dxa"/>
            <w:vAlign w:val="bottom"/>
          </w:tcPr>
          <w:p>
            <w:pPr>
              <w:jc w:val="center"/>
              <w:spacing w:after="0"/>
              <w:rPr>
                <w:sz w:val="20"/>
                <w:szCs w:val="20"/>
                <w:color w:val="auto"/>
              </w:rPr>
            </w:pPr>
            <w:r>
              <w:rPr>
                <w:rFonts w:ascii="Arial" w:cs="Arial" w:eastAsia="Arial" w:hAnsi="Arial"/>
                <w:sz w:val="11"/>
                <w:szCs w:val="11"/>
                <w:color w:val="auto"/>
                <w:w w:val="94"/>
              </w:rPr>
              <w:t>1-13265</w:t>
            </w:r>
          </w:p>
        </w:tc>
        <w:tc>
          <w:tcPr>
            <w:tcW w:w="120" w:type="dxa"/>
            <w:vAlign w:val="bottom"/>
          </w:tcPr>
          <w:p>
            <w:pPr>
              <w:spacing w:after="0"/>
              <w:rPr>
                <w:sz w:val="11"/>
                <w:szCs w:val="11"/>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1"/>
                <w:szCs w:val="11"/>
                <w:color w:val="auto"/>
                <w:w w:val="91"/>
              </w:rPr>
              <w:t>3(b)</w:t>
            </w: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jc w:val="center"/>
              <w:spacing w:after="0"/>
              <w:rPr>
                <w:sz w:val="20"/>
                <w:szCs w:val="20"/>
                <w:color w:val="auto"/>
              </w:rPr>
            </w:pPr>
            <w:r>
              <w:rPr>
                <w:rFonts w:ascii="Arial" w:cs="Arial" w:eastAsia="Arial" w:hAnsi="Arial"/>
                <w:sz w:val="11"/>
                <w:szCs w:val="11"/>
                <w:color w:val="auto"/>
              </w:rPr>
              <w:t>x</w:t>
            </w:r>
          </w:p>
        </w:tc>
        <w:tc>
          <w:tcPr>
            <w:tcW w:w="0" w:type="dxa"/>
            <w:vAlign w:val="bottom"/>
          </w:tcPr>
          <w:p>
            <w:pPr>
              <w:spacing w:after="0"/>
              <w:rPr>
                <w:sz w:val="1"/>
                <w:szCs w:val="1"/>
                <w:color w:val="auto"/>
              </w:rPr>
            </w:pPr>
          </w:p>
        </w:tc>
      </w:tr>
      <w:tr>
        <w:trPr>
          <w:trHeight w:val="146"/>
        </w:trPr>
        <w:tc>
          <w:tcPr>
            <w:tcW w:w="1840" w:type="dxa"/>
            <w:vAlign w:val="bottom"/>
            <w:gridSpan w:val="2"/>
          </w:tcPr>
          <w:p>
            <w:pPr>
              <w:ind w:left="20"/>
              <w:spacing w:after="0"/>
              <w:rPr>
                <w:sz w:val="20"/>
                <w:szCs w:val="20"/>
                <w:color w:val="auto"/>
              </w:rPr>
            </w:pPr>
            <w:r>
              <w:rPr>
                <w:rFonts w:ascii="Arial" w:cs="Arial" w:eastAsia="Arial" w:hAnsi="Arial"/>
                <w:sz w:val="11"/>
                <w:szCs w:val="11"/>
                <w:color w:val="auto"/>
              </w:rPr>
              <w:t>ended December 31, 1997</w:t>
            </w: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1840" w:type="dxa"/>
            <w:vAlign w:val="bottom"/>
            <w:gridSpan w:val="2"/>
          </w:tcPr>
          <w:p>
            <w:pPr>
              <w:ind w:left="20"/>
              <w:spacing w:after="0"/>
              <w:rPr>
                <w:sz w:val="20"/>
                <w:szCs w:val="20"/>
                <w:color w:val="auto"/>
              </w:rPr>
            </w:pPr>
            <w:r>
              <w:rPr>
                <w:rFonts w:ascii="Arial" w:cs="Arial" w:eastAsia="Arial" w:hAnsi="Arial"/>
                <w:sz w:val="11"/>
                <w:szCs w:val="11"/>
                <w:color w:val="auto"/>
              </w:rPr>
              <w:t>CenterPoint Energy’s Form 10-K</w:t>
            </w:r>
          </w:p>
        </w:tc>
        <w:tc>
          <w:tcPr>
            <w:tcW w:w="1160" w:type="dxa"/>
            <w:vAlign w:val="bottom"/>
          </w:tcPr>
          <w:p>
            <w:pPr>
              <w:jc w:val="center"/>
              <w:spacing w:after="0"/>
              <w:rPr>
                <w:sz w:val="20"/>
                <w:szCs w:val="20"/>
                <w:color w:val="auto"/>
              </w:rPr>
            </w:pPr>
            <w:r>
              <w:rPr>
                <w:rFonts w:ascii="Arial" w:cs="Arial" w:eastAsia="Arial" w:hAnsi="Arial"/>
                <w:sz w:val="11"/>
                <w:szCs w:val="11"/>
                <w:color w:val="auto"/>
                <w:w w:val="94"/>
              </w:rPr>
              <w:t>1-31447</w:t>
            </w:r>
          </w:p>
        </w:tc>
        <w:tc>
          <w:tcPr>
            <w:tcW w:w="120" w:type="dxa"/>
            <w:vAlign w:val="bottom"/>
          </w:tcPr>
          <w:p>
            <w:pPr>
              <w:spacing w:after="0"/>
              <w:rPr>
                <w:sz w:val="11"/>
                <w:szCs w:val="11"/>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1"/>
                <w:szCs w:val="11"/>
                <w:color w:val="auto"/>
                <w:w w:val="94"/>
              </w:rPr>
              <w:t>3(c)</w:t>
            </w:r>
          </w:p>
        </w:tc>
        <w:tc>
          <w:tcPr>
            <w:tcW w:w="1240" w:type="dxa"/>
            <w:vAlign w:val="bottom"/>
            <w:gridSpan w:val="2"/>
          </w:tcPr>
          <w:p>
            <w:pPr>
              <w:jc w:val="center"/>
              <w:ind w:right="100"/>
              <w:spacing w:after="0"/>
              <w:rPr>
                <w:sz w:val="20"/>
                <w:szCs w:val="20"/>
                <w:color w:val="auto"/>
              </w:rPr>
            </w:pPr>
            <w:r>
              <w:rPr>
                <w:rFonts w:ascii="Arial" w:cs="Arial" w:eastAsia="Arial" w:hAnsi="Arial"/>
                <w:sz w:val="11"/>
                <w:szCs w:val="11"/>
                <w:color w:val="auto"/>
              </w:rPr>
              <w:t>x</w:t>
            </w: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1840" w:type="dxa"/>
            <w:vAlign w:val="bottom"/>
            <w:gridSpan w:val="2"/>
          </w:tcPr>
          <w:p>
            <w:pPr>
              <w:ind w:left="20"/>
              <w:spacing w:after="0" w:line="119" w:lineRule="exact"/>
              <w:rPr>
                <w:sz w:val="20"/>
                <w:szCs w:val="20"/>
                <w:color w:val="auto"/>
              </w:rPr>
            </w:pPr>
            <w:r>
              <w:rPr>
                <w:rFonts w:ascii="Arial" w:cs="Arial" w:eastAsia="Arial" w:hAnsi="Arial"/>
                <w:sz w:val="11"/>
                <w:szCs w:val="11"/>
                <w:color w:val="auto"/>
              </w:rPr>
              <w:t>for the year ended December 31,</w:t>
            </w:r>
          </w:p>
        </w:tc>
        <w:tc>
          <w:tcPr>
            <w:tcW w:w="1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1720" w:type="dxa"/>
            <w:vAlign w:val="bottom"/>
          </w:tcPr>
          <w:p>
            <w:pPr>
              <w:ind w:left="20"/>
              <w:spacing w:after="0"/>
              <w:rPr>
                <w:sz w:val="20"/>
                <w:szCs w:val="20"/>
                <w:color w:val="auto"/>
              </w:rPr>
            </w:pPr>
            <w:r>
              <w:rPr>
                <w:rFonts w:ascii="Arial" w:cs="Arial" w:eastAsia="Arial" w:hAnsi="Arial"/>
                <w:sz w:val="11"/>
                <w:szCs w:val="11"/>
                <w:color w:val="auto"/>
              </w:rPr>
              <w:t>2011</w:t>
            </w: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1840" w:type="dxa"/>
            <w:vAlign w:val="bottom"/>
            <w:gridSpan w:val="2"/>
          </w:tcPr>
          <w:p>
            <w:pPr>
              <w:ind w:left="20"/>
              <w:spacing w:after="0"/>
              <w:rPr>
                <w:sz w:val="20"/>
                <w:szCs w:val="20"/>
                <w:color w:val="auto"/>
              </w:rPr>
            </w:pPr>
            <w:r>
              <w:rPr>
                <w:rFonts w:ascii="Arial" w:cs="Arial" w:eastAsia="Arial" w:hAnsi="Arial"/>
                <w:sz w:val="11"/>
                <w:szCs w:val="11"/>
                <w:color w:val="auto"/>
              </w:rPr>
              <w:t>CenterPoint Energy’s Form 8-K</w:t>
            </w:r>
          </w:p>
        </w:tc>
        <w:tc>
          <w:tcPr>
            <w:tcW w:w="1160" w:type="dxa"/>
            <w:vAlign w:val="bottom"/>
          </w:tcPr>
          <w:p>
            <w:pPr>
              <w:jc w:val="center"/>
              <w:spacing w:after="0"/>
              <w:rPr>
                <w:sz w:val="20"/>
                <w:szCs w:val="20"/>
                <w:color w:val="auto"/>
              </w:rPr>
            </w:pPr>
            <w:r>
              <w:rPr>
                <w:rFonts w:ascii="Arial" w:cs="Arial" w:eastAsia="Arial" w:hAnsi="Arial"/>
                <w:sz w:val="11"/>
                <w:szCs w:val="11"/>
                <w:color w:val="auto"/>
                <w:w w:val="94"/>
              </w:rPr>
              <w:t>1-31447</w:t>
            </w:r>
          </w:p>
        </w:tc>
        <w:tc>
          <w:tcPr>
            <w:tcW w:w="120" w:type="dxa"/>
            <w:vAlign w:val="bottom"/>
          </w:tcPr>
          <w:p>
            <w:pPr>
              <w:spacing w:after="0"/>
              <w:rPr>
                <w:sz w:val="11"/>
                <w:szCs w:val="11"/>
                <w:color w:val="auto"/>
              </w:rPr>
            </w:pPr>
          </w:p>
        </w:tc>
        <w:tc>
          <w:tcPr>
            <w:tcW w:w="900" w:type="dxa"/>
            <w:vAlign w:val="bottom"/>
          </w:tcPr>
          <w:p>
            <w:pPr>
              <w:jc w:val="center"/>
              <w:spacing w:after="0"/>
              <w:rPr>
                <w:sz w:val="20"/>
                <w:szCs w:val="20"/>
                <w:color w:val="auto"/>
              </w:rPr>
            </w:pPr>
            <w:r>
              <w:rPr>
                <w:rFonts w:ascii="Arial" w:cs="Arial" w:eastAsia="Arial" w:hAnsi="Arial"/>
                <w:sz w:val="11"/>
                <w:szCs w:val="11"/>
                <w:color w:val="auto"/>
                <w:w w:val="91"/>
              </w:rPr>
              <w:t>3.1</w:t>
            </w:r>
          </w:p>
        </w:tc>
        <w:tc>
          <w:tcPr>
            <w:tcW w:w="120" w:type="dxa"/>
            <w:vAlign w:val="bottom"/>
          </w:tcPr>
          <w:p>
            <w:pPr>
              <w:spacing w:after="0"/>
              <w:rPr>
                <w:sz w:val="11"/>
                <w:szCs w:val="11"/>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1"/>
                <w:szCs w:val="11"/>
                <w:color w:val="auto"/>
              </w:rPr>
              <w:t>x</w:t>
            </w: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1840" w:type="dxa"/>
            <w:vAlign w:val="bottom"/>
            <w:gridSpan w:val="2"/>
          </w:tcPr>
          <w:p>
            <w:pPr>
              <w:ind w:left="20"/>
              <w:spacing w:after="0"/>
              <w:rPr>
                <w:sz w:val="20"/>
                <w:szCs w:val="20"/>
                <w:color w:val="auto"/>
              </w:rPr>
            </w:pPr>
            <w:r>
              <w:rPr>
                <w:rFonts w:ascii="Arial" w:cs="Arial" w:eastAsia="Arial" w:hAnsi="Arial"/>
                <w:sz w:val="11"/>
                <w:szCs w:val="11"/>
                <w:color w:val="auto"/>
              </w:rPr>
              <w:t>dated August 22, 2018</w:t>
            </w: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2"/>
        </w:trPr>
        <w:tc>
          <w:tcPr>
            <w:tcW w:w="1840" w:type="dxa"/>
            <w:vAlign w:val="bottom"/>
            <w:gridSpan w:val="2"/>
          </w:tcPr>
          <w:p>
            <w:pPr>
              <w:ind w:left="20"/>
              <w:spacing w:after="0"/>
              <w:rPr>
                <w:sz w:val="20"/>
                <w:szCs w:val="20"/>
                <w:color w:val="auto"/>
              </w:rPr>
            </w:pPr>
            <w:r>
              <w:rPr>
                <w:rFonts w:ascii="Arial" w:cs="Arial" w:eastAsia="Arial" w:hAnsi="Arial"/>
                <w:sz w:val="11"/>
                <w:szCs w:val="11"/>
                <w:color w:val="auto"/>
              </w:rPr>
              <w:t>CenterPoint Energy’s Form 8-K</w:t>
            </w:r>
          </w:p>
        </w:tc>
        <w:tc>
          <w:tcPr>
            <w:tcW w:w="1160" w:type="dxa"/>
            <w:vAlign w:val="bottom"/>
          </w:tcPr>
          <w:p>
            <w:pPr>
              <w:jc w:val="center"/>
              <w:spacing w:after="0"/>
              <w:rPr>
                <w:sz w:val="20"/>
                <w:szCs w:val="20"/>
                <w:color w:val="auto"/>
              </w:rPr>
            </w:pPr>
            <w:r>
              <w:rPr>
                <w:rFonts w:ascii="Arial" w:cs="Arial" w:eastAsia="Arial" w:hAnsi="Arial"/>
                <w:sz w:val="11"/>
                <w:szCs w:val="11"/>
                <w:color w:val="auto"/>
                <w:w w:val="94"/>
              </w:rPr>
              <w:t>1-31447</w:t>
            </w:r>
          </w:p>
        </w:tc>
        <w:tc>
          <w:tcPr>
            <w:tcW w:w="12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1"/>
                <w:szCs w:val="11"/>
                <w:color w:val="auto"/>
                <w:w w:val="91"/>
              </w:rPr>
              <w:t>3.1</w:t>
            </w:r>
          </w:p>
        </w:tc>
        <w:tc>
          <w:tcPr>
            <w:tcW w:w="120" w:type="dxa"/>
            <w:vAlign w:val="bottom"/>
          </w:tcPr>
          <w:p>
            <w:pPr>
              <w:spacing w:after="0"/>
              <w:rPr>
                <w:sz w:val="21"/>
                <w:szCs w:val="21"/>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1"/>
                <w:szCs w:val="11"/>
                <w:color w:val="auto"/>
              </w:rPr>
              <w:t>x</w:t>
            </w: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6"/>
        </w:trPr>
        <w:tc>
          <w:tcPr>
            <w:tcW w:w="1840" w:type="dxa"/>
            <w:vAlign w:val="bottom"/>
            <w:gridSpan w:val="2"/>
          </w:tcPr>
          <w:p>
            <w:pPr>
              <w:ind w:left="20"/>
              <w:spacing w:after="0"/>
              <w:rPr>
                <w:sz w:val="20"/>
                <w:szCs w:val="20"/>
                <w:color w:val="auto"/>
              </w:rPr>
            </w:pPr>
            <w:r>
              <w:rPr>
                <w:rFonts w:ascii="Arial" w:cs="Arial" w:eastAsia="Arial" w:hAnsi="Arial"/>
                <w:sz w:val="11"/>
                <w:szCs w:val="11"/>
                <w:color w:val="auto"/>
              </w:rPr>
              <w:t>dated September 25, 2018</w:t>
            </w: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2"/>
        </w:trPr>
        <w:tc>
          <w:tcPr>
            <w:tcW w:w="1840" w:type="dxa"/>
            <w:vAlign w:val="bottom"/>
            <w:gridSpan w:val="2"/>
          </w:tcPr>
          <w:p>
            <w:pPr>
              <w:ind w:left="20"/>
              <w:spacing w:after="0"/>
              <w:rPr>
                <w:sz w:val="20"/>
                <w:szCs w:val="20"/>
                <w:color w:val="auto"/>
              </w:rPr>
            </w:pPr>
            <w:r>
              <w:rPr>
                <w:rFonts w:ascii="Arial" w:cs="Arial" w:eastAsia="Arial" w:hAnsi="Arial"/>
                <w:sz w:val="11"/>
                <w:szCs w:val="11"/>
                <w:color w:val="auto"/>
              </w:rPr>
              <w:t>CenterPoint Energy’s Registration</w:t>
            </w:r>
          </w:p>
        </w:tc>
        <w:tc>
          <w:tcPr>
            <w:tcW w:w="1160" w:type="dxa"/>
            <w:vAlign w:val="bottom"/>
          </w:tcPr>
          <w:p>
            <w:pPr>
              <w:jc w:val="center"/>
              <w:spacing w:after="0"/>
              <w:rPr>
                <w:sz w:val="20"/>
                <w:szCs w:val="20"/>
                <w:color w:val="auto"/>
              </w:rPr>
            </w:pPr>
            <w:r>
              <w:rPr>
                <w:rFonts w:ascii="Arial" w:cs="Arial" w:eastAsia="Arial" w:hAnsi="Arial"/>
                <w:sz w:val="11"/>
                <w:szCs w:val="11"/>
                <w:color w:val="auto"/>
                <w:w w:val="94"/>
              </w:rPr>
              <w:t>3-69502</w:t>
            </w:r>
          </w:p>
        </w:tc>
        <w:tc>
          <w:tcPr>
            <w:tcW w:w="12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1"/>
                <w:szCs w:val="11"/>
                <w:color w:val="auto"/>
                <w:w w:val="91"/>
              </w:rPr>
              <w:t>4.1</w:t>
            </w:r>
          </w:p>
        </w:tc>
        <w:tc>
          <w:tcPr>
            <w:tcW w:w="120" w:type="dxa"/>
            <w:vAlign w:val="bottom"/>
          </w:tcPr>
          <w:p>
            <w:pPr>
              <w:spacing w:after="0"/>
              <w:rPr>
                <w:sz w:val="21"/>
                <w:szCs w:val="21"/>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1"/>
                <w:szCs w:val="11"/>
                <w:color w:val="auto"/>
              </w:rPr>
              <w:t>x</w:t>
            </w: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6"/>
        </w:trPr>
        <w:tc>
          <w:tcPr>
            <w:tcW w:w="1840" w:type="dxa"/>
            <w:vAlign w:val="bottom"/>
            <w:gridSpan w:val="2"/>
          </w:tcPr>
          <w:p>
            <w:pPr>
              <w:ind w:left="20"/>
              <w:spacing w:after="0"/>
              <w:rPr>
                <w:sz w:val="20"/>
                <w:szCs w:val="20"/>
                <w:color w:val="auto"/>
              </w:rPr>
            </w:pPr>
            <w:r>
              <w:rPr>
                <w:rFonts w:ascii="Arial" w:cs="Arial" w:eastAsia="Arial" w:hAnsi="Arial"/>
                <w:sz w:val="11"/>
                <w:szCs w:val="11"/>
                <w:color w:val="auto"/>
              </w:rPr>
              <w:t>Statement on Form S-4</w:t>
            </w: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1840" w:type="dxa"/>
            <w:vAlign w:val="bottom"/>
            <w:gridSpan w:val="2"/>
          </w:tcPr>
          <w:p>
            <w:pPr>
              <w:ind w:left="20"/>
              <w:spacing w:after="0"/>
              <w:rPr>
                <w:sz w:val="20"/>
                <w:szCs w:val="20"/>
                <w:color w:val="auto"/>
              </w:rPr>
            </w:pPr>
            <w:r>
              <w:rPr>
                <w:rFonts w:ascii="Arial" w:cs="Arial" w:eastAsia="Arial" w:hAnsi="Arial"/>
                <w:sz w:val="11"/>
                <w:szCs w:val="11"/>
                <w:color w:val="auto"/>
              </w:rPr>
              <w:t>CenterPoint Energy’s Form 8-K</w:t>
            </w:r>
          </w:p>
        </w:tc>
        <w:tc>
          <w:tcPr>
            <w:tcW w:w="1160" w:type="dxa"/>
            <w:vAlign w:val="bottom"/>
          </w:tcPr>
          <w:p>
            <w:pPr>
              <w:jc w:val="center"/>
              <w:spacing w:after="0"/>
              <w:rPr>
                <w:sz w:val="20"/>
                <w:szCs w:val="20"/>
                <w:color w:val="auto"/>
              </w:rPr>
            </w:pPr>
            <w:r>
              <w:rPr>
                <w:rFonts w:ascii="Arial" w:cs="Arial" w:eastAsia="Arial" w:hAnsi="Arial"/>
                <w:sz w:val="11"/>
                <w:szCs w:val="11"/>
                <w:color w:val="auto"/>
                <w:w w:val="94"/>
              </w:rPr>
              <w:t>1-31447</w:t>
            </w:r>
          </w:p>
        </w:tc>
        <w:tc>
          <w:tcPr>
            <w:tcW w:w="120" w:type="dxa"/>
            <w:vAlign w:val="bottom"/>
          </w:tcPr>
          <w:p>
            <w:pPr>
              <w:spacing w:after="0"/>
              <w:rPr>
                <w:sz w:val="11"/>
                <w:szCs w:val="11"/>
                <w:color w:val="auto"/>
              </w:rPr>
            </w:pPr>
          </w:p>
        </w:tc>
        <w:tc>
          <w:tcPr>
            <w:tcW w:w="900" w:type="dxa"/>
            <w:vAlign w:val="bottom"/>
          </w:tcPr>
          <w:p>
            <w:pPr>
              <w:jc w:val="center"/>
              <w:spacing w:after="0"/>
              <w:rPr>
                <w:sz w:val="20"/>
                <w:szCs w:val="20"/>
                <w:color w:val="auto"/>
              </w:rPr>
            </w:pPr>
            <w:r>
              <w:rPr>
                <w:rFonts w:ascii="Arial" w:cs="Arial" w:eastAsia="Arial" w:hAnsi="Arial"/>
                <w:sz w:val="11"/>
                <w:szCs w:val="11"/>
                <w:color w:val="auto"/>
                <w:w w:val="91"/>
              </w:rPr>
              <w:t>4.1</w:t>
            </w:r>
          </w:p>
        </w:tc>
        <w:tc>
          <w:tcPr>
            <w:tcW w:w="120" w:type="dxa"/>
            <w:vAlign w:val="bottom"/>
          </w:tcPr>
          <w:p>
            <w:pPr>
              <w:spacing w:after="0"/>
              <w:rPr>
                <w:sz w:val="11"/>
                <w:szCs w:val="11"/>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1"/>
                <w:szCs w:val="11"/>
                <w:color w:val="auto"/>
              </w:rPr>
              <w:t>x</w:t>
            </w: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1840" w:type="dxa"/>
            <w:vAlign w:val="bottom"/>
            <w:gridSpan w:val="2"/>
          </w:tcPr>
          <w:p>
            <w:pPr>
              <w:ind w:left="20"/>
              <w:spacing w:after="0"/>
              <w:rPr>
                <w:sz w:val="20"/>
                <w:szCs w:val="20"/>
                <w:color w:val="auto"/>
              </w:rPr>
            </w:pPr>
            <w:r>
              <w:rPr>
                <w:rFonts w:ascii="Arial" w:cs="Arial" w:eastAsia="Arial" w:hAnsi="Arial"/>
                <w:sz w:val="11"/>
                <w:szCs w:val="11"/>
                <w:color w:val="auto"/>
              </w:rPr>
              <w:t>dated August 22, 2018</w:t>
            </w: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2"/>
        </w:trPr>
        <w:tc>
          <w:tcPr>
            <w:tcW w:w="1840" w:type="dxa"/>
            <w:vAlign w:val="bottom"/>
            <w:gridSpan w:val="2"/>
          </w:tcPr>
          <w:p>
            <w:pPr>
              <w:ind w:left="20"/>
              <w:spacing w:after="0"/>
              <w:rPr>
                <w:sz w:val="20"/>
                <w:szCs w:val="20"/>
                <w:color w:val="auto"/>
              </w:rPr>
            </w:pPr>
            <w:r>
              <w:rPr>
                <w:rFonts w:ascii="Arial" w:cs="Arial" w:eastAsia="Arial" w:hAnsi="Arial"/>
                <w:sz w:val="11"/>
                <w:szCs w:val="11"/>
                <w:color w:val="auto"/>
              </w:rPr>
              <w:t>CenterPoint Energy’s Form 8-K</w:t>
            </w:r>
          </w:p>
        </w:tc>
        <w:tc>
          <w:tcPr>
            <w:tcW w:w="1160" w:type="dxa"/>
            <w:vAlign w:val="bottom"/>
          </w:tcPr>
          <w:p>
            <w:pPr>
              <w:jc w:val="center"/>
              <w:spacing w:after="0"/>
              <w:rPr>
                <w:sz w:val="20"/>
                <w:szCs w:val="20"/>
                <w:color w:val="auto"/>
              </w:rPr>
            </w:pPr>
            <w:r>
              <w:rPr>
                <w:rFonts w:ascii="Arial" w:cs="Arial" w:eastAsia="Arial" w:hAnsi="Arial"/>
                <w:sz w:val="11"/>
                <w:szCs w:val="11"/>
                <w:color w:val="auto"/>
                <w:w w:val="94"/>
              </w:rPr>
              <w:t>1-31447</w:t>
            </w:r>
          </w:p>
        </w:tc>
        <w:tc>
          <w:tcPr>
            <w:tcW w:w="12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1"/>
                <w:szCs w:val="11"/>
                <w:color w:val="auto"/>
                <w:w w:val="91"/>
              </w:rPr>
              <w:t>4.1</w:t>
            </w:r>
          </w:p>
        </w:tc>
        <w:tc>
          <w:tcPr>
            <w:tcW w:w="120" w:type="dxa"/>
            <w:vAlign w:val="bottom"/>
          </w:tcPr>
          <w:p>
            <w:pPr>
              <w:spacing w:after="0"/>
              <w:rPr>
                <w:sz w:val="21"/>
                <w:szCs w:val="21"/>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1"/>
                <w:szCs w:val="11"/>
                <w:color w:val="auto"/>
              </w:rPr>
              <w:t>x</w:t>
            </w: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6"/>
        </w:trPr>
        <w:tc>
          <w:tcPr>
            <w:tcW w:w="1840" w:type="dxa"/>
            <w:vAlign w:val="bottom"/>
            <w:gridSpan w:val="2"/>
          </w:tcPr>
          <w:p>
            <w:pPr>
              <w:ind w:left="20"/>
              <w:spacing w:after="0"/>
              <w:rPr>
                <w:sz w:val="20"/>
                <w:szCs w:val="20"/>
                <w:color w:val="auto"/>
              </w:rPr>
            </w:pPr>
            <w:r>
              <w:rPr>
                <w:rFonts w:ascii="Arial" w:cs="Arial" w:eastAsia="Arial" w:hAnsi="Arial"/>
                <w:sz w:val="11"/>
                <w:szCs w:val="11"/>
                <w:color w:val="auto"/>
              </w:rPr>
              <w:t>dated September 25, 2018</w:t>
            </w: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2"/>
        </w:trPr>
        <w:tc>
          <w:tcPr>
            <w:tcW w:w="1840" w:type="dxa"/>
            <w:vAlign w:val="bottom"/>
            <w:gridSpan w:val="2"/>
          </w:tcPr>
          <w:p>
            <w:pPr>
              <w:ind w:left="20"/>
              <w:spacing w:after="0"/>
              <w:rPr>
                <w:sz w:val="20"/>
                <w:szCs w:val="20"/>
                <w:color w:val="auto"/>
              </w:rPr>
            </w:pPr>
            <w:r>
              <w:rPr>
                <w:rFonts w:ascii="Arial" w:cs="Arial" w:eastAsia="Arial" w:hAnsi="Arial"/>
                <w:sz w:val="11"/>
                <w:szCs w:val="11"/>
                <w:color w:val="auto"/>
              </w:rPr>
              <w:t>CenterPoint Energy’s Form 8-K</w:t>
            </w:r>
          </w:p>
        </w:tc>
        <w:tc>
          <w:tcPr>
            <w:tcW w:w="1160" w:type="dxa"/>
            <w:vAlign w:val="bottom"/>
          </w:tcPr>
          <w:p>
            <w:pPr>
              <w:jc w:val="center"/>
              <w:spacing w:after="0"/>
              <w:rPr>
                <w:sz w:val="20"/>
                <w:szCs w:val="20"/>
                <w:color w:val="auto"/>
              </w:rPr>
            </w:pPr>
            <w:r>
              <w:rPr>
                <w:rFonts w:ascii="Arial" w:cs="Arial" w:eastAsia="Arial" w:hAnsi="Arial"/>
                <w:sz w:val="11"/>
                <w:szCs w:val="11"/>
                <w:color w:val="auto"/>
                <w:w w:val="94"/>
              </w:rPr>
              <w:t>1-31447</w:t>
            </w:r>
          </w:p>
        </w:tc>
        <w:tc>
          <w:tcPr>
            <w:tcW w:w="12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1"/>
                <w:szCs w:val="11"/>
                <w:color w:val="auto"/>
                <w:w w:val="91"/>
              </w:rPr>
              <w:t>4.2</w:t>
            </w:r>
          </w:p>
        </w:tc>
        <w:tc>
          <w:tcPr>
            <w:tcW w:w="120" w:type="dxa"/>
            <w:vAlign w:val="bottom"/>
          </w:tcPr>
          <w:p>
            <w:pPr>
              <w:spacing w:after="0"/>
              <w:rPr>
                <w:sz w:val="21"/>
                <w:szCs w:val="21"/>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1"/>
                <w:szCs w:val="11"/>
                <w:color w:val="auto"/>
              </w:rPr>
              <w:t>x</w:t>
            </w: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6"/>
        </w:trPr>
        <w:tc>
          <w:tcPr>
            <w:tcW w:w="1840" w:type="dxa"/>
            <w:vAlign w:val="bottom"/>
            <w:gridSpan w:val="2"/>
          </w:tcPr>
          <w:p>
            <w:pPr>
              <w:ind w:left="20"/>
              <w:spacing w:after="0"/>
              <w:rPr>
                <w:sz w:val="20"/>
                <w:szCs w:val="20"/>
                <w:color w:val="auto"/>
              </w:rPr>
            </w:pPr>
            <w:r>
              <w:rPr>
                <w:rFonts w:ascii="Arial" w:cs="Arial" w:eastAsia="Arial" w:hAnsi="Arial"/>
                <w:sz w:val="11"/>
                <w:szCs w:val="11"/>
                <w:color w:val="auto"/>
              </w:rPr>
              <w:t>dated September 25, 2018</w:t>
            </w: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71"/>
        </w:trPr>
        <w:tc>
          <w:tcPr>
            <w:tcW w:w="1840" w:type="dxa"/>
            <w:vAlign w:val="bottom"/>
            <w:gridSpan w:val="2"/>
          </w:tcPr>
          <w:p>
            <w:pPr>
              <w:ind w:left="20"/>
              <w:spacing w:after="0"/>
              <w:rPr>
                <w:sz w:val="20"/>
                <w:szCs w:val="20"/>
                <w:color w:val="auto"/>
              </w:rPr>
            </w:pPr>
            <w:r>
              <w:rPr>
                <w:rFonts w:ascii="Arial" w:cs="Arial" w:eastAsia="Arial" w:hAnsi="Arial"/>
                <w:sz w:val="11"/>
                <w:szCs w:val="11"/>
                <w:color w:val="auto"/>
              </w:rPr>
              <w:t>CenterPoint Energy’s Form 8-K</w:t>
            </w:r>
          </w:p>
        </w:tc>
        <w:tc>
          <w:tcPr>
            <w:tcW w:w="1160" w:type="dxa"/>
            <w:vAlign w:val="bottom"/>
          </w:tcPr>
          <w:p>
            <w:pPr>
              <w:jc w:val="center"/>
              <w:spacing w:after="0"/>
              <w:rPr>
                <w:sz w:val="20"/>
                <w:szCs w:val="20"/>
                <w:color w:val="auto"/>
              </w:rPr>
            </w:pPr>
            <w:r>
              <w:rPr>
                <w:rFonts w:ascii="Arial" w:cs="Arial" w:eastAsia="Arial" w:hAnsi="Arial"/>
                <w:sz w:val="11"/>
                <w:szCs w:val="11"/>
                <w:color w:val="auto"/>
                <w:w w:val="94"/>
              </w:rPr>
              <w:t>1-31447</w:t>
            </w:r>
          </w:p>
        </w:tc>
        <w:tc>
          <w:tcPr>
            <w:tcW w:w="1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1"/>
                <w:szCs w:val="11"/>
                <w:color w:val="auto"/>
                <w:w w:val="91"/>
              </w:rPr>
              <w:t>4.3</w:t>
            </w:r>
          </w:p>
        </w:tc>
        <w:tc>
          <w:tcPr>
            <w:tcW w:w="120" w:type="dxa"/>
            <w:vAlign w:val="bottom"/>
          </w:tcPr>
          <w:p>
            <w:pPr>
              <w:spacing w:after="0"/>
              <w:rPr>
                <w:sz w:val="24"/>
                <w:szCs w:val="2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1"/>
                <w:szCs w:val="11"/>
                <w:color w:val="auto"/>
              </w:rPr>
              <w:t>x</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1840" w:type="dxa"/>
            <w:vAlign w:val="bottom"/>
            <w:gridSpan w:val="2"/>
          </w:tcPr>
          <w:p>
            <w:pPr>
              <w:ind w:left="20"/>
              <w:spacing w:after="0"/>
              <w:rPr>
                <w:sz w:val="20"/>
                <w:szCs w:val="20"/>
                <w:color w:val="auto"/>
              </w:rPr>
            </w:pPr>
            <w:r>
              <w:rPr>
                <w:rFonts w:ascii="Arial" w:cs="Arial" w:eastAsia="Arial" w:hAnsi="Arial"/>
                <w:sz w:val="11"/>
                <w:szCs w:val="11"/>
                <w:color w:val="auto"/>
              </w:rPr>
              <w:t>dated September 25, 2018</w:t>
            </w: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1840" w:type="dxa"/>
            <w:vAlign w:val="bottom"/>
            <w:gridSpan w:val="2"/>
          </w:tcPr>
          <w:p>
            <w:pPr>
              <w:ind w:left="20"/>
              <w:spacing w:after="0"/>
              <w:rPr>
                <w:sz w:val="20"/>
                <w:szCs w:val="20"/>
                <w:color w:val="auto"/>
              </w:rPr>
            </w:pPr>
            <w:r>
              <w:rPr>
                <w:rFonts w:ascii="Arial" w:cs="Arial" w:eastAsia="Arial" w:hAnsi="Arial"/>
                <w:sz w:val="11"/>
                <w:szCs w:val="11"/>
                <w:color w:val="auto"/>
              </w:rPr>
              <w:t>CenterPoint Energy’s Form 8-K</w:t>
            </w:r>
          </w:p>
        </w:tc>
        <w:tc>
          <w:tcPr>
            <w:tcW w:w="1160" w:type="dxa"/>
            <w:vAlign w:val="bottom"/>
          </w:tcPr>
          <w:p>
            <w:pPr>
              <w:jc w:val="center"/>
              <w:spacing w:after="0"/>
              <w:rPr>
                <w:sz w:val="20"/>
                <w:szCs w:val="20"/>
                <w:color w:val="auto"/>
              </w:rPr>
            </w:pPr>
            <w:r>
              <w:rPr>
                <w:rFonts w:ascii="Arial" w:cs="Arial" w:eastAsia="Arial" w:hAnsi="Arial"/>
                <w:sz w:val="11"/>
                <w:szCs w:val="11"/>
                <w:color w:val="auto"/>
                <w:w w:val="94"/>
              </w:rPr>
              <w:t>1-31447</w:t>
            </w:r>
          </w:p>
        </w:tc>
        <w:tc>
          <w:tcPr>
            <w:tcW w:w="120" w:type="dxa"/>
            <w:vAlign w:val="bottom"/>
          </w:tcPr>
          <w:p>
            <w:pPr>
              <w:spacing w:after="0"/>
              <w:rPr>
                <w:sz w:val="11"/>
                <w:szCs w:val="11"/>
                <w:color w:val="auto"/>
              </w:rPr>
            </w:pPr>
          </w:p>
        </w:tc>
        <w:tc>
          <w:tcPr>
            <w:tcW w:w="900" w:type="dxa"/>
            <w:vAlign w:val="bottom"/>
          </w:tcPr>
          <w:p>
            <w:pPr>
              <w:jc w:val="center"/>
              <w:spacing w:after="0"/>
              <w:rPr>
                <w:sz w:val="20"/>
                <w:szCs w:val="20"/>
                <w:color w:val="auto"/>
              </w:rPr>
            </w:pPr>
            <w:r>
              <w:rPr>
                <w:rFonts w:ascii="Arial" w:cs="Arial" w:eastAsia="Arial" w:hAnsi="Arial"/>
                <w:sz w:val="11"/>
                <w:szCs w:val="11"/>
                <w:color w:val="auto"/>
                <w:w w:val="91"/>
              </w:rPr>
              <w:t>4.1</w:t>
            </w:r>
          </w:p>
        </w:tc>
        <w:tc>
          <w:tcPr>
            <w:tcW w:w="120" w:type="dxa"/>
            <w:vAlign w:val="bottom"/>
          </w:tcPr>
          <w:p>
            <w:pPr>
              <w:spacing w:after="0"/>
              <w:rPr>
                <w:sz w:val="11"/>
                <w:szCs w:val="11"/>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1"/>
                <w:szCs w:val="11"/>
                <w:color w:val="auto"/>
              </w:rPr>
              <w:t>x</w:t>
            </w: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1840" w:type="dxa"/>
            <w:vAlign w:val="bottom"/>
            <w:gridSpan w:val="2"/>
          </w:tcPr>
          <w:p>
            <w:pPr>
              <w:ind w:left="20"/>
              <w:spacing w:after="0"/>
              <w:rPr>
                <w:sz w:val="20"/>
                <w:szCs w:val="20"/>
                <w:color w:val="auto"/>
              </w:rPr>
            </w:pPr>
            <w:r>
              <w:rPr>
                <w:rFonts w:ascii="Arial" w:cs="Arial" w:eastAsia="Arial" w:hAnsi="Arial"/>
                <w:sz w:val="11"/>
                <w:szCs w:val="11"/>
                <w:color w:val="auto"/>
              </w:rPr>
              <w:t>dated March 3, 2016</w:t>
            </w: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2"/>
        </w:trPr>
        <w:tc>
          <w:tcPr>
            <w:tcW w:w="1840" w:type="dxa"/>
            <w:vAlign w:val="bottom"/>
            <w:gridSpan w:val="2"/>
          </w:tcPr>
          <w:p>
            <w:pPr>
              <w:ind w:left="20"/>
              <w:spacing w:after="0"/>
              <w:rPr>
                <w:sz w:val="20"/>
                <w:szCs w:val="20"/>
                <w:color w:val="auto"/>
              </w:rPr>
            </w:pPr>
            <w:r>
              <w:rPr>
                <w:rFonts w:ascii="Arial" w:cs="Arial" w:eastAsia="Arial" w:hAnsi="Arial"/>
                <w:sz w:val="11"/>
                <w:szCs w:val="11"/>
                <w:color w:val="auto"/>
              </w:rPr>
              <w:t>CenterPoint Energy’s Form 8-K</w:t>
            </w:r>
          </w:p>
        </w:tc>
        <w:tc>
          <w:tcPr>
            <w:tcW w:w="1160" w:type="dxa"/>
            <w:vAlign w:val="bottom"/>
          </w:tcPr>
          <w:p>
            <w:pPr>
              <w:jc w:val="center"/>
              <w:spacing w:after="0"/>
              <w:rPr>
                <w:sz w:val="20"/>
                <w:szCs w:val="20"/>
                <w:color w:val="auto"/>
              </w:rPr>
            </w:pPr>
            <w:r>
              <w:rPr>
                <w:rFonts w:ascii="Arial" w:cs="Arial" w:eastAsia="Arial" w:hAnsi="Arial"/>
                <w:sz w:val="11"/>
                <w:szCs w:val="11"/>
                <w:color w:val="auto"/>
                <w:w w:val="94"/>
              </w:rPr>
              <w:t>1-31447</w:t>
            </w:r>
          </w:p>
        </w:tc>
        <w:tc>
          <w:tcPr>
            <w:tcW w:w="12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1"/>
                <w:szCs w:val="11"/>
                <w:color w:val="auto"/>
                <w:w w:val="91"/>
              </w:rPr>
              <w:t>4.2</w:t>
            </w:r>
          </w:p>
        </w:tc>
        <w:tc>
          <w:tcPr>
            <w:tcW w:w="120" w:type="dxa"/>
            <w:vAlign w:val="bottom"/>
          </w:tcPr>
          <w:p>
            <w:pPr>
              <w:spacing w:after="0"/>
              <w:rPr>
                <w:sz w:val="21"/>
                <w:szCs w:val="21"/>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1"/>
                <w:szCs w:val="11"/>
                <w:color w:val="auto"/>
              </w:rPr>
              <w:t>x</w:t>
            </w:r>
          </w:p>
        </w:tc>
        <w:tc>
          <w:tcPr>
            <w:tcW w:w="1140" w:type="dxa"/>
            <w:vAlign w:val="bottom"/>
            <w:gridSpan w:val="2"/>
          </w:tcPr>
          <w:p>
            <w:pPr>
              <w:jc w:val="center"/>
              <w:ind w:right="120"/>
              <w:spacing w:after="0"/>
              <w:rPr>
                <w:sz w:val="20"/>
                <w:szCs w:val="20"/>
                <w:color w:val="auto"/>
              </w:rPr>
            </w:pPr>
            <w:r>
              <w:rPr>
                <w:rFonts w:ascii="Arial" w:cs="Arial" w:eastAsia="Arial" w:hAnsi="Arial"/>
                <w:sz w:val="11"/>
                <w:szCs w:val="11"/>
                <w:color w:val="auto"/>
              </w:rPr>
              <w:t>x</w:t>
            </w: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6"/>
        </w:trPr>
        <w:tc>
          <w:tcPr>
            <w:tcW w:w="1840" w:type="dxa"/>
            <w:vAlign w:val="bottom"/>
            <w:gridSpan w:val="2"/>
          </w:tcPr>
          <w:p>
            <w:pPr>
              <w:ind w:left="20"/>
              <w:spacing w:after="0"/>
              <w:rPr>
                <w:sz w:val="20"/>
                <w:szCs w:val="20"/>
                <w:color w:val="auto"/>
              </w:rPr>
            </w:pPr>
            <w:r>
              <w:rPr>
                <w:rFonts w:ascii="Arial" w:cs="Arial" w:eastAsia="Arial" w:hAnsi="Arial"/>
                <w:sz w:val="11"/>
                <w:szCs w:val="11"/>
                <w:color w:val="auto"/>
              </w:rPr>
              <w:t>dated March 3, 2016</w:t>
            </w: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2"/>
        </w:trPr>
        <w:tc>
          <w:tcPr>
            <w:tcW w:w="1840" w:type="dxa"/>
            <w:vAlign w:val="bottom"/>
            <w:gridSpan w:val="2"/>
          </w:tcPr>
          <w:p>
            <w:pPr>
              <w:ind w:left="20"/>
              <w:spacing w:after="0"/>
              <w:rPr>
                <w:sz w:val="20"/>
                <w:szCs w:val="20"/>
                <w:color w:val="auto"/>
              </w:rPr>
            </w:pPr>
            <w:r>
              <w:rPr>
                <w:rFonts w:ascii="Arial" w:cs="Arial" w:eastAsia="Arial" w:hAnsi="Arial"/>
                <w:sz w:val="11"/>
                <w:szCs w:val="11"/>
                <w:color w:val="auto"/>
              </w:rPr>
              <w:t>CenterPoint Energy’s Form 8-K</w:t>
            </w:r>
          </w:p>
        </w:tc>
        <w:tc>
          <w:tcPr>
            <w:tcW w:w="1160" w:type="dxa"/>
            <w:vAlign w:val="bottom"/>
          </w:tcPr>
          <w:p>
            <w:pPr>
              <w:jc w:val="center"/>
              <w:spacing w:after="0"/>
              <w:rPr>
                <w:sz w:val="20"/>
                <w:szCs w:val="20"/>
                <w:color w:val="auto"/>
              </w:rPr>
            </w:pPr>
            <w:r>
              <w:rPr>
                <w:rFonts w:ascii="Arial" w:cs="Arial" w:eastAsia="Arial" w:hAnsi="Arial"/>
                <w:sz w:val="11"/>
                <w:szCs w:val="11"/>
                <w:color w:val="auto"/>
                <w:w w:val="94"/>
              </w:rPr>
              <w:t>1-31447</w:t>
            </w:r>
          </w:p>
        </w:tc>
        <w:tc>
          <w:tcPr>
            <w:tcW w:w="12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1"/>
                <w:szCs w:val="11"/>
                <w:color w:val="auto"/>
                <w:w w:val="91"/>
              </w:rPr>
              <w:t>4.3</w:t>
            </w:r>
          </w:p>
        </w:tc>
        <w:tc>
          <w:tcPr>
            <w:tcW w:w="120" w:type="dxa"/>
            <w:vAlign w:val="bottom"/>
          </w:tcPr>
          <w:p>
            <w:pPr>
              <w:spacing w:after="0"/>
              <w:rPr>
                <w:sz w:val="21"/>
                <w:szCs w:val="21"/>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1"/>
                <w:szCs w:val="11"/>
                <w:color w:val="auto"/>
              </w:rPr>
              <w:t>x</w:t>
            </w: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jc w:val="center"/>
              <w:spacing w:after="0"/>
              <w:rPr>
                <w:sz w:val="20"/>
                <w:szCs w:val="20"/>
                <w:color w:val="auto"/>
              </w:rPr>
            </w:pPr>
            <w:r>
              <w:rPr>
                <w:rFonts w:ascii="Arial" w:cs="Arial" w:eastAsia="Arial" w:hAnsi="Arial"/>
                <w:sz w:val="11"/>
                <w:szCs w:val="11"/>
                <w:color w:val="auto"/>
              </w:rPr>
              <w:t>x</w:t>
            </w:r>
          </w:p>
        </w:tc>
        <w:tc>
          <w:tcPr>
            <w:tcW w:w="0" w:type="dxa"/>
            <w:vAlign w:val="bottom"/>
          </w:tcPr>
          <w:p>
            <w:pPr>
              <w:spacing w:after="0"/>
              <w:rPr>
                <w:sz w:val="1"/>
                <w:szCs w:val="1"/>
                <w:color w:val="auto"/>
              </w:rPr>
            </w:pPr>
          </w:p>
        </w:tc>
      </w:tr>
      <w:tr>
        <w:trPr>
          <w:trHeight w:val="146"/>
        </w:trPr>
        <w:tc>
          <w:tcPr>
            <w:tcW w:w="1840" w:type="dxa"/>
            <w:vAlign w:val="bottom"/>
            <w:gridSpan w:val="2"/>
          </w:tcPr>
          <w:p>
            <w:pPr>
              <w:ind w:left="20"/>
              <w:spacing w:after="0"/>
              <w:rPr>
                <w:sz w:val="20"/>
                <w:szCs w:val="20"/>
                <w:color w:val="auto"/>
              </w:rPr>
            </w:pPr>
            <w:r>
              <w:rPr>
                <w:rFonts w:ascii="Arial" w:cs="Arial" w:eastAsia="Arial" w:hAnsi="Arial"/>
                <w:sz w:val="11"/>
                <w:szCs w:val="11"/>
                <w:color w:val="auto"/>
              </w:rPr>
              <w:t>dated March 3, 2016</w:t>
            </w: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1840" w:type="dxa"/>
            <w:vAlign w:val="bottom"/>
            <w:gridSpan w:val="2"/>
          </w:tcPr>
          <w:p>
            <w:pPr>
              <w:ind w:left="20"/>
              <w:spacing w:after="0"/>
              <w:rPr>
                <w:sz w:val="20"/>
                <w:szCs w:val="20"/>
                <w:color w:val="auto"/>
              </w:rPr>
            </w:pPr>
            <w:r>
              <w:rPr>
                <w:rFonts w:ascii="Arial" w:cs="Arial" w:eastAsia="Arial" w:hAnsi="Arial"/>
                <w:sz w:val="11"/>
                <w:szCs w:val="11"/>
                <w:color w:val="auto"/>
              </w:rPr>
              <w:t>CenterPoint Energy’s Form 8-K</w:t>
            </w:r>
          </w:p>
        </w:tc>
        <w:tc>
          <w:tcPr>
            <w:tcW w:w="1160" w:type="dxa"/>
            <w:vAlign w:val="bottom"/>
          </w:tcPr>
          <w:p>
            <w:pPr>
              <w:jc w:val="center"/>
              <w:spacing w:after="0"/>
              <w:rPr>
                <w:sz w:val="20"/>
                <w:szCs w:val="20"/>
                <w:color w:val="auto"/>
              </w:rPr>
            </w:pPr>
            <w:r>
              <w:rPr>
                <w:rFonts w:ascii="Arial" w:cs="Arial" w:eastAsia="Arial" w:hAnsi="Arial"/>
                <w:sz w:val="11"/>
                <w:szCs w:val="11"/>
                <w:color w:val="auto"/>
                <w:w w:val="94"/>
              </w:rPr>
              <w:t>1-31447</w:t>
            </w:r>
          </w:p>
        </w:tc>
        <w:tc>
          <w:tcPr>
            <w:tcW w:w="120" w:type="dxa"/>
            <w:vAlign w:val="bottom"/>
          </w:tcPr>
          <w:p>
            <w:pPr>
              <w:spacing w:after="0"/>
              <w:rPr>
                <w:sz w:val="11"/>
                <w:szCs w:val="11"/>
                <w:color w:val="auto"/>
              </w:rPr>
            </w:pPr>
          </w:p>
        </w:tc>
        <w:tc>
          <w:tcPr>
            <w:tcW w:w="900" w:type="dxa"/>
            <w:vAlign w:val="bottom"/>
          </w:tcPr>
          <w:p>
            <w:pPr>
              <w:jc w:val="center"/>
              <w:spacing w:after="0"/>
              <w:rPr>
                <w:sz w:val="20"/>
                <w:szCs w:val="20"/>
                <w:color w:val="auto"/>
              </w:rPr>
            </w:pPr>
            <w:r>
              <w:rPr>
                <w:rFonts w:ascii="Arial" w:cs="Arial" w:eastAsia="Arial" w:hAnsi="Arial"/>
                <w:sz w:val="11"/>
                <w:szCs w:val="11"/>
                <w:color w:val="auto"/>
                <w:w w:val="91"/>
              </w:rPr>
              <w:t>4.1</w:t>
            </w:r>
          </w:p>
        </w:tc>
        <w:tc>
          <w:tcPr>
            <w:tcW w:w="120" w:type="dxa"/>
            <w:vAlign w:val="bottom"/>
          </w:tcPr>
          <w:p>
            <w:pPr>
              <w:spacing w:after="0"/>
              <w:rPr>
                <w:sz w:val="11"/>
                <w:szCs w:val="11"/>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1"/>
                <w:szCs w:val="11"/>
                <w:color w:val="auto"/>
              </w:rPr>
              <w:t>x</w:t>
            </w: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1840" w:type="dxa"/>
            <w:vAlign w:val="bottom"/>
            <w:gridSpan w:val="2"/>
          </w:tcPr>
          <w:p>
            <w:pPr>
              <w:ind w:left="20"/>
              <w:spacing w:after="0"/>
              <w:rPr>
                <w:sz w:val="20"/>
                <w:szCs w:val="20"/>
                <w:color w:val="auto"/>
              </w:rPr>
            </w:pPr>
            <w:r>
              <w:rPr>
                <w:rFonts w:ascii="Arial" w:cs="Arial" w:eastAsia="Arial" w:hAnsi="Arial"/>
                <w:sz w:val="11"/>
                <w:szCs w:val="11"/>
                <w:color w:val="auto"/>
              </w:rPr>
              <w:t>dated June 16, 2017</w:t>
            </w: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2"/>
        </w:trPr>
        <w:tc>
          <w:tcPr>
            <w:tcW w:w="1840" w:type="dxa"/>
            <w:vAlign w:val="bottom"/>
            <w:gridSpan w:val="2"/>
          </w:tcPr>
          <w:p>
            <w:pPr>
              <w:ind w:left="20"/>
              <w:spacing w:after="0"/>
              <w:rPr>
                <w:sz w:val="20"/>
                <w:szCs w:val="20"/>
                <w:color w:val="auto"/>
              </w:rPr>
            </w:pPr>
            <w:r>
              <w:rPr>
                <w:rFonts w:ascii="Arial" w:cs="Arial" w:eastAsia="Arial" w:hAnsi="Arial"/>
                <w:sz w:val="11"/>
                <w:szCs w:val="11"/>
                <w:color w:val="auto"/>
              </w:rPr>
              <w:t>CenterPoint Energy’s Form 8-K</w:t>
            </w:r>
          </w:p>
        </w:tc>
        <w:tc>
          <w:tcPr>
            <w:tcW w:w="1160" w:type="dxa"/>
            <w:vAlign w:val="bottom"/>
          </w:tcPr>
          <w:p>
            <w:pPr>
              <w:jc w:val="center"/>
              <w:spacing w:after="0"/>
              <w:rPr>
                <w:sz w:val="20"/>
                <w:szCs w:val="20"/>
                <w:color w:val="auto"/>
              </w:rPr>
            </w:pPr>
            <w:r>
              <w:rPr>
                <w:rFonts w:ascii="Arial" w:cs="Arial" w:eastAsia="Arial" w:hAnsi="Arial"/>
                <w:sz w:val="11"/>
                <w:szCs w:val="11"/>
                <w:color w:val="auto"/>
                <w:w w:val="94"/>
              </w:rPr>
              <w:t>1-31447</w:t>
            </w:r>
          </w:p>
        </w:tc>
        <w:tc>
          <w:tcPr>
            <w:tcW w:w="12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1"/>
                <w:szCs w:val="11"/>
                <w:color w:val="auto"/>
                <w:w w:val="91"/>
              </w:rPr>
              <w:t>4.1</w:t>
            </w:r>
          </w:p>
        </w:tc>
        <w:tc>
          <w:tcPr>
            <w:tcW w:w="120" w:type="dxa"/>
            <w:vAlign w:val="bottom"/>
          </w:tcPr>
          <w:p>
            <w:pPr>
              <w:spacing w:after="0"/>
              <w:rPr>
                <w:sz w:val="21"/>
                <w:szCs w:val="21"/>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1"/>
                <w:szCs w:val="11"/>
                <w:color w:val="auto"/>
              </w:rPr>
              <w:t>x</w:t>
            </w: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6"/>
        </w:trPr>
        <w:tc>
          <w:tcPr>
            <w:tcW w:w="1840" w:type="dxa"/>
            <w:vAlign w:val="bottom"/>
            <w:gridSpan w:val="2"/>
          </w:tcPr>
          <w:p>
            <w:pPr>
              <w:ind w:left="20"/>
              <w:spacing w:after="0"/>
              <w:rPr>
                <w:sz w:val="20"/>
                <w:szCs w:val="20"/>
                <w:color w:val="auto"/>
              </w:rPr>
            </w:pPr>
            <w:r>
              <w:rPr>
                <w:rFonts w:ascii="Arial" w:cs="Arial" w:eastAsia="Arial" w:hAnsi="Arial"/>
                <w:sz w:val="11"/>
                <w:szCs w:val="11"/>
                <w:color w:val="auto"/>
              </w:rPr>
              <w:t>dated May 25, 2018</w:t>
            </w: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2"/>
        </w:trPr>
        <w:tc>
          <w:tcPr>
            <w:tcW w:w="1840" w:type="dxa"/>
            <w:vAlign w:val="bottom"/>
            <w:gridSpan w:val="2"/>
          </w:tcPr>
          <w:p>
            <w:pPr>
              <w:ind w:left="20"/>
              <w:spacing w:after="0"/>
              <w:rPr>
                <w:sz w:val="20"/>
                <w:szCs w:val="20"/>
                <w:color w:val="auto"/>
              </w:rPr>
            </w:pPr>
            <w:r>
              <w:rPr>
                <w:rFonts w:ascii="Arial" w:cs="Arial" w:eastAsia="Arial" w:hAnsi="Arial"/>
                <w:sz w:val="11"/>
                <w:szCs w:val="11"/>
                <w:color w:val="auto"/>
              </w:rPr>
              <w:t>CenterPoint Energy’s Form 8-K</w:t>
            </w:r>
          </w:p>
        </w:tc>
        <w:tc>
          <w:tcPr>
            <w:tcW w:w="1160" w:type="dxa"/>
            <w:vAlign w:val="bottom"/>
          </w:tcPr>
          <w:p>
            <w:pPr>
              <w:jc w:val="center"/>
              <w:spacing w:after="0"/>
              <w:rPr>
                <w:sz w:val="20"/>
                <w:szCs w:val="20"/>
                <w:color w:val="auto"/>
              </w:rPr>
            </w:pPr>
            <w:r>
              <w:rPr>
                <w:rFonts w:ascii="Arial" w:cs="Arial" w:eastAsia="Arial" w:hAnsi="Arial"/>
                <w:sz w:val="11"/>
                <w:szCs w:val="11"/>
                <w:color w:val="auto"/>
                <w:w w:val="94"/>
              </w:rPr>
              <w:t>1-31447</w:t>
            </w:r>
          </w:p>
        </w:tc>
        <w:tc>
          <w:tcPr>
            <w:tcW w:w="12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1"/>
                <w:szCs w:val="11"/>
                <w:color w:val="auto"/>
                <w:w w:val="91"/>
              </w:rPr>
              <w:t>4.2</w:t>
            </w:r>
          </w:p>
        </w:tc>
        <w:tc>
          <w:tcPr>
            <w:tcW w:w="120" w:type="dxa"/>
            <w:vAlign w:val="bottom"/>
          </w:tcPr>
          <w:p>
            <w:pPr>
              <w:spacing w:after="0"/>
              <w:rPr>
                <w:sz w:val="21"/>
                <w:szCs w:val="21"/>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1"/>
                <w:szCs w:val="11"/>
                <w:color w:val="auto"/>
              </w:rPr>
              <w:t>x</w:t>
            </w:r>
          </w:p>
        </w:tc>
        <w:tc>
          <w:tcPr>
            <w:tcW w:w="1140" w:type="dxa"/>
            <w:vAlign w:val="bottom"/>
            <w:gridSpan w:val="2"/>
          </w:tcPr>
          <w:p>
            <w:pPr>
              <w:jc w:val="center"/>
              <w:ind w:right="120"/>
              <w:spacing w:after="0"/>
              <w:rPr>
                <w:sz w:val="20"/>
                <w:szCs w:val="20"/>
                <w:color w:val="auto"/>
              </w:rPr>
            </w:pPr>
            <w:r>
              <w:rPr>
                <w:rFonts w:ascii="Arial" w:cs="Arial" w:eastAsia="Arial" w:hAnsi="Arial"/>
                <w:sz w:val="11"/>
                <w:szCs w:val="11"/>
                <w:color w:val="auto"/>
              </w:rPr>
              <w:t>x</w:t>
            </w: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6"/>
        </w:trPr>
        <w:tc>
          <w:tcPr>
            <w:tcW w:w="1840" w:type="dxa"/>
            <w:vAlign w:val="bottom"/>
            <w:gridSpan w:val="2"/>
          </w:tcPr>
          <w:p>
            <w:pPr>
              <w:ind w:left="20"/>
              <w:spacing w:after="0"/>
              <w:rPr>
                <w:sz w:val="20"/>
                <w:szCs w:val="20"/>
                <w:color w:val="auto"/>
              </w:rPr>
            </w:pPr>
            <w:r>
              <w:rPr>
                <w:rFonts w:ascii="Arial" w:cs="Arial" w:eastAsia="Arial" w:hAnsi="Arial"/>
                <w:sz w:val="11"/>
                <w:szCs w:val="11"/>
                <w:color w:val="auto"/>
              </w:rPr>
              <w:t>dated June 16, 2017</w:t>
            </w: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311" w:lineRule="exact"/>
        <w:rPr>
          <w:sz w:val="20"/>
          <w:szCs w:val="20"/>
          <w:color w:val="auto"/>
        </w:rPr>
      </w:pPr>
    </w:p>
    <w:p>
      <w:pPr>
        <w:ind w:left="1740"/>
        <w:spacing w:after="0"/>
        <w:rPr>
          <w:sz w:val="20"/>
          <w:szCs w:val="20"/>
          <w:color w:val="auto"/>
        </w:rPr>
      </w:pPr>
      <w:r>
        <w:rPr>
          <w:rFonts w:ascii="Arial" w:cs="Arial" w:eastAsia="Arial" w:hAnsi="Arial"/>
          <w:sz w:val="14"/>
          <w:szCs w:val="14"/>
          <w:color w:val="auto"/>
        </w:rPr>
        <w:t>98</w:t>
      </w:r>
    </w:p>
    <w:p>
      <w:pPr>
        <w:sectPr>
          <w:pgSz w:w="11900" w:h="16838" w:orient="portrait"/>
          <w:cols w:equalWidth="0" w:num="2">
            <w:col w:w="3800" w:space="120"/>
            <w:col w:w="7540"/>
          </w:cols>
          <w:pgMar w:left="220" w:top="129" w:right="219" w:bottom="1440" w:gutter="0" w:footer="0" w:header="0"/>
          <w:type w:val="continuous"/>
        </w:sectPr>
      </w:pPr>
    </w:p>
    <w:bookmarkStart w:id="108" w:name="page109"/>
    <w:bookmarkEnd w:id="108"/>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820" w:type="dxa"/>
            <w:vAlign w:val="bottom"/>
            <w:gridSpan w:val="2"/>
            <w:vMerge w:val="restart"/>
          </w:tcPr>
          <w:p>
            <w:pPr>
              <w:jc w:val="center"/>
              <w:ind w:right="120"/>
              <w:spacing w:after="0"/>
              <w:rPr>
                <w:sz w:val="20"/>
                <w:szCs w:val="20"/>
                <w:color w:val="auto"/>
              </w:rPr>
            </w:pPr>
            <w:r>
              <w:rPr>
                <w:rFonts w:ascii="Arial" w:cs="Arial" w:eastAsia="Arial" w:hAnsi="Arial"/>
                <w:sz w:val="11"/>
                <w:szCs w:val="11"/>
                <w:b w:val="1"/>
                <w:bCs w:val="1"/>
                <w:color w:val="auto"/>
              </w:rPr>
              <w:t>Exhibit</w:t>
            </w:r>
          </w:p>
        </w:tc>
        <w:tc>
          <w:tcPr>
            <w:tcW w:w="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40" w:type="dxa"/>
            <w:vAlign w:val="bottom"/>
            <w:gridSpan w:val="2"/>
            <w:vMerge w:val="restart"/>
          </w:tcPr>
          <w:p>
            <w:pPr>
              <w:ind w:left="300"/>
              <w:spacing w:after="0"/>
              <w:rPr>
                <w:sz w:val="20"/>
                <w:szCs w:val="20"/>
                <w:color w:val="auto"/>
              </w:rPr>
            </w:pPr>
            <w:r>
              <w:rPr>
                <w:rFonts w:ascii="Arial" w:cs="Arial" w:eastAsia="Arial" w:hAnsi="Arial"/>
                <w:sz w:val="11"/>
                <w:szCs w:val="11"/>
                <w:b w:val="1"/>
                <w:bCs w:val="1"/>
                <w:color w:val="auto"/>
              </w:rPr>
              <w:t>Report or Registration</w:t>
            </w:r>
          </w:p>
        </w:tc>
        <w:tc>
          <w:tcPr>
            <w:tcW w:w="128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5"/>
              </w:rPr>
              <w:t>SEC File or</w:t>
            </w:r>
          </w:p>
        </w:tc>
        <w:tc>
          <w:tcPr>
            <w:tcW w:w="1020" w:type="dxa"/>
            <w:vAlign w:val="bottom"/>
            <w:gridSpan w:val="2"/>
            <w:vMerge w:val="restart"/>
          </w:tcPr>
          <w:p>
            <w:pPr>
              <w:jc w:val="center"/>
              <w:ind w:right="120"/>
              <w:spacing w:after="0"/>
              <w:rPr>
                <w:sz w:val="20"/>
                <w:szCs w:val="20"/>
                <w:color w:val="auto"/>
              </w:rPr>
            </w:pPr>
            <w:r>
              <w:rPr>
                <w:rFonts w:ascii="Arial" w:cs="Arial" w:eastAsia="Arial" w:hAnsi="Arial"/>
                <w:sz w:val="11"/>
                <w:szCs w:val="11"/>
                <w:b w:val="1"/>
                <w:bCs w:val="1"/>
                <w:color w:val="auto"/>
              </w:rPr>
              <w:t>Exhibit</w:t>
            </w: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82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80" w:type="dxa"/>
            <w:vAlign w:val="bottom"/>
            <w:gridSpan w:val="16"/>
            <w:vMerge w:val="restart"/>
          </w:tcPr>
          <w:p>
            <w:pPr>
              <w:ind w:left="60"/>
              <w:spacing w:after="0"/>
              <w:rPr>
                <w:sz w:val="20"/>
                <w:szCs w:val="20"/>
                <w:color w:val="auto"/>
              </w:rPr>
            </w:pPr>
            <w:r>
              <w:rPr>
                <w:rFonts w:ascii="Arial" w:cs="Arial" w:eastAsia="Arial" w:hAnsi="Arial"/>
                <w:sz w:val="11"/>
                <w:szCs w:val="11"/>
                <w:b w:val="1"/>
                <w:bCs w:val="1"/>
                <w:color w:val="auto"/>
              </w:rPr>
              <w:t>Description</w:t>
            </w:r>
          </w:p>
        </w:tc>
        <w:tc>
          <w:tcPr>
            <w:tcW w:w="80" w:type="dxa"/>
            <w:vAlign w:val="bottom"/>
            <w:vMerge w:val="restart"/>
          </w:tcPr>
          <w:p>
            <w:pPr>
              <w:spacing w:after="0"/>
              <w:rPr>
                <w:sz w:val="10"/>
                <w:szCs w:val="10"/>
                <w:color w:val="auto"/>
              </w:rPr>
            </w:pPr>
          </w:p>
        </w:tc>
        <w:tc>
          <w:tcPr>
            <w:tcW w:w="1840" w:type="dxa"/>
            <w:vAlign w:val="bottom"/>
            <w:gridSpan w:val="2"/>
            <w:vMerge w:val="continue"/>
          </w:tcPr>
          <w:p>
            <w:pPr>
              <w:spacing w:after="0"/>
              <w:rPr>
                <w:sz w:val="10"/>
                <w:szCs w:val="10"/>
                <w:color w:val="auto"/>
              </w:rPr>
            </w:pPr>
          </w:p>
        </w:tc>
        <w:tc>
          <w:tcPr>
            <w:tcW w:w="1280" w:type="dxa"/>
            <w:vAlign w:val="bottom"/>
            <w:gridSpan w:val="2"/>
          </w:tcPr>
          <w:p>
            <w:pPr>
              <w:jc w:val="center"/>
              <w:ind w:right="120"/>
              <w:spacing w:after="0" w:line="119" w:lineRule="exact"/>
              <w:rPr>
                <w:sz w:val="20"/>
                <w:szCs w:val="20"/>
                <w:color w:val="auto"/>
              </w:rPr>
            </w:pPr>
            <w:r>
              <w:rPr>
                <w:rFonts w:ascii="Arial" w:cs="Arial" w:eastAsia="Arial" w:hAnsi="Arial"/>
                <w:sz w:val="11"/>
                <w:szCs w:val="11"/>
                <w:b w:val="1"/>
                <w:bCs w:val="1"/>
                <w:color w:val="auto"/>
                <w:w w:val="93"/>
              </w:rPr>
              <w:t>Registration</w:t>
            </w:r>
          </w:p>
        </w:tc>
        <w:tc>
          <w:tcPr>
            <w:tcW w:w="1020" w:type="dxa"/>
            <w:vAlign w:val="bottom"/>
            <w:gridSpan w:val="2"/>
            <w:vMerge w:val="continue"/>
          </w:tcPr>
          <w:p>
            <w:pPr>
              <w:spacing w:after="0"/>
              <w:rPr>
                <w:sz w:val="10"/>
                <w:szCs w:val="10"/>
                <w:color w:val="auto"/>
              </w:rPr>
            </w:pPr>
          </w:p>
        </w:tc>
        <w:tc>
          <w:tcPr>
            <w:tcW w:w="114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5"/>
              </w:rPr>
              <w:t>CenterPoint Energy</w:t>
            </w:r>
          </w:p>
        </w:tc>
        <w:tc>
          <w:tcPr>
            <w:tcW w:w="100" w:type="dxa"/>
            <w:vAlign w:val="bottom"/>
            <w:vMerge w:val="restart"/>
          </w:tcPr>
          <w:p>
            <w:pPr>
              <w:spacing w:after="0"/>
              <w:rPr>
                <w:sz w:val="10"/>
                <w:szCs w:val="10"/>
                <w:color w:val="auto"/>
              </w:rPr>
            </w:pPr>
          </w:p>
        </w:tc>
        <w:tc>
          <w:tcPr>
            <w:tcW w:w="104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Houston Electric</w:t>
            </w:r>
          </w:p>
        </w:tc>
        <w:tc>
          <w:tcPr>
            <w:tcW w:w="100" w:type="dxa"/>
            <w:vAlign w:val="bottom"/>
            <w:vMerge w:val="restart"/>
          </w:tcPr>
          <w:p>
            <w:pPr>
              <w:spacing w:after="0"/>
              <w:rPr>
                <w:sz w:val="10"/>
                <w:szCs w:val="10"/>
                <w:color w:val="auto"/>
              </w:rPr>
            </w:pPr>
          </w:p>
        </w:tc>
        <w:tc>
          <w:tcPr>
            <w:tcW w:w="1020" w:type="dxa"/>
            <w:vAlign w:val="bottom"/>
            <w:vMerge w:val="restart"/>
          </w:tcPr>
          <w:p>
            <w:pPr>
              <w:jc w:val="center"/>
              <w:spacing w:after="0"/>
              <w:rPr>
                <w:sz w:val="20"/>
                <w:szCs w:val="20"/>
                <w:color w:val="auto"/>
              </w:rPr>
            </w:pPr>
            <w:r>
              <w:rPr>
                <w:rFonts w:ascii="Arial" w:cs="Arial" w:eastAsia="Arial" w:hAnsi="Arial"/>
                <w:sz w:val="11"/>
                <w:szCs w:val="11"/>
                <w:b w:val="1"/>
                <w:bCs w:val="1"/>
                <w:color w:val="auto"/>
              </w:rPr>
              <w:t>CERC</w:t>
            </w:r>
          </w:p>
        </w:tc>
        <w:tc>
          <w:tcPr>
            <w:tcW w:w="0" w:type="dxa"/>
            <w:vAlign w:val="bottom"/>
          </w:tcPr>
          <w:p>
            <w:pPr>
              <w:spacing w:after="0"/>
              <w:rPr>
                <w:sz w:val="1"/>
                <w:szCs w:val="1"/>
                <w:color w:val="auto"/>
              </w:rPr>
            </w:pPr>
          </w:p>
        </w:tc>
      </w:tr>
      <w:tr>
        <w:trPr>
          <w:trHeight w:val="153"/>
        </w:trPr>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Number</w:t>
            </w:r>
          </w:p>
        </w:tc>
        <w:tc>
          <w:tcPr>
            <w:tcW w:w="12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880" w:type="dxa"/>
            <w:vAlign w:val="bottom"/>
            <w:tcBorders>
              <w:bottom w:val="single" w:sz="8" w:color="auto"/>
            </w:tcBorders>
            <w:gridSpan w:val="16"/>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1720" w:type="dxa"/>
            <w:vAlign w:val="bottom"/>
            <w:tcBorders>
              <w:bottom w:val="single" w:sz="8" w:color="auto"/>
            </w:tcBorders>
          </w:tcPr>
          <w:p>
            <w:pPr>
              <w:ind w:left="620"/>
              <w:spacing w:after="0"/>
              <w:rPr>
                <w:sz w:val="20"/>
                <w:szCs w:val="20"/>
                <w:color w:val="auto"/>
              </w:rPr>
            </w:pPr>
            <w:r>
              <w:rPr>
                <w:rFonts w:ascii="Arial" w:cs="Arial" w:eastAsia="Arial" w:hAnsi="Arial"/>
                <w:sz w:val="11"/>
                <w:szCs w:val="11"/>
                <w:b w:val="1"/>
                <w:bCs w:val="1"/>
                <w:color w:val="auto"/>
              </w:rPr>
              <w:t>Statement</w:t>
            </w:r>
          </w:p>
        </w:tc>
        <w:tc>
          <w:tcPr>
            <w:tcW w:w="120" w:type="dxa"/>
            <w:vAlign w:val="bottom"/>
          </w:tcPr>
          <w:p>
            <w:pPr>
              <w:spacing w:after="0"/>
              <w:rPr>
                <w:sz w:val="13"/>
                <w:szCs w:val="13"/>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6"/>
              </w:rPr>
              <w:t>Number</w:t>
            </w:r>
          </w:p>
        </w:tc>
        <w:tc>
          <w:tcPr>
            <w:tcW w:w="120" w:type="dxa"/>
            <w:vAlign w:val="bottom"/>
          </w:tcPr>
          <w:p>
            <w:pPr>
              <w:spacing w:after="0"/>
              <w:rPr>
                <w:sz w:val="13"/>
                <w:szCs w:val="13"/>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3"/>
              </w:rPr>
              <w:t>Reference</w:t>
            </w:r>
          </w:p>
        </w:tc>
        <w:tc>
          <w:tcPr>
            <w:tcW w:w="120" w:type="dxa"/>
            <w:vAlign w:val="bottom"/>
          </w:tcPr>
          <w:p>
            <w:pPr>
              <w:spacing w:after="0"/>
              <w:rPr>
                <w:sz w:val="13"/>
                <w:szCs w:val="13"/>
                <w:color w:val="auto"/>
              </w:rPr>
            </w:pPr>
          </w:p>
        </w:tc>
        <w:tc>
          <w:tcPr>
            <w:tcW w:w="1140" w:type="dxa"/>
            <w:vAlign w:val="bottom"/>
            <w:tcBorders>
              <w:bottom w:val="single" w:sz="8" w:color="auto"/>
            </w:tcBorders>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1040" w:type="dxa"/>
            <w:vAlign w:val="bottom"/>
            <w:tcBorders>
              <w:bottom w:val="single" w:sz="8" w:color="auto"/>
            </w:tcBorders>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102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700" w:type="dxa"/>
            <w:vAlign w:val="bottom"/>
          </w:tcPr>
          <w:p>
            <w:pPr>
              <w:jc w:val="center"/>
              <w:spacing w:after="0" w:line="125" w:lineRule="exact"/>
              <w:rPr>
                <w:sz w:val="20"/>
                <w:szCs w:val="20"/>
                <w:color w:val="auto"/>
              </w:rPr>
            </w:pPr>
            <w:r>
              <w:rPr>
                <w:rFonts w:ascii="Arial" w:cs="Arial" w:eastAsia="Arial" w:hAnsi="Arial"/>
                <w:sz w:val="11"/>
                <w:szCs w:val="11"/>
                <w:color w:val="auto"/>
                <w:w w:val="93"/>
              </w:rPr>
              <w:t>4.12</w:t>
            </w: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080" w:type="dxa"/>
            <w:vAlign w:val="bottom"/>
            <w:gridSpan w:val="20"/>
          </w:tcPr>
          <w:p>
            <w:pPr>
              <w:spacing w:after="0" w:line="125" w:lineRule="exact"/>
              <w:rPr>
                <w:rFonts w:ascii="Arial" w:cs="Arial" w:eastAsia="Arial" w:hAnsi="Arial"/>
                <w:sz w:val="11"/>
                <w:szCs w:val="11"/>
                <w:color w:val="0000FF"/>
              </w:rPr>
            </w:pPr>
            <w:hyperlink r:id="rId38">
              <w:r>
                <w:rPr>
                  <w:rFonts w:ascii="Arial" w:cs="Arial" w:eastAsia="Arial" w:hAnsi="Arial"/>
                  <w:sz w:val="11"/>
                  <w:szCs w:val="11"/>
                  <w:color w:val="0000FF"/>
                </w:rPr>
                <w:t>First Amendment to Credit Agreement, dated as of June 16,</w:t>
              </w:r>
            </w:hyperlink>
          </w:p>
        </w:tc>
        <w:tc>
          <w:tcPr>
            <w:tcW w:w="1840" w:type="dxa"/>
            <w:vAlign w:val="bottom"/>
            <w:gridSpan w:val="2"/>
          </w:tcPr>
          <w:p>
            <w:pPr>
              <w:ind w:left="20"/>
              <w:spacing w:after="0" w:line="125" w:lineRule="exact"/>
              <w:rPr>
                <w:sz w:val="20"/>
                <w:szCs w:val="20"/>
                <w:color w:val="auto"/>
              </w:rPr>
            </w:pPr>
            <w:r>
              <w:rPr>
                <w:rFonts w:ascii="Arial" w:cs="Arial" w:eastAsia="Arial" w:hAnsi="Arial"/>
                <w:sz w:val="11"/>
                <w:szCs w:val="11"/>
                <w:color w:val="auto"/>
              </w:rPr>
              <w:t>CenterPoint Energy’s Form 8-K</w:t>
            </w:r>
          </w:p>
        </w:tc>
        <w:tc>
          <w:tcPr>
            <w:tcW w:w="1160" w:type="dxa"/>
            <w:vAlign w:val="bottom"/>
          </w:tcPr>
          <w:p>
            <w:pPr>
              <w:jc w:val="center"/>
              <w:spacing w:after="0" w:line="125" w:lineRule="exact"/>
              <w:rPr>
                <w:sz w:val="20"/>
                <w:szCs w:val="20"/>
                <w:color w:val="auto"/>
              </w:rPr>
            </w:pPr>
            <w:r>
              <w:rPr>
                <w:rFonts w:ascii="Arial" w:cs="Arial" w:eastAsia="Arial" w:hAnsi="Arial"/>
                <w:sz w:val="11"/>
                <w:szCs w:val="11"/>
                <w:color w:val="auto"/>
                <w:w w:val="94"/>
              </w:rPr>
              <w:t>1-31447</w:t>
            </w:r>
          </w:p>
        </w:tc>
        <w:tc>
          <w:tcPr>
            <w:tcW w:w="120" w:type="dxa"/>
            <w:vAlign w:val="bottom"/>
          </w:tcPr>
          <w:p>
            <w:pPr>
              <w:spacing w:after="0"/>
              <w:rPr>
                <w:sz w:val="10"/>
                <w:szCs w:val="10"/>
                <w:color w:val="auto"/>
              </w:rPr>
            </w:pPr>
          </w:p>
        </w:tc>
        <w:tc>
          <w:tcPr>
            <w:tcW w:w="900" w:type="dxa"/>
            <w:vAlign w:val="bottom"/>
          </w:tcPr>
          <w:p>
            <w:pPr>
              <w:jc w:val="center"/>
              <w:spacing w:after="0" w:line="125" w:lineRule="exact"/>
              <w:rPr>
                <w:sz w:val="20"/>
                <w:szCs w:val="20"/>
                <w:color w:val="auto"/>
              </w:rPr>
            </w:pPr>
            <w:r>
              <w:rPr>
                <w:rFonts w:ascii="Arial" w:cs="Arial" w:eastAsia="Arial" w:hAnsi="Arial"/>
                <w:sz w:val="11"/>
                <w:szCs w:val="11"/>
                <w:color w:val="auto"/>
                <w:w w:val="91"/>
              </w:rPr>
              <w:t>4.3</w:t>
            </w:r>
          </w:p>
        </w:tc>
        <w:tc>
          <w:tcPr>
            <w:tcW w:w="120" w:type="dxa"/>
            <w:vAlign w:val="bottom"/>
          </w:tcPr>
          <w:p>
            <w:pPr>
              <w:spacing w:after="0"/>
              <w:rPr>
                <w:sz w:val="10"/>
                <w:szCs w:val="10"/>
                <w:color w:val="auto"/>
              </w:rPr>
            </w:pPr>
          </w:p>
        </w:tc>
        <w:tc>
          <w:tcPr>
            <w:tcW w:w="1240" w:type="dxa"/>
            <w:vAlign w:val="bottom"/>
            <w:gridSpan w:val="2"/>
          </w:tcPr>
          <w:p>
            <w:pPr>
              <w:jc w:val="center"/>
              <w:ind w:right="100"/>
              <w:spacing w:after="0" w:line="125" w:lineRule="exact"/>
              <w:rPr>
                <w:sz w:val="20"/>
                <w:szCs w:val="20"/>
                <w:color w:val="auto"/>
              </w:rPr>
            </w:pPr>
            <w:r>
              <w:rPr>
                <w:rFonts w:ascii="Arial" w:cs="Arial" w:eastAsia="Arial" w:hAnsi="Arial"/>
                <w:sz w:val="11"/>
                <w:szCs w:val="11"/>
                <w:color w:val="auto"/>
              </w:rPr>
              <w:t>x</w:t>
            </w: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jc w:val="center"/>
              <w:spacing w:after="0" w:line="125" w:lineRule="exact"/>
              <w:rPr>
                <w:sz w:val="20"/>
                <w:szCs w:val="20"/>
                <w:color w:val="auto"/>
              </w:rPr>
            </w:pPr>
            <w:r>
              <w:rPr>
                <w:rFonts w:ascii="Arial" w:cs="Arial" w:eastAsia="Arial" w:hAnsi="Arial"/>
                <w:sz w:val="11"/>
                <w:szCs w:val="11"/>
                <w:color w:val="auto"/>
              </w:rPr>
              <w:t>x</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40" w:type="dxa"/>
            <w:vAlign w:val="bottom"/>
            <w:gridSpan w:val="2"/>
            <w:vMerge w:val="restart"/>
          </w:tcPr>
          <w:p>
            <w:pPr>
              <w:ind w:left="20"/>
              <w:spacing w:after="0" w:line="119" w:lineRule="exact"/>
              <w:rPr>
                <w:sz w:val="20"/>
                <w:szCs w:val="20"/>
                <w:color w:val="auto"/>
              </w:rPr>
            </w:pPr>
            <w:r>
              <w:rPr>
                <w:rFonts w:ascii="Arial" w:cs="Arial" w:eastAsia="Arial" w:hAnsi="Arial"/>
                <w:sz w:val="11"/>
                <w:szCs w:val="11"/>
                <w:color w:val="auto"/>
              </w:rPr>
              <w:t>dated June 16, 2017</w:t>
            </w: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9"/>
        </w:trPr>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3080" w:type="dxa"/>
            <w:vAlign w:val="bottom"/>
            <w:gridSpan w:val="20"/>
          </w:tcPr>
          <w:p>
            <w:pPr>
              <w:spacing w:after="0" w:line="99" w:lineRule="exact"/>
              <w:rPr>
                <w:rFonts w:ascii="Arial" w:cs="Arial" w:eastAsia="Arial" w:hAnsi="Arial"/>
                <w:sz w:val="11"/>
                <w:szCs w:val="11"/>
                <w:color w:val="0000FF"/>
              </w:rPr>
            </w:pPr>
            <w:hyperlink r:id="rId38">
              <w:r>
                <w:rPr>
                  <w:rFonts w:ascii="Arial" w:cs="Arial" w:eastAsia="Arial" w:hAnsi="Arial"/>
                  <w:sz w:val="11"/>
                  <w:szCs w:val="11"/>
                  <w:color w:val="0000FF"/>
                </w:rPr>
                <w:t>2017, among CERC Corp., as Borrower, and the banks named</w:t>
              </w:r>
            </w:hyperlink>
          </w:p>
        </w:tc>
        <w:tc>
          <w:tcPr>
            <w:tcW w:w="1840" w:type="dxa"/>
            <w:vAlign w:val="bottom"/>
            <w:gridSpan w:val="2"/>
            <w:vMerge w:val="continue"/>
          </w:tcPr>
          <w:p>
            <w:pPr>
              <w:spacing w:after="0"/>
              <w:rPr>
                <w:sz w:val="8"/>
                <w:szCs w:val="8"/>
                <w:color w:val="auto"/>
              </w:rPr>
            </w:pPr>
          </w:p>
        </w:tc>
        <w:tc>
          <w:tcPr>
            <w:tcW w:w="1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Borders>
              <w:top w:val="single" w:sz="8" w:color="0000FF"/>
              <w:bottom w:val="single" w:sz="8" w:color="0000FF"/>
            </w:tcBorders>
          </w:tcPr>
          <w:p>
            <w:pPr>
              <w:spacing w:after="0" w:line="99" w:lineRule="exact"/>
              <w:rPr>
                <w:rFonts w:ascii="Arial" w:cs="Arial" w:eastAsia="Arial" w:hAnsi="Arial"/>
                <w:sz w:val="11"/>
                <w:szCs w:val="11"/>
                <w:color w:val="0000FF"/>
                <w:w w:val="89"/>
              </w:rPr>
            </w:pPr>
            <w:hyperlink r:id="rId38">
              <w:r>
                <w:rPr>
                  <w:rFonts w:ascii="Arial" w:cs="Arial" w:eastAsia="Arial" w:hAnsi="Arial"/>
                  <w:sz w:val="11"/>
                  <w:szCs w:val="11"/>
                  <w:color w:val="0000FF"/>
                  <w:w w:val="89"/>
                </w:rPr>
                <w:t>therein</w:t>
              </w:r>
            </w:hyperlink>
          </w:p>
        </w:tc>
        <w:tc>
          <w:tcPr>
            <w:tcW w:w="2540" w:type="dxa"/>
            <w:vAlign w:val="bottom"/>
            <w:tcBorders>
              <w:top w:val="single" w:sz="8" w:color="0000FF"/>
            </w:tcBorders>
            <w:gridSpan w:val="11"/>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gridSpan w:val="2"/>
          </w:tcPr>
          <w:p>
            <w:pPr>
              <w:spacing w:after="0"/>
              <w:rPr>
                <w:sz w:val="8"/>
                <w:szCs w:val="8"/>
                <w:color w:val="auto"/>
              </w:rPr>
            </w:pPr>
          </w:p>
        </w:tc>
        <w:tc>
          <w:tcPr>
            <w:tcW w:w="1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700" w:type="dxa"/>
            <w:vAlign w:val="bottom"/>
          </w:tcPr>
          <w:p>
            <w:pPr>
              <w:jc w:val="center"/>
              <w:spacing w:after="0"/>
              <w:rPr>
                <w:sz w:val="20"/>
                <w:szCs w:val="20"/>
                <w:color w:val="auto"/>
              </w:rPr>
            </w:pPr>
            <w:r>
              <w:rPr>
                <w:rFonts w:ascii="Arial" w:cs="Arial" w:eastAsia="Arial" w:hAnsi="Arial"/>
                <w:sz w:val="11"/>
                <w:szCs w:val="11"/>
                <w:color w:val="auto"/>
                <w:w w:val="93"/>
              </w:rPr>
              <w:t>4.13</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80" w:type="dxa"/>
            <w:vAlign w:val="bottom"/>
            <w:gridSpan w:val="20"/>
          </w:tcPr>
          <w:p>
            <w:pPr>
              <w:spacing w:after="0"/>
              <w:rPr>
                <w:rFonts w:ascii="Arial" w:cs="Arial" w:eastAsia="Arial" w:hAnsi="Arial"/>
                <w:sz w:val="11"/>
                <w:szCs w:val="11"/>
                <w:color w:val="0000FF"/>
              </w:rPr>
            </w:pPr>
            <w:hyperlink r:id="rId39">
              <w:r>
                <w:rPr>
                  <w:rFonts w:ascii="Arial" w:cs="Arial" w:eastAsia="Arial" w:hAnsi="Arial"/>
                  <w:sz w:val="11"/>
                  <w:szCs w:val="11"/>
                  <w:u w:val="single" w:color="auto"/>
                  <w:color w:val="0000FF"/>
                </w:rPr>
                <w:t>$</w:t>
              </w:r>
              <w:r>
                <w:rPr>
                  <w:rFonts w:ascii="Arial" w:cs="Arial" w:eastAsia="Arial" w:hAnsi="Arial"/>
                  <w:sz w:val="11"/>
                  <w:szCs w:val="11"/>
                  <w:color w:val="0000FF"/>
                </w:rPr>
                <w:t>400,000,000 Credit Agreement, dated as of July 14, 2017,</w:t>
              </w:r>
            </w:hyperlink>
          </w:p>
        </w:tc>
        <w:tc>
          <w:tcPr>
            <w:tcW w:w="1840" w:type="dxa"/>
            <w:vAlign w:val="bottom"/>
            <w:gridSpan w:val="2"/>
          </w:tcPr>
          <w:p>
            <w:pPr>
              <w:ind w:left="20"/>
              <w:spacing w:after="0"/>
              <w:rPr>
                <w:sz w:val="20"/>
                <w:szCs w:val="20"/>
                <w:color w:val="auto"/>
              </w:rPr>
            </w:pPr>
            <w:r>
              <w:rPr>
                <w:rFonts w:ascii="Arial" w:cs="Arial" w:eastAsia="Arial" w:hAnsi="Arial"/>
                <w:sz w:val="11"/>
                <w:szCs w:val="11"/>
                <w:color w:val="auto"/>
              </w:rPr>
              <w:t>Vectren’s Form 8-K dated July 17,</w:t>
            </w:r>
          </w:p>
        </w:tc>
        <w:tc>
          <w:tcPr>
            <w:tcW w:w="1160" w:type="dxa"/>
            <w:vAlign w:val="bottom"/>
          </w:tcPr>
          <w:p>
            <w:pPr>
              <w:jc w:val="center"/>
              <w:spacing w:after="0"/>
              <w:rPr>
                <w:sz w:val="20"/>
                <w:szCs w:val="20"/>
                <w:color w:val="auto"/>
              </w:rPr>
            </w:pPr>
            <w:r>
              <w:rPr>
                <w:rFonts w:ascii="Arial" w:cs="Arial" w:eastAsia="Arial" w:hAnsi="Arial"/>
                <w:sz w:val="11"/>
                <w:szCs w:val="11"/>
                <w:color w:val="auto"/>
                <w:w w:val="94"/>
              </w:rPr>
              <w:t>1-15467</w:t>
            </w:r>
          </w:p>
        </w:tc>
        <w:tc>
          <w:tcPr>
            <w:tcW w:w="120" w:type="dxa"/>
            <w:vAlign w:val="bottom"/>
          </w:tcPr>
          <w:p>
            <w:pPr>
              <w:spacing w:after="0"/>
              <w:rPr>
                <w:sz w:val="12"/>
                <w:szCs w:val="12"/>
                <w:color w:val="auto"/>
              </w:rPr>
            </w:pPr>
          </w:p>
        </w:tc>
        <w:tc>
          <w:tcPr>
            <w:tcW w:w="900" w:type="dxa"/>
            <w:vAlign w:val="bottom"/>
          </w:tcPr>
          <w:p>
            <w:pPr>
              <w:jc w:val="center"/>
              <w:spacing w:after="0"/>
              <w:rPr>
                <w:sz w:val="20"/>
                <w:szCs w:val="20"/>
                <w:color w:val="auto"/>
              </w:rPr>
            </w:pPr>
            <w:r>
              <w:rPr>
                <w:rFonts w:ascii="Arial" w:cs="Arial" w:eastAsia="Arial" w:hAnsi="Arial"/>
                <w:sz w:val="11"/>
                <w:szCs w:val="11"/>
                <w:color w:val="auto"/>
                <w:w w:val="93"/>
              </w:rPr>
              <w:t>10.1</w:t>
            </w:r>
          </w:p>
        </w:tc>
        <w:tc>
          <w:tcPr>
            <w:tcW w:w="120" w:type="dxa"/>
            <w:vAlign w:val="bottom"/>
          </w:tcPr>
          <w:p>
            <w:pPr>
              <w:spacing w:after="0"/>
              <w:rPr>
                <w:sz w:val="12"/>
                <w:szCs w:val="12"/>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1"/>
                <w:szCs w:val="11"/>
                <w:color w:val="auto"/>
              </w:rPr>
              <w:t>x</w:t>
            </w: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9"/>
        </w:trPr>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2740" w:type="dxa"/>
            <w:vAlign w:val="bottom"/>
            <w:tcBorders>
              <w:top w:val="single" w:sz="8" w:color="0000FF"/>
            </w:tcBorders>
            <w:gridSpan w:val="8"/>
          </w:tcPr>
          <w:p>
            <w:pPr>
              <w:spacing w:after="0" w:line="99" w:lineRule="exact"/>
              <w:rPr>
                <w:rFonts w:ascii="Arial" w:cs="Arial" w:eastAsia="Arial" w:hAnsi="Arial"/>
                <w:sz w:val="11"/>
                <w:szCs w:val="11"/>
                <w:color w:val="0000FF"/>
                <w:w w:val="98"/>
              </w:rPr>
            </w:pPr>
            <w:hyperlink r:id="rId39">
              <w:r>
                <w:rPr>
                  <w:rFonts w:ascii="Arial" w:cs="Arial" w:eastAsia="Arial" w:hAnsi="Arial"/>
                  <w:sz w:val="11"/>
                  <w:szCs w:val="11"/>
                  <w:color w:val="0000FF"/>
                  <w:w w:val="98"/>
                </w:rPr>
                <w:t>among VUHI, as Borrower, certain Subsidiaries of VUHI,</w:t>
              </w:r>
            </w:hyperlink>
          </w:p>
        </w:tc>
        <w:tc>
          <w:tcPr>
            <w:tcW w:w="340" w:type="dxa"/>
            <w:vAlign w:val="bottom"/>
            <w:gridSpan w:val="12"/>
          </w:tcPr>
          <w:p>
            <w:pPr>
              <w:spacing w:after="0" w:line="99" w:lineRule="exact"/>
              <w:rPr>
                <w:rFonts w:ascii="Arial" w:cs="Arial" w:eastAsia="Arial" w:hAnsi="Arial"/>
                <w:sz w:val="11"/>
                <w:szCs w:val="11"/>
                <w:color w:val="0000FF"/>
              </w:rPr>
            </w:pPr>
            <w:hyperlink r:id="rId39">
              <w:r>
                <w:rPr>
                  <w:rFonts w:ascii="Arial" w:cs="Arial" w:eastAsia="Arial" w:hAnsi="Arial"/>
                  <w:sz w:val="11"/>
                  <w:szCs w:val="11"/>
                  <w:color w:val="0000FF"/>
                </w:rPr>
                <w:t>as</w:t>
              </w:r>
            </w:hyperlink>
          </w:p>
        </w:tc>
        <w:tc>
          <w:tcPr>
            <w:tcW w:w="1720" w:type="dxa"/>
            <w:vAlign w:val="bottom"/>
          </w:tcPr>
          <w:p>
            <w:pPr>
              <w:ind w:left="20"/>
              <w:spacing w:after="0" w:line="99" w:lineRule="exact"/>
              <w:rPr>
                <w:sz w:val="20"/>
                <w:szCs w:val="20"/>
                <w:color w:val="auto"/>
              </w:rPr>
            </w:pPr>
            <w:r>
              <w:rPr>
                <w:rFonts w:ascii="Arial" w:cs="Arial" w:eastAsia="Arial" w:hAnsi="Arial"/>
                <w:sz w:val="11"/>
                <w:szCs w:val="11"/>
                <w:color w:val="auto"/>
              </w:rPr>
              <w:t>2017</w:t>
            </w:r>
          </w:p>
        </w:tc>
        <w:tc>
          <w:tcPr>
            <w:tcW w:w="1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1880" w:type="dxa"/>
            <w:vAlign w:val="bottom"/>
            <w:tcBorders>
              <w:top w:val="single" w:sz="8" w:color="0000FF"/>
              <w:bottom w:val="single" w:sz="8" w:color="0000FF"/>
            </w:tcBorders>
            <w:gridSpan w:val="6"/>
          </w:tcPr>
          <w:p>
            <w:pPr>
              <w:spacing w:after="0" w:line="99" w:lineRule="exact"/>
              <w:rPr>
                <w:rFonts w:ascii="Arial" w:cs="Arial" w:eastAsia="Arial" w:hAnsi="Arial"/>
                <w:sz w:val="11"/>
                <w:szCs w:val="11"/>
                <w:color w:val="0000FF"/>
                <w:w w:val="91"/>
              </w:rPr>
            </w:pPr>
            <w:hyperlink r:id="rId39">
              <w:r>
                <w:rPr>
                  <w:rFonts w:ascii="Arial" w:cs="Arial" w:eastAsia="Arial" w:hAnsi="Arial"/>
                  <w:sz w:val="11"/>
                  <w:szCs w:val="11"/>
                  <w:color w:val="0000FF"/>
                  <w:w w:val="91"/>
                </w:rPr>
                <w:t>Guarantors, and the banks named therein</w:t>
              </w:r>
            </w:hyperlink>
          </w:p>
        </w:tc>
        <w:tc>
          <w:tcPr>
            <w:tcW w:w="920" w:type="dxa"/>
            <w:vAlign w:val="bottom"/>
            <w:tcBorders>
              <w:top w:val="single" w:sz="8" w:color="0000FF"/>
            </w:tcBorders>
            <w:gridSpan w:val="4"/>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gridSpan w:val="2"/>
          </w:tcPr>
          <w:p>
            <w:pPr>
              <w:spacing w:after="0"/>
              <w:rPr>
                <w:sz w:val="8"/>
                <w:szCs w:val="8"/>
                <w:color w:val="auto"/>
              </w:rPr>
            </w:pPr>
          </w:p>
        </w:tc>
        <w:tc>
          <w:tcPr>
            <w:tcW w:w="1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700" w:type="dxa"/>
            <w:vAlign w:val="bottom"/>
          </w:tcPr>
          <w:p>
            <w:pPr>
              <w:jc w:val="center"/>
              <w:spacing w:after="0"/>
              <w:rPr>
                <w:sz w:val="20"/>
                <w:szCs w:val="20"/>
                <w:color w:val="auto"/>
              </w:rPr>
            </w:pPr>
            <w:r>
              <w:rPr>
                <w:rFonts w:ascii="Arial" w:cs="Arial" w:eastAsia="Arial" w:hAnsi="Arial"/>
                <w:sz w:val="11"/>
                <w:szCs w:val="11"/>
                <w:color w:val="auto"/>
                <w:w w:val="93"/>
              </w:rPr>
              <w:t>4.14</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740" w:type="dxa"/>
            <w:vAlign w:val="bottom"/>
            <w:tcBorders>
              <w:bottom w:val="single" w:sz="8" w:color="0000FF"/>
            </w:tcBorders>
            <w:gridSpan w:val="8"/>
          </w:tcPr>
          <w:p>
            <w:pPr>
              <w:spacing w:after="0"/>
              <w:rPr>
                <w:rFonts w:ascii="Arial" w:cs="Arial" w:eastAsia="Arial" w:hAnsi="Arial"/>
                <w:sz w:val="11"/>
                <w:szCs w:val="11"/>
                <w:color w:val="0000FF"/>
                <w:w w:val="93"/>
              </w:rPr>
            </w:pPr>
            <w:hyperlink r:id="rId40">
              <w:r>
                <w:rPr>
                  <w:rFonts w:ascii="Arial" w:cs="Arial" w:eastAsia="Arial" w:hAnsi="Arial"/>
                  <w:sz w:val="11"/>
                  <w:szCs w:val="11"/>
                  <w:u w:val="single" w:color="auto"/>
                  <w:color w:val="0000FF"/>
                  <w:w w:val="93"/>
                </w:rPr>
                <w:t>$</w:t>
              </w:r>
              <w:r>
                <w:rPr>
                  <w:rFonts w:ascii="Arial" w:cs="Arial" w:eastAsia="Arial" w:hAnsi="Arial"/>
                  <w:sz w:val="11"/>
                  <w:szCs w:val="11"/>
                  <w:color w:val="0000FF"/>
                  <w:w w:val="93"/>
                </w:rPr>
                <w:t>200,000,000 Credit Agreement, dated as of July 14, 2017,</w:t>
              </w:r>
            </w:hyperlink>
          </w:p>
        </w:tc>
        <w:tc>
          <w:tcPr>
            <w:tcW w:w="340" w:type="dxa"/>
            <w:vAlign w:val="bottom"/>
            <w:gridSpan w:val="12"/>
          </w:tcPr>
          <w:p>
            <w:pPr>
              <w:spacing w:after="0"/>
              <w:rPr>
                <w:sz w:val="12"/>
                <w:szCs w:val="12"/>
                <w:color w:val="auto"/>
              </w:rPr>
            </w:pPr>
          </w:p>
        </w:tc>
        <w:tc>
          <w:tcPr>
            <w:tcW w:w="1840" w:type="dxa"/>
            <w:vAlign w:val="bottom"/>
            <w:gridSpan w:val="2"/>
          </w:tcPr>
          <w:p>
            <w:pPr>
              <w:ind w:left="20"/>
              <w:spacing w:after="0"/>
              <w:rPr>
                <w:sz w:val="20"/>
                <w:szCs w:val="20"/>
                <w:color w:val="auto"/>
              </w:rPr>
            </w:pPr>
            <w:r>
              <w:rPr>
                <w:rFonts w:ascii="Arial" w:cs="Arial" w:eastAsia="Arial" w:hAnsi="Arial"/>
                <w:sz w:val="11"/>
                <w:szCs w:val="11"/>
                <w:color w:val="auto"/>
              </w:rPr>
              <w:t>Vectren’s Form 8-K dated July 17,</w:t>
            </w:r>
          </w:p>
        </w:tc>
        <w:tc>
          <w:tcPr>
            <w:tcW w:w="1160" w:type="dxa"/>
            <w:vAlign w:val="bottom"/>
          </w:tcPr>
          <w:p>
            <w:pPr>
              <w:jc w:val="center"/>
              <w:spacing w:after="0"/>
              <w:rPr>
                <w:sz w:val="20"/>
                <w:szCs w:val="20"/>
                <w:color w:val="auto"/>
              </w:rPr>
            </w:pPr>
            <w:r>
              <w:rPr>
                <w:rFonts w:ascii="Arial" w:cs="Arial" w:eastAsia="Arial" w:hAnsi="Arial"/>
                <w:sz w:val="11"/>
                <w:szCs w:val="11"/>
                <w:color w:val="auto"/>
                <w:w w:val="94"/>
              </w:rPr>
              <w:t>1-15467</w:t>
            </w:r>
          </w:p>
        </w:tc>
        <w:tc>
          <w:tcPr>
            <w:tcW w:w="120" w:type="dxa"/>
            <w:vAlign w:val="bottom"/>
          </w:tcPr>
          <w:p>
            <w:pPr>
              <w:spacing w:after="0"/>
              <w:rPr>
                <w:sz w:val="12"/>
                <w:szCs w:val="12"/>
                <w:color w:val="auto"/>
              </w:rPr>
            </w:pPr>
          </w:p>
        </w:tc>
        <w:tc>
          <w:tcPr>
            <w:tcW w:w="900" w:type="dxa"/>
            <w:vAlign w:val="bottom"/>
          </w:tcPr>
          <w:p>
            <w:pPr>
              <w:jc w:val="center"/>
              <w:spacing w:after="0"/>
              <w:rPr>
                <w:sz w:val="20"/>
                <w:szCs w:val="20"/>
                <w:color w:val="auto"/>
              </w:rPr>
            </w:pPr>
            <w:r>
              <w:rPr>
                <w:rFonts w:ascii="Arial" w:cs="Arial" w:eastAsia="Arial" w:hAnsi="Arial"/>
                <w:sz w:val="11"/>
                <w:szCs w:val="11"/>
                <w:color w:val="auto"/>
                <w:w w:val="93"/>
              </w:rPr>
              <w:t>10.2</w:t>
            </w:r>
          </w:p>
        </w:tc>
        <w:tc>
          <w:tcPr>
            <w:tcW w:w="120" w:type="dxa"/>
            <w:vAlign w:val="bottom"/>
          </w:tcPr>
          <w:p>
            <w:pPr>
              <w:spacing w:after="0"/>
              <w:rPr>
                <w:sz w:val="12"/>
                <w:szCs w:val="12"/>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1"/>
                <w:szCs w:val="11"/>
                <w:color w:val="auto"/>
              </w:rPr>
              <w:t>x</w:t>
            </w: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9"/>
        </w:trPr>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3080" w:type="dxa"/>
            <w:vAlign w:val="bottom"/>
            <w:gridSpan w:val="20"/>
          </w:tcPr>
          <w:p>
            <w:pPr>
              <w:spacing w:after="0" w:line="99" w:lineRule="exact"/>
              <w:rPr>
                <w:rFonts w:ascii="Arial" w:cs="Arial" w:eastAsia="Arial" w:hAnsi="Arial"/>
                <w:sz w:val="11"/>
                <w:szCs w:val="11"/>
                <w:color w:val="0000FF"/>
              </w:rPr>
            </w:pPr>
            <w:hyperlink r:id="rId40">
              <w:r>
                <w:rPr>
                  <w:rFonts w:ascii="Arial" w:cs="Arial" w:eastAsia="Arial" w:hAnsi="Arial"/>
                  <w:sz w:val="11"/>
                  <w:szCs w:val="11"/>
                  <w:color w:val="0000FF"/>
                </w:rPr>
                <w:t>among VCC, as Borrower, Vectren Corporation, as Guarantor,</w:t>
              </w:r>
            </w:hyperlink>
          </w:p>
        </w:tc>
        <w:tc>
          <w:tcPr>
            <w:tcW w:w="1720" w:type="dxa"/>
            <w:vAlign w:val="bottom"/>
          </w:tcPr>
          <w:p>
            <w:pPr>
              <w:ind w:left="20"/>
              <w:spacing w:after="0" w:line="99" w:lineRule="exact"/>
              <w:rPr>
                <w:sz w:val="20"/>
                <w:szCs w:val="20"/>
                <w:color w:val="auto"/>
              </w:rPr>
            </w:pPr>
            <w:r>
              <w:rPr>
                <w:rFonts w:ascii="Arial" w:cs="Arial" w:eastAsia="Arial" w:hAnsi="Arial"/>
                <w:sz w:val="11"/>
                <w:szCs w:val="11"/>
                <w:color w:val="auto"/>
              </w:rPr>
              <w:t>2017</w:t>
            </w:r>
          </w:p>
        </w:tc>
        <w:tc>
          <w:tcPr>
            <w:tcW w:w="1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2880" w:type="dxa"/>
            <w:vAlign w:val="bottom"/>
            <w:tcBorders>
              <w:top w:val="single" w:sz="8" w:color="0000FF"/>
            </w:tcBorders>
            <w:gridSpan w:val="13"/>
          </w:tcPr>
          <w:p>
            <w:pPr>
              <w:spacing w:after="0" w:line="99" w:lineRule="exact"/>
              <w:rPr>
                <w:rFonts w:ascii="Arial" w:cs="Arial" w:eastAsia="Arial" w:hAnsi="Arial"/>
                <w:sz w:val="11"/>
                <w:szCs w:val="11"/>
                <w:color w:val="0000FF"/>
              </w:rPr>
            </w:pPr>
            <w:hyperlink r:id="rId40">
              <w:r>
                <w:rPr>
                  <w:rFonts w:ascii="Arial" w:cs="Arial" w:eastAsia="Arial" w:hAnsi="Arial"/>
                  <w:sz w:val="11"/>
                  <w:szCs w:val="11"/>
                  <w:color w:val="0000FF"/>
                </w:rPr>
                <w:t>and the banks named therein</w:t>
              </w:r>
            </w:hyperlink>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gridSpan w:val="2"/>
          </w:tcPr>
          <w:p>
            <w:pPr>
              <w:spacing w:after="0"/>
              <w:rPr>
                <w:sz w:val="8"/>
                <w:szCs w:val="8"/>
                <w:color w:val="auto"/>
              </w:rPr>
            </w:pPr>
          </w:p>
        </w:tc>
        <w:tc>
          <w:tcPr>
            <w:tcW w:w="1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700" w:type="dxa"/>
            <w:vAlign w:val="bottom"/>
          </w:tcPr>
          <w:p>
            <w:pPr>
              <w:jc w:val="center"/>
              <w:spacing w:after="0"/>
              <w:rPr>
                <w:sz w:val="20"/>
                <w:szCs w:val="20"/>
                <w:color w:val="auto"/>
              </w:rPr>
            </w:pPr>
            <w:r>
              <w:rPr>
                <w:rFonts w:ascii="Arial" w:cs="Arial" w:eastAsia="Arial" w:hAnsi="Arial"/>
                <w:sz w:val="11"/>
                <w:szCs w:val="11"/>
                <w:color w:val="auto"/>
                <w:w w:val="93"/>
              </w:rPr>
              <w:t>4.15</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80" w:type="dxa"/>
            <w:vAlign w:val="bottom"/>
            <w:gridSpan w:val="20"/>
          </w:tcPr>
          <w:p>
            <w:pPr>
              <w:spacing w:after="0"/>
              <w:rPr>
                <w:rFonts w:ascii="Arial" w:cs="Arial" w:eastAsia="Arial" w:hAnsi="Arial"/>
                <w:sz w:val="11"/>
                <w:szCs w:val="11"/>
                <w:color w:val="0000FF"/>
                <w:w w:val="99"/>
              </w:rPr>
            </w:pPr>
            <w:hyperlink r:id="rId41">
              <w:r>
                <w:rPr>
                  <w:rFonts w:ascii="Arial" w:cs="Arial" w:eastAsia="Arial" w:hAnsi="Arial"/>
                  <w:sz w:val="11"/>
                  <w:szCs w:val="11"/>
                  <w:color w:val="0000FF"/>
                  <w:w w:val="99"/>
                </w:rPr>
                <w:t>Term Loan Agreement dated as of July 30, 2018, among VUHI,</w:t>
              </w:r>
            </w:hyperlink>
          </w:p>
        </w:tc>
        <w:tc>
          <w:tcPr>
            <w:tcW w:w="1840" w:type="dxa"/>
            <w:vAlign w:val="bottom"/>
            <w:gridSpan w:val="2"/>
          </w:tcPr>
          <w:p>
            <w:pPr>
              <w:ind w:left="20"/>
              <w:spacing w:after="0"/>
              <w:rPr>
                <w:sz w:val="20"/>
                <w:szCs w:val="20"/>
                <w:color w:val="auto"/>
              </w:rPr>
            </w:pPr>
            <w:r>
              <w:rPr>
                <w:rFonts w:ascii="Arial" w:cs="Arial" w:eastAsia="Arial" w:hAnsi="Arial"/>
                <w:sz w:val="11"/>
                <w:szCs w:val="11"/>
                <w:color w:val="auto"/>
              </w:rPr>
              <w:t>Vectren’s Form 8-K dated July 30,</w:t>
            </w:r>
          </w:p>
        </w:tc>
        <w:tc>
          <w:tcPr>
            <w:tcW w:w="1160" w:type="dxa"/>
            <w:vAlign w:val="bottom"/>
          </w:tcPr>
          <w:p>
            <w:pPr>
              <w:jc w:val="center"/>
              <w:spacing w:after="0"/>
              <w:rPr>
                <w:sz w:val="20"/>
                <w:szCs w:val="20"/>
                <w:color w:val="auto"/>
              </w:rPr>
            </w:pPr>
            <w:r>
              <w:rPr>
                <w:rFonts w:ascii="Arial" w:cs="Arial" w:eastAsia="Arial" w:hAnsi="Arial"/>
                <w:sz w:val="11"/>
                <w:szCs w:val="11"/>
                <w:color w:val="auto"/>
                <w:w w:val="94"/>
              </w:rPr>
              <w:t>1-15467</w:t>
            </w:r>
          </w:p>
        </w:tc>
        <w:tc>
          <w:tcPr>
            <w:tcW w:w="120" w:type="dxa"/>
            <w:vAlign w:val="bottom"/>
          </w:tcPr>
          <w:p>
            <w:pPr>
              <w:spacing w:after="0"/>
              <w:rPr>
                <w:sz w:val="12"/>
                <w:szCs w:val="12"/>
                <w:color w:val="auto"/>
              </w:rPr>
            </w:pPr>
          </w:p>
        </w:tc>
        <w:tc>
          <w:tcPr>
            <w:tcW w:w="900" w:type="dxa"/>
            <w:vAlign w:val="bottom"/>
          </w:tcPr>
          <w:p>
            <w:pPr>
              <w:jc w:val="center"/>
              <w:spacing w:after="0"/>
              <w:rPr>
                <w:sz w:val="20"/>
                <w:szCs w:val="20"/>
                <w:color w:val="auto"/>
              </w:rPr>
            </w:pPr>
            <w:r>
              <w:rPr>
                <w:rFonts w:ascii="Arial" w:cs="Arial" w:eastAsia="Arial" w:hAnsi="Arial"/>
                <w:sz w:val="11"/>
                <w:szCs w:val="11"/>
                <w:color w:val="auto"/>
                <w:w w:val="93"/>
              </w:rPr>
              <w:t>10.1</w:t>
            </w:r>
          </w:p>
        </w:tc>
        <w:tc>
          <w:tcPr>
            <w:tcW w:w="120" w:type="dxa"/>
            <w:vAlign w:val="bottom"/>
          </w:tcPr>
          <w:p>
            <w:pPr>
              <w:spacing w:after="0"/>
              <w:rPr>
                <w:sz w:val="12"/>
                <w:szCs w:val="12"/>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1"/>
                <w:szCs w:val="11"/>
                <w:color w:val="auto"/>
              </w:rPr>
              <w:t>x</w:t>
            </w: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9"/>
        </w:trPr>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2980" w:type="dxa"/>
            <w:vAlign w:val="bottom"/>
            <w:tcBorders>
              <w:top w:val="single" w:sz="8" w:color="0000FF"/>
            </w:tcBorders>
            <w:gridSpan w:val="18"/>
          </w:tcPr>
          <w:p>
            <w:pPr>
              <w:spacing w:after="0" w:line="99" w:lineRule="exact"/>
              <w:rPr>
                <w:rFonts w:ascii="Arial" w:cs="Arial" w:eastAsia="Arial" w:hAnsi="Arial"/>
                <w:sz w:val="11"/>
                <w:szCs w:val="11"/>
                <w:color w:val="0000FF"/>
                <w:w w:val="98"/>
              </w:rPr>
            </w:pPr>
            <w:hyperlink r:id="rId41">
              <w:r>
                <w:rPr>
                  <w:rFonts w:ascii="Arial" w:cs="Arial" w:eastAsia="Arial" w:hAnsi="Arial"/>
                  <w:sz w:val="11"/>
                  <w:szCs w:val="11"/>
                  <w:color w:val="0000FF"/>
                  <w:w w:val="98"/>
                </w:rPr>
                <w:t>as Borrower, the Subsidiaries of Borrower identified herein as</w:t>
              </w:r>
            </w:hyperlink>
          </w:p>
        </w:tc>
        <w:tc>
          <w:tcPr>
            <w:tcW w:w="100" w:type="dxa"/>
            <w:vAlign w:val="bottom"/>
            <w:gridSpan w:val="2"/>
          </w:tcPr>
          <w:p>
            <w:pPr>
              <w:spacing w:after="0"/>
              <w:rPr>
                <w:sz w:val="8"/>
                <w:szCs w:val="8"/>
                <w:color w:val="auto"/>
              </w:rPr>
            </w:pPr>
          </w:p>
        </w:tc>
        <w:tc>
          <w:tcPr>
            <w:tcW w:w="1720" w:type="dxa"/>
            <w:vAlign w:val="bottom"/>
          </w:tcPr>
          <w:p>
            <w:pPr>
              <w:ind w:left="20"/>
              <w:spacing w:after="0" w:line="99" w:lineRule="exact"/>
              <w:rPr>
                <w:sz w:val="20"/>
                <w:szCs w:val="20"/>
                <w:color w:val="auto"/>
              </w:rPr>
            </w:pPr>
            <w:r>
              <w:rPr>
                <w:rFonts w:ascii="Arial" w:cs="Arial" w:eastAsia="Arial" w:hAnsi="Arial"/>
                <w:sz w:val="11"/>
                <w:szCs w:val="11"/>
                <w:color w:val="auto"/>
              </w:rPr>
              <w:t>2018</w:t>
            </w:r>
          </w:p>
        </w:tc>
        <w:tc>
          <w:tcPr>
            <w:tcW w:w="1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2840" w:type="dxa"/>
            <w:vAlign w:val="bottom"/>
            <w:tcBorders>
              <w:top w:val="single" w:sz="8" w:color="0000FF"/>
            </w:tcBorders>
            <w:gridSpan w:val="11"/>
          </w:tcPr>
          <w:p>
            <w:pPr>
              <w:spacing w:after="0" w:line="99" w:lineRule="exact"/>
              <w:rPr>
                <w:rFonts w:ascii="Arial" w:cs="Arial" w:eastAsia="Arial" w:hAnsi="Arial"/>
                <w:sz w:val="11"/>
                <w:szCs w:val="11"/>
                <w:color w:val="0000FF"/>
              </w:rPr>
            </w:pPr>
            <w:hyperlink r:id="rId41">
              <w:r>
                <w:rPr>
                  <w:rFonts w:ascii="Arial" w:cs="Arial" w:eastAsia="Arial" w:hAnsi="Arial"/>
                  <w:sz w:val="11"/>
                  <w:szCs w:val="11"/>
                  <w:color w:val="0000FF"/>
                </w:rPr>
                <w:t>Guarantors and the banks named therein</w:t>
              </w:r>
            </w:hyperlink>
          </w:p>
        </w:tc>
        <w:tc>
          <w:tcPr>
            <w:tcW w:w="60" w:type="dxa"/>
            <w:vAlign w:val="bottom"/>
            <w:gridSpan w:val="3"/>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gridSpan w:val="3"/>
          </w:tcPr>
          <w:p>
            <w:pPr>
              <w:spacing w:after="0"/>
              <w:rPr>
                <w:sz w:val="8"/>
                <w:szCs w:val="8"/>
                <w:color w:val="auto"/>
              </w:rPr>
            </w:pPr>
          </w:p>
        </w:tc>
        <w:tc>
          <w:tcPr>
            <w:tcW w:w="1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700" w:type="dxa"/>
            <w:vAlign w:val="bottom"/>
          </w:tcPr>
          <w:p>
            <w:pPr>
              <w:jc w:val="center"/>
              <w:spacing w:after="0"/>
              <w:rPr>
                <w:sz w:val="20"/>
                <w:szCs w:val="20"/>
                <w:color w:val="auto"/>
              </w:rPr>
            </w:pPr>
            <w:r>
              <w:rPr>
                <w:rFonts w:ascii="Arial" w:cs="Arial" w:eastAsia="Arial" w:hAnsi="Arial"/>
                <w:sz w:val="11"/>
                <w:szCs w:val="11"/>
                <w:color w:val="auto"/>
                <w:w w:val="93"/>
              </w:rPr>
              <w:t>4.16</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80" w:type="dxa"/>
            <w:vAlign w:val="bottom"/>
            <w:gridSpan w:val="20"/>
          </w:tcPr>
          <w:p>
            <w:pPr>
              <w:spacing w:after="0"/>
              <w:rPr>
                <w:rFonts w:ascii="Arial" w:cs="Arial" w:eastAsia="Arial" w:hAnsi="Arial"/>
                <w:sz w:val="11"/>
                <w:szCs w:val="11"/>
                <w:color w:val="0000FF"/>
                <w:w w:val="98"/>
              </w:rPr>
            </w:pPr>
            <w:hyperlink r:id="rId42">
              <w:r>
                <w:rPr>
                  <w:rFonts w:ascii="Arial" w:cs="Arial" w:eastAsia="Arial" w:hAnsi="Arial"/>
                  <w:sz w:val="11"/>
                  <w:szCs w:val="11"/>
                  <w:color w:val="0000FF"/>
                  <w:w w:val="98"/>
                </w:rPr>
                <w:t>Term Loan Agreement dated as of September 14, 2018, among</w:t>
              </w:r>
            </w:hyperlink>
          </w:p>
        </w:tc>
        <w:tc>
          <w:tcPr>
            <w:tcW w:w="1840" w:type="dxa"/>
            <w:vAlign w:val="bottom"/>
            <w:gridSpan w:val="2"/>
          </w:tcPr>
          <w:p>
            <w:pPr>
              <w:ind w:left="20"/>
              <w:spacing w:after="0"/>
              <w:rPr>
                <w:sz w:val="20"/>
                <w:szCs w:val="20"/>
                <w:color w:val="auto"/>
              </w:rPr>
            </w:pPr>
            <w:r>
              <w:rPr>
                <w:rFonts w:ascii="Arial" w:cs="Arial" w:eastAsia="Arial" w:hAnsi="Arial"/>
                <w:sz w:val="11"/>
                <w:szCs w:val="11"/>
                <w:color w:val="auto"/>
              </w:rPr>
              <w:t>Vectren’s Form 8-K dated</w:t>
            </w:r>
          </w:p>
        </w:tc>
        <w:tc>
          <w:tcPr>
            <w:tcW w:w="1160" w:type="dxa"/>
            <w:vAlign w:val="bottom"/>
          </w:tcPr>
          <w:p>
            <w:pPr>
              <w:jc w:val="center"/>
              <w:spacing w:after="0"/>
              <w:rPr>
                <w:sz w:val="20"/>
                <w:szCs w:val="20"/>
                <w:color w:val="auto"/>
              </w:rPr>
            </w:pPr>
            <w:r>
              <w:rPr>
                <w:rFonts w:ascii="Arial" w:cs="Arial" w:eastAsia="Arial" w:hAnsi="Arial"/>
                <w:sz w:val="11"/>
                <w:szCs w:val="11"/>
                <w:color w:val="auto"/>
                <w:w w:val="94"/>
              </w:rPr>
              <w:t>1-15467</w:t>
            </w:r>
          </w:p>
        </w:tc>
        <w:tc>
          <w:tcPr>
            <w:tcW w:w="120" w:type="dxa"/>
            <w:vAlign w:val="bottom"/>
          </w:tcPr>
          <w:p>
            <w:pPr>
              <w:spacing w:after="0"/>
              <w:rPr>
                <w:sz w:val="12"/>
                <w:szCs w:val="12"/>
                <w:color w:val="auto"/>
              </w:rPr>
            </w:pPr>
          </w:p>
        </w:tc>
        <w:tc>
          <w:tcPr>
            <w:tcW w:w="900" w:type="dxa"/>
            <w:vAlign w:val="bottom"/>
          </w:tcPr>
          <w:p>
            <w:pPr>
              <w:jc w:val="center"/>
              <w:spacing w:after="0"/>
              <w:rPr>
                <w:sz w:val="20"/>
                <w:szCs w:val="20"/>
                <w:color w:val="auto"/>
              </w:rPr>
            </w:pPr>
            <w:r>
              <w:rPr>
                <w:rFonts w:ascii="Arial" w:cs="Arial" w:eastAsia="Arial" w:hAnsi="Arial"/>
                <w:sz w:val="11"/>
                <w:szCs w:val="11"/>
                <w:color w:val="auto"/>
                <w:w w:val="93"/>
              </w:rPr>
              <w:t>10.1</w:t>
            </w:r>
          </w:p>
        </w:tc>
        <w:tc>
          <w:tcPr>
            <w:tcW w:w="120" w:type="dxa"/>
            <w:vAlign w:val="bottom"/>
          </w:tcPr>
          <w:p>
            <w:pPr>
              <w:spacing w:after="0"/>
              <w:rPr>
                <w:sz w:val="12"/>
                <w:szCs w:val="12"/>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1"/>
                <w:szCs w:val="11"/>
                <w:color w:val="auto"/>
              </w:rPr>
              <w:t>x</w:t>
            </w: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9"/>
        </w:trPr>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2940" w:type="dxa"/>
            <w:vAlign w:val="bottom"/>
            <w:tcBorders>
              <w:top w:val="single" w:sz="8" w:color="0000FF"/>
              <w:bottom w:val="single" w:sz="8" w:color="0000FF"/>
            </w:tcBorders>
            <w:gridSpan w:val="16"/>
          </w:tcPr>
          <w:p>
            <w:pPr>
              <w:spacing w:after="0" w:line="99" w:lineRule="exact"/>
              <w:rPr>
                <w:rFonts w:ascii="Arial" w:cs="Arial" w:eastAsia="Arial" w:hAnsi="Arial"/>
                <w:sz w:val="11"/>
                <w:szCs w:val="11"/>
                <w:color w:val="0000FF"/>
                <w:w w:val="93"/>
              </w:rPr>
            </w:pPr>
            <w:hyperlink r:id="rId42">
              <w:r>
                <w:rPr>
                  <w:rFonts w:ascii="Arial" w:cs="Arial" w:eastAsia="Arial" w:hAnsi="Arial"/>
                  <w:sz w:val="11"/>
                  <w:szCs w:val="11"/>
                  <w:color w:val="0000FF"/>
                  <w:w w:val="93"/>
                </w:rPr>
                <w:t>VCC, as Borrower, Vectren as Guarantor, and the banks named</w:t>
              </w:r>
            </w:hyperlink>
          </w:p>
        </w:tc>
        <w:tc>
          <w:tcPr>
            <w:tcW w:w="20" w:type="dxa"/>
            <w:vAlign w:val="bottom"/>
            <w:tcBorders>
              <w:bottom w:val="single" w:sz="8" w:color="0000FF"/>
            </w:tcBorders>
          </w:tcPr>
          <w:p>
            <w:pPr>
              <w:spacing w:after="0"/>
              <w:rPr>
                <w:sz w:val="8"/>
                <w:szCs w:val="8"/>
                <w:color w:val="auto"/>
              </w:rPr>
            </w:pPr>
          </w:p>
        </w:tc>
        <w:tc>
          <w:tcPr>
            <w:tcW w:w="120" w:type="dxa"/>
            <w:vAlign w:val="bottom"/>
            <w:gridSpan w:val="3"/>
          </w:tcPr>
          <w:p>
            <w:pPr>
              <w:spacing w:after="0"/>
              <w:rPr>
                <w:sz w:val="8"/>
                <w:szCs w:val="8"/>
                <w:color w:val="auto"/>
              </w:rPr>
            </w:pPr>
          </w:p>
        </w:tc>
        <w:tc>
          <w:tcPr>
            <w:tcW w:w="1840" w:type="dxa"/>
            <w:vAlign w:val="bottom"/>
            <w:gridSpan w:val="2"/>
          </w:tcPr>
          <w:p>
            <w:pPr>
              <w:ind w:left="20"/>
              <w:spacing w:after="0" w:line="99" w:lineRule="exact"/>
              <w:rPr>
                <w:sz w:val="20"/>
                <w:szCs w:val="20"/>
                <w:color w:val="auto"/>
              </w:rPr>
            </w:pPr>
            <w:r>
              <w:rPr>
                <w:rFonts w:ascii="Arial" w:cs="Arial" w:eastAsia="Arial" w:hAnsi="Arial"/>
                <w:sz w:val="11"/>
                <w:szCs w:val="11"/>
                <w:color w:val="auto"/>
              </w:rPr>
              <w:t>September 18, 2018</w:t>
            </w:r>
          </w:p>
        </w:tc>
        <w:tc>
          <w:tcPr>
            <w:tcW w:w="1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Borders>
              <w:bottom w:val="single" w:sz="8" w:color="0000FF"/>
            </w:tcBorders>
          </w:tcPr>
          <w:p>
            <w:pPr>
              <w:spacing w:after="0" w:line="99" w:lineRule="exact"/>
              <w:rPr>
                <w:rFonts w:ascii="Arial" w:cs="Arial" w:eastAsia="Arial" w:hAnsi="Arial"/>
                <w:sz w:val="11"/>
                <w:szCs w:val="11"/>
                <w:color w:val="0000FF"/>
                <w:w w:val="89"/>
              </w:rPr>
            </w:pPr>
            <w:hyperlink r:id="rId42">
              <w:r>
                <w:rPr>
                  <w:rFonts w:ascii="Arial" w:cs="Arial" w:eastAsia="Arial" w:hAnsi="Arial"/>
                  <w:sz w:val="11"/>
                  <w:szCs w:val="11"/>
                  <w:color w:val="0000FF"/>
                  <w:w w:val="89"/>
                </w:rPr>
                <w:t>therein</w:t>
              </w:r>
            </w:hyperlink>
          </w:p>
        </w:tc>
        <w:tc>
          <w:tcPr>
            <w:tcW w:w="2640" w:type="dxa"/>
            <w:vAlign w:val="bottom"/>
            <w:gridSpan w:val="16"/>
          </w:tcPr>
          <w:p>
            <w:pPr>
              <w:spacing w:after="0"/>
              <w:rPr>
                <w:sz w:val="8"/>
                <w:szCs w:val="8"/>
                <w:color w:val="auto"/>
              </w:rPr>
            </w:pPr>
          </w:p>
        </w:tc>
        <w:tc>
          <w:tcPr>
            <w:tcW w:w="120" w:type="dxa"/>
            <w:vAlign w:val="bottom"/>
            <w:gridSpan w:val="3"/>
          </w:tcPr>
          <w:p>
            <w:pPr>
              <w:spacing w:after="0"/>
              <w:rPr>
                <w:sz w:val="8"/>
                <w:szCs w:val="8"/>
                <w:color w:val="auto"/>
              </w:rPr>
            </w:pPr>
          </w:p>
        </w:tc>
        <w:tc>
          <w:tcPr>
            <w:tcW w:w="1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700" w:type="dxa"/>
            <w:vAlign w:val="bottom"/>
          </w:tcPr>
          <w:p>
            <w:pPr>
              <w:jc w:val="center"/>
              <w:spacing w:after="0"/>
              <w:rPr>
                <w:sz w:val="20"/>
                <w:szCs w:val="20"/>
                <w:color w:val="auto"/>
              </w:rPr>
            </w:pPr>
            <w:r>
              <w:rPr>
                <w:rFonts w:ascii="Arial" w:cs="Arial" w:eastAsia="Arial" w:hAnsi="Arial"/>
                <w:sz w:val="11"/>
                <w:szCs w:val="11"/>
                <w:color w:val="auto"/>
                <w:w w:val="93"/>
              </w:rPr>
              <w:t>4.17</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80" w:type="dxa"/>
            <w:vAlign w:val="bottom"/>
            <w:gridSpan w:val="20"/>
          </w:tcPr>
          <w:p>
            <w:pPr>
              <w:spacing w:after="0"/>
              <w:rPr>
                <w:rFonts w:ascii="Arial" w:cs="Arial" w:eastAsia="Arial" w:hAnsi="Arial"/>
                <w:sz w:val="11"/>
                <w:szCs w:val="11"/>
                <w:color w:val="0000FF"/>
              </w:rPr>
            </w:pPr>
            <w:hyperlink r:id="rId43">
              <w:r>
                <w:rPr>
                  <w:rFonts w:ascii="Arial" w:cs="Arial" w:eastAsia="Arial" w:hAnsi="Arial"/>
                  <w:sz w:val="11"/>
                  <w:szCs w:val="11"/>
                  <w:color w:val="0000FF"/>
                </w:rPr>
                <w:t>First Amendment to Term Loan Agreement, dated as of June</w:t>
              </w:r>
            </w:hyperlink>
          </w:p>
        </w:tc>
        <w:tc>
          <w:tcPr>
            <w:tcW w:w="1840" w:type="dxa"/>
            <w:vAlign w:val="bottom"/>
            <w:gridSpan w:val="2"/>
          </w:tcPr>
          <w:p>
            <w:pPr>
              <w:ind w:left="20"/>
              <w:spacing w:after="0"/>
              <w:rPr>
                <w:sz w:val="20"/>
                <w:szCs w:val="20"/>
                <w:color w:val="auto"/>
              </w:rPr>
            </w:pPr>
            <w:r>
              <w:rPr>
                <w:rFonts w:ascii="Arial" w:cs="Arial" w:eastAsia="Arial" w:hAnsi="Arial"/>
                <w:sz w:val="11"/>
                <w:szCs w:val="11"/>
                <w:color w:val="auto"/>
              </w:rPr>
              <w:t>CenterPoint Energy’s Form 10-Q</w:t>
            </w:r>
          </w:p>
        </w:tc>
        <w:tc>
          <w:tcPr>
            <w:tcW w:w="1160" w:type="dxa"/>
            <w:vAlign w:val="bottom"/>
          </w:tcPr>
          <w:p>
            <w:pPr>
              <w:jc w:val="center"/>
              <w:spacing w:after="0"/>
              <w:rPr>
                <w:sz w:val="20"/>
                <w:szCs w:val="20"/>
                <w:color w:val="auto"/>
              </w:rPr>
            </w:pPr>
            <w:r>
              <w:rPr>
                <w:rFonts w:ascii="Arial" w:cs="Arial" w:eastAsia="Arial" w:hAnsi="Arial"/>
                <w:sz w:val="11"/>
                <w:szCs w:val="11"/>
                <w:color w:val="auto"/>
                <w:w w:val="94"/>
              </w:rPr>
              <w:t>1-31447</w:t>
            </w:r>
          </w:p>
        </w:tc>
        <w:tc>
          <w:tcPr>
            <w:tcW w:w="120" w:type="dxa"/>
            <w:vAlign w:val="bottom"/>
          </w:tcPr>
          <w:p>
            <w:pPr>
              <w:spacing w:after="0"/>
              <w:rPr>
                <w:sz w:val="12"/>
                <w:szCs w:val="12"/>
                <w:color w:val="auto"/>
              </w:rPr>
            </w:pPr>
          </w:p>
        </w:tc>
        <w:tc>
          <w:tcPr>
            <w:tcW w:w="900" w:type="dxa"/>
            <w:vAlign w:val="bottom"/>
          </w:tcPr>
          <w:p>
            <w:pPr>
              <w:jc w:val="center"/>
              <w:spacing w:after="0"/>
              <w:rPr>
                <w:sz w:val="20"/>
                <w:szCs w:val="20"/>
                <w:color w:val="auto"/>
              </w:rPr>
            </w:pPr>
            <w:r>
              <w:rPr>
                <w:rFonts w:ascii="Arial" w:cs="Arial" w:eastAsia="Arial" w:hAnsi="Arial"/>
                <w:sz w:val="11"/>
                <w:szCs w:val="11"/>
                <w:color w:val="auto"/>
                <w:w w:val="93"/>
              </w:rPr>
              <w:t>4.17</w:t>
            </w:r>
          </w:p>
        </w:tc>
        <w:tc>
          <w:tcPr>
            <w:tcW w:w="120" w:type="dxa"/>
            <w:vAlign w:val="bottom"/>
          </w:tcPr>
          <w:p>
            <w:pPr>
              <w:spacing w:after="0"/>
              <w:rPr>
                <w:sz w:val="12"/>
                <w:szCs w:val="12"/>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1"/>
                <w:szCs w:val="11"/>
                <w:color w:val="auto"/>
              </w:rPr>
              <w:t>x</w:t>
            </w: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520" w:type="dxa"/>
            <w:vAlign w:val="bottom"/>
            <w:gridSpan w:val="4"/>
            <w:shd w:val="clear" w:color="auto" w:fill="0000FF"/>
          </w:tcPr>
          <w:p>
            <w:pPr>
              <w:spacing w:after="0" w:line="20" w:lineRule="exact"/>
              <w:rPr>
                <w:sz w:val="1"/>
                <w:szCs w:val="1"/>
                <w:color w:val="auto"/>
              </w:rPr>
            </w:pPr>
          </w:p>
        </w:tc>
        <w:tc>
          <w:tcPr>
            <w:tcW w:w="140" w:type="dxa"/>
            <w:vAlign w:val="bottom"/>
            <w:tcBorders>
              <w:right w:val="single" w:sz="8" w:color="0000FF"/>
            </w:tcBorders>
            <w:gridSpan w:val="2"/>
            <w:shd w:val="clear" w:color="auto" w:fill="0000FF"/>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1840" w:type="dxa"/>
            <w:vAlign w:val="bottom"/>
            <w:gridSpan w:val="2"/>
            <w:vMerge w:val="restart"/>
          </w:tcPr>
          <w:p>
            <w:pPr>
              <w:ind w:left="20"/>
              <w:spacing w:after="0" w:line="119" w:lineRule="exact"/>
              <w:rPr>
                <w:sz w:val="20"/>
                <w:szCs w:val="20"/>
                <w:color w:val="auto"/>
              </w:rPr>
            </w:pPr>
            <w:r>
              <w:rPr>
                <w:rFonts w:ascii="Arial" w:cs="Arial" w:eastAsia="Arial" w:hAnsi="Arial"/>
                <w:sz w:val="11"/>
                <w:szCs w:val="11"/>
                <w:color w:val="auto"/>
              </w:rPr>
              <w:t>for the quarter ended June 30, 2019</w:t>
            </w: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9"/>
        </w:trPr>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3080" w:type="dxa"/>
            <w:vAlign w:val="bottom"/>
            <w:gridSpan w:val="20"/>
          </w:tcPr>
          <w:p>
            <w:pPr>
              <w:spacing w:after="0" w:line="99" w:lineRule="exact"/>
              <w:rPr>
                <w:rFonts w:ascii="Arial" w:cs="Arial" w:eastAsia="Arial" w:hAnsi="Arial"/>
                <w:sz w:val="11"/>
                <w:szCs w:val="11"/>
                <w:color w:val="0000FF"/>
                <w:w w:val="99"/>
              </w:rPr>
            </w:pPr>
            <w:hyperlink r:id="rId43">
              <w:r>
                <w:rPr>
                  <w:rFonts w:ascii="Arial" w:cs="Arial" w:eastAsia="Arial" w:hAnsi="Arial"/>
                  <w:sz w:val="11"/>
                  <w:szCs w:val="11"/>
                  <w:color w:val="0000FF"/>
                  <w:w w:val="99"/>
                </w:rPr>
                <w:t>25, 2019, among VCC, as Borrower, Vectren as Guarantor and</w:t>
              </w:r>
            </w:hyperlink>
          </w:p>
        </w:tc>
        <w:tc>
          <w:tcPr>
            <w:tcW w:w="1840" w:type="dxa"/>
            <w:vAlign w:val="bottom"/>
            <w:gridSpan w:val="2"/>
            <w:vMerge w:val="continue"/>
          </w:tcPr>
          <w:p>
            <w:pPr>
              <w:spacing w:after="0"/>
              <w:rPr>
                <w:sz w:val="8"/>
                <w:szCs w:val="8"/>
                <w:color w:val="auto"/>
              </w:rPr>
            </w:pPr>
          </w:p>
        </w:tc>
        <w:tc>
          <w:tcPr>
            <w:tcW w:w="1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1120" w:type="dxa"/>
            <w:vAlign w:val="bottom"/>
            <w:tcBorders>
              <w:top w:val="single" w:sz="8" w:color="0000FF"/>
              <w:bottom w:val="single" w:sz="8" w:color="0000FF"/>
            </w:tcBorders>
            <w:gridSpan w:val="3"/>
          </w:tcPr>
          <w:p>
            <w:pPr>
              <w:spacing w:after="0" w:line="99" w:lineRule="exact"/>
              <w:rPr>
                <w:rFonts w:ascii="Arial" w:cs="Arial" w:eastAsia="Arial" w:hAnsi="Arial"/>
                <w:sz w:val="11"/>
                <w:szCs w:val="11"/>
                <w:color w:val="0000FF"/>
                <w:w w:val="90"/>
              </w:rPr>
            </w:pPr>
            <w:hyperlink r:id="rId43">
              <w:r>
                <w:rPr>
                  <w:rFonts w:ascii="Arial" w:cs="Arial" w:eastAsia="Arial" w:hAnsi="Arial"/>
                  <w:sz w:val="11"/>
                  <w:szCs w:val="11"/>
                  <w:color w:val="0000FF"/>
                  <w:w w:val="90"/>
                </w:rPr>
                <w:t>the banks named therein</w:t>
              </w:r>
            </w:hyperlink>
          </w:p>
        </w:tc>
        <w:tc>
          <w:tcPr>
            <w:tcW w:w="1800" w:type="dxa"/>
            <w:vAlign w:val="bottom"/>
            <w:tcBorders>
              <w:top w:val="single" w:sz="8" w:color="0000FF"/>
            </w:tcBorders>
            <w:gridSpan w:val="12"/>
          </w:tcPr>
          <w:p>
            <w:pPr>
              <w:spacing w:after="0"/>
              <w:rPr>
                <w:sz w:val="8"/>
                <w:szCs w:val="8"/>
                <w:color w:val="auto"/>
              </w:rPr>
            </w:pPr>
          </w:p>
        </w:tc>
        <w:tc>
          <w:tcPr>
            <w:tcW w:w="160" w:type="dxa"/>
            <w:vAlign w:val="bottom"/>
            <w:gridSpan w:val="5"/>
          </w:tcPr>
          <w:p>
            <w:pPr>
              <w:spacing w:after="0"/>
              <w:rPr>
                <w:sz w:val="8"/>
                <w:szCs w:val="8"/>
                <w:color w:val="auto"/>
              </w:rPr>
            </w:pPr>
          </w:p>
        </w:tc>
        <w:tc>
          <w:tcPr>
            <w:tcW w:w="1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700" w:type="dxa"/>
            <w:vAlign w:val="bottom"/>
          </w:tcPr>
          <w:p>
            <w:pPr>
              <w:jc w:val="center"/>
              <w:spacing w:after="0"/>
              <w:rPr>
                <w:sz w:val="20"/>
                <w:szCs w:val="20"/>
                <w:color w:val="auto"/>
              </w:rPr>
            </w:pPr>
            <w:r>
              <w:rPr>
                <w:rFonts w:ascii="Arial" w:cs="Arial" w:eastAsia="Arial" w:hAnsi="Arial"/>
                <w:sz w:val="11"/>
                <w:szCs w:val="11"/>
                <w:color w:val="auto"/>
                <w:w w:val="93"/>
              </w:rPr>
              <w:t>4.18</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780" w:type="dxa"/>
            <w:vAlign w:val="bottom"/>
            <w:tcBorders>
              <w:bottom w:val="single" w:sz="8" w:color="0000FF"/>
            </w:tcBorders>
            <w:gridSpan w:val="9"/>
          </w:tcPr>
          <w:p>
            <w:pPr>
              <w:spacing w:after="0"/>
              <w:rPr>
                <w:rFonts w:ascii="Arial" w:cs="Arial" w:eastAsia="Arial" w:hAnsi="Arial"/>
                <w:sz w:val="11"/>
                <w:szCs w:val="11"/>
                <w:color w:val="0000FF"/>
                <w:w w:val="93"/>
              </w:rPr>
            </w:pPr>
            <w:hyperlink r:id="rId44">
              <w:r>
                <w:rPr>
                  <w:rFonts w:ascii="Arial" w:cs="Arial" w:eastAsia="Arial" w:hAnsi="Arial"/>
                  <w:sz w:val="11"/>
                  <w:szCs w:val="11"/>
                  <w:u w:val="single" w:color="auto"/>
                  <w:color w:val="0000FF"/>
                  <w:w w:val="93"/>
                </w:rPr>
                <w:t>$</w:t>
              </w:r>
              <w:r>
                <w:rPr>
                  <w:rFonts w:ascii="Arial" w:cs="Arial" w:eastAsia="Arial" w:hAnsi="Arial"/>
                  <w:sz w:val="11"/>
                  <w:szCs w:val="11"/>
                  <w:color w:val="0000FF"/>
                  <w:w w:val="93"/>
                </w:rPr>
                <w:t>1,000,000,000 Term Loan Agreement, dated as of May 15,</w:t>
              </w:r>
            </w:hyperlink>
          </w:p>
        </w:tc>
        <w:tc>
          <w:tcPr>
            <w:tcW w:w="300" w:type="dxa"/>
            <w:vAlign w:val="bottom"/>
            <w:gridSpan w:val="11"/>
          </w:tcPr>
          <w:p>
            <w:pPr>
              <w:spacing w:after="0"/>
              <w:rPr>
                <w:sz w:val="12"/>
                <w:szCs w:val="12"/>
                <w:color w:val="auto"/>
              </w:rPr>
            </w:pPr>
          </w:p>
        </w:tc>
        <w:tc>
          <w:tcPr>
            <w:tcW w:w="1840" w:type="dxa"/>
            <w:vAlign w:val="bottom"/>
            <w:gridSpan w:val="2"/>
          </w:tcPr>
          <w:p>
            <w:pPr>
              <w:ind w:left="20"/>
              <w:spacing w:after="0"/>
              <w:rPr>
                <w:sz w:val="20"/>
                <w:szCs w:val="20"/>
                <w:color w:val="auto"/>
              </w:rPr>
            </w:pPr>
            <w:r>
              <w:rPr>
                <w:rFonts w:ascii="Arial" w:cs="Arial" w:eastAsia="Arial" w:hAnsi="Arial"/>
                <w:sz w:val="11"/>
                <w:szCs w:val="11"/>
                <w:color w:val="auto"/>
              </w:rPr>
              <w:t>CenterPoint Energy’s Form 8-K</w:t>
            </w:r>
          </w:p>
        </w:tc>
        <w:tc>
          <w:tcPr>
            <w:tcW w:w="1160" w:type="dxa"/>
            <w:vAlign w:val="bottom"/>
          </w:tcPr>
          <w:p>
            <w:pPr>
              <w:jc w:val="center"/>
              <w:spacing w:after="0"/>
              <w:rPr>
                <w:sz w:val="20"/>
                <w:szCs w:val="20"/>
                <w:color w:val="auto"/>
              </w:rPr>
            </w:pPr>
            <w:r>
              <w:rPr>
                <w:rFonts w:ascii="Arial" w:cs="Arial" w:eastAsia="Arial" w:hAnsi="Arial"/>
                <w:sz w:val="11"/>
                <w:szCs w:val="11"/>
                <w:color w:val="auto"/>
                <w:w w:val="94"/>
              </w:rPr>
              <w:t>1-31447</w:t>
            </w:r>
          </w:p>
        </w:tc>
        <w:tc>
          <w:tcPr>
            <w:tcW w:w="120" w:type="dxa"/>
            <w:vAlign w:val="bottom"/>
          </w:tcPr>
          <w:p>
            <w:pPr>
              <w:spacing w:after="0"/>
              <w:rPr>
                <w:sz w:val="12"/>
                <w:szCs w:val="12"/>
                <w:color w:val="auto"/>
              </w:rPr>
            </w:pPr>
          </w:p>
        </w:tc>
        <w:tc>
          <w:tcPr>
            <w:tcW w:w="900" w:type="dxa"/>
            <w:vAlign w:val="bottom"/>
          </w:tcPr>
          <w:p>
            <w:pPr>
              <w:jc w:val="center"/>
              <w:spacing w:after="0"/>
              <w:rPr>
                <w:sz w:val="20"/>
                <w:szCs w:val="20"/>
                <w:color w:val="auto"/>
              </w:rPr>
            </w:pPr>
            <w:r>
              <w:rPr>
                <w:rFonts w:ascii="Arial" w:cs="Arial" w:eastAsia="Arial" w:hAnsi="Arial"/>
                <w:sz w:val="11"/>
                <w:szCs w:val="11"/>
                <w:color w:val="auto"/>
                <w:w w:val="91"/>
              </w:rPr>
              <w:t>4.1</w:t>
            </w:r>
          </w:p>
        </w:tc>
        <w:tc>
          <w:tcPr>
            <w:tcW w:w="120" w:type="dxa"/>
            <w:vAlign w:val="bottom"/>
          </w:tcPr>
          <w:p>
            <w:pPr>
              <w:spacing w:after="0"/>
              <w:rPr>
                <w:sz w:val="12"/>
                <w:szCs w:val="12"/>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1"/>
                <w:szCs w:val="11"/>
                <w:color w:val="auto"/>
              </w:rPr>
              <w:t>x</w:t>
            </w: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9"/>
        </w:trPr>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3080" w:type="dxa"/>
            <w:vAlign w:val="bottom"/>
            <w:gridSpan w:val="20"/>
          </w:tcPr>
          <w:p>
            <w:pPr>
              <w:spacing w:after="0" w:line="99" w:lineRule="exact"/>
              <w:rPr>
                <w:rFonts w:ascii="Arial" w:cs="Arial" w:eastAsia="Arial" w:hAnsi="Arial"/>
                <w:sz w:val="11"/>
                <w:szCs w:val="11"/>
                <w:color w:val="0000FF"/>
              </w:rPr>
            </w:pPr>
            <w:hyperlink r:id="rId44">
              <w:r>
                <w:rPr>
                  <w:rFonts w:ascii="Arial" w:cs="Arial" w:eastAsia="Arial" w:hAnsi="Arial"/>
                  <w:sz w:val="11"/>
                  <w:szCs w:val="11"/>
                  <w:color w:val="0000FF"/>
                </w:rPr>
                <w:t>2019, among CenterPoint Energy, as Borrower, Mizuho Bank,</w:t>
              </w:r>
            </w:hyperlink>
          </w:p>
        </w:tc>
        <w:tc>
          <w:tcPr>
            <w:tcW w:w="1840" w:type="dxa"/>
            <w:vAlign w:val="bottom"/>
            <w:gridSpan w:val="2"/>
          </w:tcPr>
          <w:p>
            <w:pPr>
              <w:ind w:left="20"/>
              <w:spacing w:after="0" w:line="99" w:lineRule="exact"/>
              <w:rPr>
                <w:sz w:val="20"/>
                <w:szCs w:val="20"/>
                <w:color w:val="auto"/>
              </w:rPr>
            </w:pPr>
            <w:r>
              <w:rPr>
                <w:rFonts w:ascii="Arial" w:cs="Arial" w:eastAsia="Arial" w:hAnsi="Arial"/>
                <w:sz w:val="11"/>
                <w:szCs w:val="11"/>
                <w:color w:val="auto"/>
              </w:rPr>
              <w:t>dated May 15, 2019</w:t>
            </w:r>
          </w:p>
        </w:tc>
        <w:tc>
          <w:tcPr>
            <w:tcW w:w="1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2900" w:type="dxa"/>
            <w:vAlign w:val="bottom"/>
            <w:tcBorders>
              <w:top w:val="single" w:sz="8" w:color="0000FF"/>
            </w:tcBorders>
            <w:gridSpan w:val="14"/>
          </w:tcPr>
          <w:p>
            <w:pPr>
              <w:spacing w:after="0" w:line="99" w:lineRule="exact"/>
              <w:rPr>
                <w:rFonts w:ascii="Arial" w:cs="Arial" w:eastAsia="Arial" w:hAnsi="Arial"/>
                <w:sz w:val="11"/>
                <w:szCs w:val="11"/>
                <w:color w:val="0000FF"/>
              </w:rPr>
            </w:pPr>
            <w:hyperlink r:id="rId44">
              <w:r>
                <w:rPr>
                  <w:rFonts w:ascii="Arial" w:cs="Arial" w:eastAsia="Arial" w:hAnsi="Arial"/>
                  <w:sz w:val="11"/>
                  <w:szCs w:val="11"/>
                  <w:color w:val="0000FF"/>
                </w:rPr>
                <w:t>Ltd., as Administrative Agent and Lead Arranger, and the</w:t>
              </w:r>
            </w:hyperlink>
          </w:p>
        </w:tc>
        <w:tc>
          <w:tcPr>
            <w:tcW w:w="180" w:type="dxa"/>
            <w:vAlign w:val="bottom"/>
            <w:gridSpan w:val="6"/>
          </w:tcPr>
          <w:p>
            <w:pPr>
              <w:spacing w:after="0"/>
              <w:rPr>
                <w:sz w:val="8"/>
                <w:szCs w:val="8"/>
                <w:color w:val="auto"/>
              </w:rPr>
            </w:pPr>
          </w:p>
        </w:tc>
        <w:tc>
          <w:tcPr>
            <w:tcW w:w="1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980" w:type="dxa"/>
            <w:vAlign w:val="bottom"/>
            <w:tcBorders>
              <w:top w:val="single" w:sz="8" w:color="0000FF"/>
              <w:bottom w:val="single" w:sz="8" w:color="0000FF"/>
            </w:tcBorders>
            <w:gridSpan w:val="2"/>
          </w:tcPr>
          <w:p>
            <w:pPr>
              <w:spacing w:after="0" w:line="99" w:lineRule="exact"/>
              <w:rPr>
                <w:rFonts w:ascii="Arial" w:cs="Arial" w:eastAsia="Arial" w:hAnsi="Arial"/>
                <w:sz w:val="11"/>
                <w:szCs w:val="11"/>
                <w:color w:val="0000FF"/>
                <w:w w:val="93"/>
              </w:rPr>
            </w:pPr>
            <w:hyperlink r:id="rId44">
              <w:r>
                <w:rPr>
                  <w:rFonts w:ascii="Arial" w:cs="Arial" w:eastAsia="Arial" w:hAnsi="Arial"/>
                  <w:sz w:val="11"/>
                  <w:szCs w:val="11"/>
                  <w:color w:val="0000FF"/>
                  <w:w w:val="93"/>
                </w:rPr>
                <w:t>banks named therein</w:t>
              </w:r>
            </w:hyperlink>
          </w:p>
        </w:tc>
        <w:tc>
          <w:tcPr>
            <w:tcW w:w="1660" w:type="dxa"/>
            <w:vAlign w:val="bottom"/>
            <w:tcBorders>
              <w:top w:val="single" w:sz="8" w:color="0000FF"/>
            </w:tcBorders>
            <w:gridSpan w:val="5"/>
          </w:tcPr>
          <w:p>
            <w:pPr>
              <w:spacing w:after="0"/>
              <w:rPr>
                <w:sz w:val="8"/>
                <w:szCs w:val="8"/>
                <w:color w:val="auto"/>
              </w:rPr>
            </w:pPr>
          </w:p>
        </w:tc>
        <w:tc>
          <w:tcPr>
            <w:tcW w:w="440" w:type="dxa"/>
            <w:vAlign w:val="bottom"/>
            <w:gridSpan w:val="13"/>
          </w:tcPr>
          <w:p>
            <w:pPr>
              <w:spacing w:after="0"/>
              <w:rPr>
                <w:sz w:val="8"/>
                <w:szCs w:val="8"/>
                <w:color w:val="auto"/>
              </w:rPr>
            </w:pPr>
          </w:p>
        </w:tc>
        <w:tc>
          <w:tcPr>
            <w:tcW w:w="1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8" w:lineRule="exact"/>
        <w:rPr>
          <w:sz w:val="20"/>
          <w:szCs w:val="20"/>
          <w:color w:val="auto"/>
        </w:rPr>
      </w:pPr>
    </w:p>
    <w:p>
      <w:pPr>
        <w:sectPr>
          <w:pgSz w:w="11900" w:h="16838" w:orient="portrait"/>
          <w:cols w:equalWidth="0" w:num="1">
            <w:col w:w="11460"/>
          </w:cols>
          <w:pgMar w:left="220" w:top="129" w:right="219" w:bottom="1440" w:gutter="0" w:footer="0" w:header="0"/>
        </w:sectPr>
      </w:pPr>
    </w:p>
    <w:p>
      <w:pPr>
        <w:ind w:left="260"/>
        <w:spacing w:after="0"/>
        <w:rPr>
          <w:sz w:val="20"/>
          <w:szCs w:val="20"/>
          <w:color w:val="auto"/>
        </w:rPr>
      </w:pPr>
      <w:r>
        <w:rPr>
          <w:rFonts w:ascii="Arial" w:cs="Arial" w:eastAsia="Arial" w:hAnsi="Arial"/>
          <w:sz w:val="11"/>
          <w:szCs w:val="11"/>
          <w:color w:val="auto"/>
        </w:rPr>
        <w:t>4.19</w:t>
      </w:r>
    </w:p>
    <w:p>
      <w:pPr>
        <w:spacing w:after="0" w:line="283" w:lineRule="exact"/>
        <w:rPr>
          <w:sz w:val="20"/>
          <w:szCs w:val="20"/>
          <w:color w:val="auto"/>
        </w:rPr>
      </w:pPr>
    </w:p>
    <w:p>
      <w:pPr>
        <w:ind w:left="220"/>
        <w:spacing w:after="0"/>
        <w:rPr>
          <w:sz w:val="20"/>
          <w:szCs w:val="20"/>
          <w:color w:val="auto"/>
        </w:rPr>
      </w:pPr>
      <w:r>
        <w:rPr>
          <w:rFonts w:ascii="Arial" w:cs="Arial" w:eastAsia="Arial" w:hAnsi="Arial"/>
          <w:sz w:val="10"/>
          <w:szCs w:val="10"/>
          <w:color w:val="auto"/>
        </w:rPr>
        <w:t>+4.20</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6"/>
        </w:trPr>
        <w:tc>
          <w:tcPr>
            <w:tcW w:w="2940" w:type="dxa"/>
            <w:vAlign w:val="bottom"/>
            <w:gridSpan w:val="7"/>
            <w:vMerge w:val="restart"/>
          </w:tcPr>
          <w:p>
            <w:pPr>
              <w:spacing w:after="0"/>
              <w:rPr>
                <w:rFonts w:ascii="Arial" w:cs="Arial" w:eastAsia="Arial" w:hAnsi="Arial"/>
                <w:sz w:val="11"/>
                <w:szCs w:val="11"/>
                <w:color w:val="0000FF"/>
              </w:rPr>
            </w:pPr>
            <w:hyperlink r:id="rId45">
              <w:r>
                <w:rPr>
                  <w:rFonts w:ascii="Arial" w:cs="Arial" w:eastAsia="Arial" w:hAnsi="Arial"/>
                  <w:sz w:val="11"/>
                  <w:szCs w:val="11"/>
                  <w:color w:val="0000FF"/>
                </w:rPr>
                <w:t>Indenture, dated as of May 19, 2003, between CenterPoint</w:t>
              </w:r>
            </w:hyperlink>
          </w:p>
        </w:tc>
        <w:tc>
          <w:tcPr>
            <w:tcW w:w="2000" w:type="dxa"/>
            <w:vAlign w:val="bottom"/>
            <w:vMerge w:val="restart"/>
          </w:tcPr>
          <w:p>
            <w:pPr>
              <w:ind w:left="160"/>
              <w:spacing w:after="0"/>
              <w:rPr>
                <w:sz w:val="20"/>
                <w:szCs w:val="20"/>
                <w:color w:val="auto"/>
              </w:rPr>
            </w:pPr>
            <w:r>
              <w:rPr>
                <w:rFonts w:ascii="Arial" w:cs="Arial" w:eastAsia="Arial" w:hAnsi="Arial"/>
                <w:sz w:val="11"/>
                <w:szCs w:val="11"/>
                <w:color w:val="auto"/>
              </w:rPr>
              <w:t>CenterPoint Energy’s Form 8-K</w:t>
            </w:r>
          </w:p>
        </w:tc>
        <w:tc>
          <w:tcPr>
            <w:tcW w:w="1200" w:type="dxa"/>
            <w:vAlign w:val="bottom"/>
          </w:tcPr>
          <w:p>
            <w:pPr>
              <w:jc w:val="right"/>
              <w:ind w:right="403"/>
              <w:spacing w:after="0"/>
              <w:rPr>
                <w:sz w:val="20"/>
                <w:szCs w:val="20"/>
                <w:color w:val="auto"/>
              </w:rPr>
            </w:pPr>
            <w:r>
              <w:rPr>
                <w:rFonts w:ascii="Arial" w:cs="Arial" w:eastAsia="Arial" w:hAnsi="Arial"/>
                <w:sz w:val="11"/>
                <w:szCs w:val="11"/>
                <w:color w:val="auto"/>
              </w:rPr>
              <w:t>1-31447</w:t>
            </w:r>
          </w:p>
        </w:tc>
        <w:tc>
          <w:tcPr>
            <w:tcW w:w="1100" w:type="dxa"/>
            <w:vAlign w:val="bottom"/>
          </w:tcPr>
          <w:p>
            <w:pPr>
              <w:jc w:val="right"/>
              <w:ind w:right="463"/>
              <w:spacing w:after="0"/>
              <w:rPr>
                <w:sz w:val="20"/>
                <w:szCs w:val="20"/>
                <w:color w:val="auto"/>
              </w:rPr>
            </w:pPr>
            <w:r>
              <w:rPr>
                <w:rFonts w:ascii="Arial" w:cs="Arial" w:eastAsia="Arial" w:hAnsi="Arial"/>
                <w:sz w:val="11"/>
                <w:szCs w:val="11"/>
                <w:color w:val="auto"/>
              </w:rPr>
              <w:t>4.1</w:t>
            </w:r>
          </w:p>
        </w:tc>
        <w:tc>
          <w:tcPr>
            <w:tcW w:w="580" w:type="dxa"/>
            <w:vAlign w:val="bottom"/>
          </w:tcPr>
          <w:p>
            <w:pPr>
              <w:ind w:left="520"/>
              <w:spacing w:after="0"/>
              <w:rPr>
                <w:sz w:val="20"/>
                <w:szCs w:val="20"/>
                <w:color w:val="auto"/>
              </w:rPr>
            </w:pPr>
            <w:r>
              <w:rPr>
                <w:rFonts w:ascii="Arial" w:cs="Arial" w:eastAsia="Arial" w:hAnsi="Arial"/>
                <w:sz w:val="11"/>
                <w:szCs w:val="11"/>
                <w:color w:val="auto"/>
                <w:w w:val="71"/>
              </w:rPr>
              <w:t>x</w:t>
            </w:r>
          </w:p>
        </w:tc>
        <w:tc>
          <w:tcPr>
            <w:tcW w:w="0" w:type="dxa"/>
            <w:vAlign w:val="bottom"/>
          </w:tcPr>
          <w:p>
            <w:pPr>
              <w:spacing w:after="0"/>
              <w:rPr>
                <w:sz w:val="1"/>
                <w:szCs w:val="1"/>
                <w:color w:val="auto"/>
              </w:rPr>
            </w:pPr>
          </w:p>
        </w:tc>
      </w:tr>
      <w:tr>
        <w:trPr>
          <w:trHeight w:val="41"/>
        </w:trPr>
        <w:tc>
          <w:tcPr>
            <w:tcW w:w="2940" w:type="dxa"/>
            <w:vAlign w:val="bottom"/>
            <w:gridSpan w:val="7"/>
            <w:vMerge w:val="continue"/>
          </w:tcPr>
          <w:p>
            <w:pPr>
              <w:spacing w:after="0"/>
              <w:rPr>
                <w:sz w:val="3"/>
                <w:szCs w:val="3"/>
                <w:color w:val="auto"/>
              </w:rPr>
            </w:pPr>
          </w:p>
        </w:tc>
        <w:tc>
          <w:tcPr>
            <w:tcW w:w="2000" w:type="dxa"/>
            <w:vAlign w:val="bottom"/>
            <w:vMerge w:val="continue"/>
          </w:tcPr>
          <w:p>
            <w:pPr>
              <w:spacing w:after="0"/>
              <w:rPr>
                <w:sz w:val="3"/>
                <w:szCs w:val="3"/>
                <w:color w:val="auto"/>
              </w:rPr>
            </w:pPr>
          </w:p>
        </w:tc>
        <w:tc>
          <w:tcPr>
            <w:tcW w:w="12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99"/>
        </w:trPr>
        <w:tc>
          <w:tcPr>
            <w:tcW w:w="2680" w:type="dxa"/>
            <w:vAlign w:val="bottom"/>
            <w:tcBorders>
              <w:top w:val="single" w:sz="8" w:color="0000FF"/>
            </w:tcBorders>
            <w:gridSpan w:val="3"/>
          </w:tcPr>
          <w:p>
            <w:pPr>
              <w:spacing w:after="0" w:line="99" w:lineRule="exact"/>
              <w:rPr>
                <w:rFonts w:ascii="Arial" w:cs="Arial" w:eastAsia="Arial" w:hAnsi="Arial"/>
                <w:sz w:val="11"/>
                <w:szCs w:val="11"/>
                <w:color w:val="0000FF"/>
              </w:rPr>
            </w:pPr>
            <w:hyperlink r:id="rId45">
              <w:r>
                <w:rPr>
                  <w:rFonts w:ascii="Arial" w:cs="Arial" w:eastAsia="Arial" w:hAnsi="Arial"/>
                  <w:sz w:val="11"/>
                  <w:szCs w:val="11"/>
                  <w:color w:val="0000FF"/>
                </w:rPr>
                <w:t>Energy and JPMorgan Chase Bank, as Trustee</w:t>
              </w:r>
            </w:hyperlink>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0" w:type="dxa"/>
            <w:vAlign w:val="bottom"/>
          </w:tcPr>
          <w:p>
            <w:pPr>
              <w:ind w:left="160"/>
              <w:spacing w:after="0" w:line="99" w:lineRule="exact"/>
              <w:rPr>
                <w:sz w:val="20"/>
                <w:szCs w:val="20"/>
                <w:color w:val="auto"/>
              </w:rPr>
            </w:pPr>
            <w:r>
              <w:rPr>
                <w:rFonts w:ascii="Arial" w:cs="Arial" w:eastAsia="Arial" w:hAnsi="Arial"/>
                <w:sz w:val="11"/>
                <w:szCs w:val="11"/>
                <w:color w:val="auto"/>
              </w:rPr>
              <w:t>dated May 19, 2003</w:t>
            </w:r>
          </w:p>
        </w:tc>
        <w:tc>
          <w:tcPr>
            <w:tcW w:w="12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0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2940" w:type="dxa"/>
            <w:vAlign w:val="bottom"/>
            <w:gridSpan w:val="7"/>
          </w:tcPr>
          <w:p>
            <w:pPr>
              <w:spacing w:after="0"/>
              <w:rPr>
                <w:rFonts w:ascii="Arial" w:cs="Arial" w:eastAsia="Arial" w:hAnsi="Arial"/>
                <w:sz w:val="11"/>
                <w:szCs w:val="11"/>
                <w:color w:val="0000FF"/>
              </w:rPr>
            </w:pPr>
            <w:hyperlink w:anchor="page112">
              <w:r>
                <w:rPr>
                  <w:rFonts w:ascii="Arial" w:cs="Arial" w:eastAsia="Arial" w:hAnsi="Arial"/>
                  <w:sz w:val="11"/>
                  <w:szCs w:val="11"/>
                  <w:color w:val="0000FF"/>
                </w:rPr>
                <w:t>Supplemental Indenture No. 11 to Exhibit 4.19, dated as of</w:t>
              </w:r>
            </w:hyperlink>
          </w:p>
        </w:tc>
        <w:tc>
          <w:tcPr>
            <w:tcW w:w="20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80" w:type="dxa"/>
            <w:vAlign w:val="bottom"/>
          </w:tcPr>
          <w:p>
            <w:pPr>
              <w:ind w:left="520"/>
              <w:spacing w:after="0"/>
              <w:rPr>
                <w:sz w:val="20"/>
                <w:szCs w:val="20"/>
                <w:color w:val="auto"/>
              </w:rPr>
            </w:pPr>
            <w:r>
              <w:rPr>
                <w:rFonts w:ascii="Arial" w:cs="Arial" w:eastAsia="Arial" w:hAnsi="Arial"/>
                <w:sz w:val="11"/>
                <w:szCs w:val="11"/>
                <w:color w:val="auto"/>
                <w:w w:val="71"/>
              </w:rPr>
              <w:t>x</w:t>
            </w:r>
          </w:p>
        </w:tc>
        <w:tc>
          <w:tcPr>
            <w:tcW w:w="0" w:type="dxa"/>
            <w:vAlign w:val="bottom"/>
          </w:tcPr>
          <w:p>
            <w:pPr>
              <w:spacing w:after="0"/>
              <w:rPr>
                <w:sz w:val="1"/>
                <w:szCs w:val="1"/>
                <w:color w:val="auto"/>
              </w:rPr>
            </w:pPr>
          </w:p>
        </w:tc>
      </w:tr>
      <w:tr>
        <w:trPr>
          <w:trHeight w:val="99"/>
        </w:trPr>
        <w:tc>
          <w:tcPr>
            <w:tcW w:w="2700" w:type="dxa"/>
            <w:vAlign w:val="bottom"/>
            <w:tcBorders>
              <w:top w:val="single" w:sz="8" w:color="0000FF"/>
              <w:bottom w:val="single" w:sz="8" w:color="0000FF"/>
            </w:tcBorders>
            <w:gridSpan w:val="4"/>
          </w:tcPr>
          <w:p>
            <w:pPr>
              <w:spacing w:after="0" w:line="99" w:lineRule="exact"/>
              <w:rPr>
                <w:rFonts w:ascii="Arial" w:cs="Arial" w:eastAsia="Arial" w:hAnsi="Arial"/>
                <w:sz w:val="11"/>
                <w:szCs w:val="11"/>
                <w:color w:val="0000FF"/>
                <w:w w:val="94"/>
              </w:rPr>
            </w:pPr>
            <w:hyperlink w:anchor="page112">
              <w:r>
                <w:rPr>
                  <w:rFonts w:ascii="Arial" w:cs="Arial" w:eastAsia="Arial" w:hAnsi="Arial"/>
                  <w:sz w:val="11"/>
                  <w:szCs w:val="11"/>
                  <w:color w:val="0000FF"/>
                  <w:w w:val="94"/>
                </w:rPr>
                <w:t>August 14, 2019, providing for the issuance of CenterPoint</w:t>
              </w:r>
            </w:hyperlink>
          </w:p>
        </w:tc>
        <w:tc>
          <w:tcPr>
            <w:tcW w:w="20" w:type="dxa"/>
            <w:vAlign w:val="bottom"/>
            <w:tcBorders>
              <w:bottom w:val="single" w:sz="8" w:color="0000FF"/>
            </w:tcBorders>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940" w:type="dxa"/>
            <w:vAlign w:val="bottom"/>
            <w:gridSpan w:val="7"/>
          </w:tcPr>
          <w:p>
            <w:pPr>
              <w:spacing w:after="0" w:line="99" w:lineRule="exact"/>
              <w:rPr>
                <w:rFonts w:ascii="Arial" w:cs="Arial" w:eastAsia="Arial" w:hAnsi="Arial"/>
                <w:sz w:val="11"/>
                <w:szCs w:val="11"/>
                <w:color w:val="0000FF"/>
                <w:w w:val="98"/>
              </w:rPr>
            </w:pPr>
            <w:hyperlink w:anchor="page112">
              <w:r>
                <w:rPr>
                  <w:rFonts w:ascii="Arial" w:cs="Arial" w:eastAsia="Arial" w:hAnsi="Arial"/>
                  <w:sz w:val="11"/>
                  <w:szCs w:val="11"/>
                  <w:color w:val="0000FF"/>
                  <w:w w:val="98"/>
                </w:rPr>
                <w:t>Energy’s 2.50% Senior Notes due 2024, 2.95% Senior Notes</w:t>
              </w:r>
            </w:hyperlink>
          </w:p>
        </w:tc>
        <w:tc>
          <w:tcPr>
            <w:tcW w:w="2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20" w:type="dxa"/>
            <w:vAlign w:val="bottom"/>
            <w:tcBorders>
              <w:top w:val="single" w:sz="8" w:color="0000FF"/>
              <w:bottom w:val="single" w:sz="8" w:color="0000FF"/>
            </w:tcBorders>
          </w:tcPr>
          <w:p>
            <w:pPr>
              <w:spacing w:after="0" w:line="99" w:lineRule="exact"/>
              <w:rPr>
                <w:rFonts w:ascii="Arial" w:cs="Arial" w:eastAsia="Arial" w:hAnsi="Arial"/>
                <w:sz w:val="11"/>
                <w:szCs w:val="11"/>
                <w:color w:val="0000FF"/>
                <w:w w:val="92"/>
              </w:rPr>
            </w:pPr>
            <w:hyperlink w:anchor="page112">
              <w:r>
                <w:rPr>
                  <w:rFonts w:ascii="Arial" w:cs="Arial" w:eastAsia="Arial" w:hAnsi="Arial"/>
                  <w:sz w:val="11"/>
                  <w:szCs w:val="11"/>
                  <w:color w:val="0000FF"/>
                  <w:w w:val="92"/>
                </w:rPr>
                <w:t>due 2030 and 3.70% Senior Notes due 2049</w:t>
              </w:r>
            </w:hyperlink>
          </w:p>
        </w:tc>
        <w:tc>
          <w:tcPr>
            <w:tcW w:w="760" w:type="dxa"/>
            <w:vAlign w:val="bottom"/>
            <w:tcBorders>
              <w:top w:val="single" w:sz="8" w:color="0000FF"/>
            </w:tcBorders>
            <w:gridSpan w:val="5"/>
          </w:tcPr>
          <w:p>
            <w:pPr>
              <w:spacing w:after="0"/>
              <w:rPr>
                <w:sz w:val="8"/>
                <w:szCs w:val="8"/>
                <w:color w:val="auto"/>
              </w:rPr>
            </w:pPr>
          </w:p>
        </w:tc>
        <w:tc>
          <w:tcPr>
            <w:tcW w:w="160" w:type="dxa"/>
            <w:vAlign w:val="bottom"/>
          </w:tcPr>
          <w:p>
            <w:pPr>
              <w:spacing w:after="0"/>
              <w:rPr>
                <w:sz w:val="8"/>
                <w:szCs w:val="8"/>
                <w:color w:val="auto"/>
              </w:rPr>
            </w:pPr>
          </w:p>
        </w:tc>
        <w:tc>
          <w:tcPr>
            <w:tcW w:w="2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4" w:lineRule="exact"/>
        <w:rPr>
          <w:sz w:val="20"/>
          <w:szCs w:val="20"/>
          <w:color w:val="auto"/>
        </w:rPr>
      </w:pPr>
    </w:p>
    <w:p>
      <w:pPr>
        <w:sectPr>
          <w:pgSz w:w="11900" w:h="16838" w:orient="portrait"/>
          <w:cols w:equalWidth="0" w:num="2">
            <w:col w:w="480" w:space="360"/>
            <w:col w:w="10620"/>
          </w:cols>
          <w:pgMar w:left="220" w:top="129" w:right="219" w:bottom="1440" w:gutter="0" w:footer="0" w:header="0"/>
          <w:type w:val="continuous"/>
        </w:sectPr>
      </w:pPr>
    </w:p>
    <w:tbl>
      <w:tblPr>
        <w:tblLayout w:type="fixed"/>
        <w:tblInd w:w="120" w:type="dxa"/>
        <w:tblCellMar>
          <w:top w:w="0" w:type="dxa"/>
          <w:left w:w="0" w:type="dxa"/>
          <w:bottom w:w="0" w:type="dxa"/>
          <w:right w:w="0" w:type="dxa"/>
        </w:tblCellMar>
      </w:tblPr>
      <w:tr>
        <w:trPr>
          <w:trHeight w:val="126"/>
        </w:trPr>
        <w:tc>
          <w:tcPr>
            <w:tcW w:w="720" w:type="dxa"/>
            <w:vAlign w:val="bottom"/>
          </w:tcPr>
          <w:p>
            <w:pPr>
              <w:jc w:val="center"/>
              <w:ind w:right="203"/>
              <w:spacing w:after="0"/>
              <w:rPr>
                <w:sz w:val="20"/>
                <w:szCs w:val="20"/>
                <w:color w:val="auto"/>
              </w:rPr>
            </w:pPr>
            <w:r>
              <w:rPr>
                <w:rFonts w:ascii="Arial" w:cs="Arial" w:eastAsia="Arial" w:hAnsi="Arial"/>
                <w:sz w:val="11"/>
                <w:szCs w:val="11"/>
                <w:color w:val="auto"/>
                <w:w w:val="91"/>
              </w:rPr>
              <w:t>+31.1.1</w:t>
            </w:r>
          </w:p>
        </w:tc>
        <w:tc>
          <w:tcPr>
            <w:tcW w:w="2860" w:type="dxa"/>
            <w:vAlign w:val="bottom"/>
            <w:tcBorders>
              <w:bottom w:val="single" w:sz="8" w:color="0000FF"/>
            </w:tcBorders>
            <w:gridSpan w:val="7"/>
          </w:tcPr>
          <w:p>
            <w:pPr>
              <w:spacing w:after="0"/>
              <w:rPr>
                <w:rFonts w:ascii="Arial" w:cs="Arial" w:eastAsia="Arial" w:hAnsi="Arial"/>
                <w:sz w:val="11"/>
                <w:szCs w:val="11"/>
                <w:color w:val="0000FF"/>
                <w:w w:val="95"/>
              </w:rPr>
            </w:pPr>
            <w:hyperlink w:anchor="page153">
              <w:r>
                <w:rPr>
                  <w:rFonts w:ascii="Arial" w:cs="Arial" w:eastAsia="Arial" w:hAnsi="Arial"/>
                  <w:sz w:val="11"/>
                  <w:szCs w:val="11"/>
                  <w:color w:val="0000FF"/>
                  <w:w w:val="95"/>
                </w:rPr>
                <w:t>Rule 13a-14(a)/15d-14(a) Certification of Scott M. Prochazka</w:t>
              </w:r>
            </w:hyperlink>
          </w:p>
        </w:tc>
        <w:tc>
          <w:tcPr>
            <w:tcW w:w="2460" w:type="dxa"/>
            <w:vAlign w:val="bottom"/>
          </w:tcPr>
          <w:p>
            <w:pPr>
              <w:spacing w:after="0"/>
              <w:rPr>
                <w:sz w:val="10"/>
                <w:szCs w:val="10"/>
                <w:color w:val="auto"/>
              </w:rPr>
            </w:pPr>
          </w:p>
        </w:tc>
        <w:tc>
          <w:tcPr>
            <w:tcW w:w="3060" w:type="dxa"/>
            <w:vAlign w:val="bottom"/>
          </w:tcPr>
          <w:p>
            <w:pPr>
              <w:ind w:left="2440"/>
              <w:spacing w:after="0"/>
              <w:rPr>
                <w:sz w:val="20"/>
                <w:szCs w:val="20"/>
                <w:color w:val="auto"/>
              </w:rPr>
            </w:pPr>
            <w:r>
              <w:rPr>
                <w:rFonts w:ascii="Arial" w:cs="Arial" w:eastAsia="Arial" w:hAnsi="Arial"/>
                <w:sz w:val="11"/>
                <w:szCs w:val="11"/>
                <w:color w:val="auto"/>
              </w:rPr>
              <w:t>x</w:t>
            </w:r>
          </w:p>
        </w:tc>
        <w:tc>
          <w:tcPr>
            <w:tcW w:w="1160" w:type="dxa"/>
            <w:vAlign w:val="bottom"/>
          </w:tcPr>
          <w:p>
            <w:pPr>
              <w:spacing w:after="0"/>
              <w:rPr>
                <w:sz w:val="10"/>
                <w:szCs w:val="10"/>
                <w:color w:val="auto"/>
              </w:rPr>
            </w:pPr>
          </w:p>
        </w:tc>
        <w:tc>
          <w:tcPr>
            <w:tcW w:w="600" w:type="dxa"/>
            <w:vAlign w:val="bottom"/>
          </w:tcPr>
          <w:p>
            <w:pPr>
              <w:spacing w:after="0"/>
              <w:rPr>
                <w:sz w:val="10"/>
                <w:szCs w:val="10"/>
                <w:color w:val="auto"/>
              </w:rPr>
            </w:pPr>
          </w:p>
        </w:tc>
      </w:tr>
      <w:tr>
        <w:trPr>
          <w:trHeight w:val="196"/>
        </w:trPr>
        <w:tc>
          <w:tcPr>
            <w:tcW w:w="720" w:type="dxa"/>
            <w:vAlign w:val="bottom"/>
          </w:tcPr>
          <w:p>
            <w:pPr>
              <w:jc w:val="center"/>
              <w:ind w:right="203"/>
              <w:spacing w:after="0"/>
              <w:rPr>
                <w:sz w:val="20"/>
                <w:szCs w:val="20"/>
                <w:color w:val="auto"/>
              </w:rPr>
            </w:pPr>
            <w:r>
              <w:rPr>
                <w:rFonts w:ascii="Arial" w:cs="Arial" w:eastAsia="Arial" w:hAnsi="Arial"/>
                <w:sz w:val="11"/>
                <w:szCs w:val="11"/>
                <w:color w:val="auto"/>
                <w:w w:val="91"/>
              </w:rPr>
              <w:t>+31.1.2</w:t>
            </w:r>
          </w:p>
        </w:tc>
        <w:tc>
          <w:tcPr>
            <w:tcW w:w="2860" w:type="dxa"/>
            <w:vAlign w:val="bottom"/>
            <w:tcBorders>
              <w:bottom w:val="single" w:sz="8" w:color="0000FF"/>
            </w:tcBorders>
            <w:gridSpan w:val="7"/>
          </w:tcPr>
          <w:p>
            <w:pPr>
              <w:spacing w:after="0"/>
              <w:rPr>
                <w:rFonts w:ascii="Arial" w:cs="Arial" w:eastAsia="Arial" w:hAnsi="Arial"/>
                <w:sz w:val="11"/>
                <w:szCs w:val="11"/>
                <w:color w:val="0000FF"/>
                <w:w w:val="95"/>
              </w:rPr>
            </w:pPr>
            <w:hyperlink w:anchor="page154">
              <w:r>
                <w:rPr>
                  <w:rFonts w:ascii="Arial" w:cs="Arial" w:eastAsia="Arial" w:hAnsi="Arial"/>
                  <w:sz w:val="11"/>
                  <w:szCs w:val="11"/>
                  <w:color w:val="0000FF"/>
                  <w:w w:val="95"/>
                </w:rPr>
                <w:t>Rule 13a-14(a)/15d-14(a) Certification of Scott M. Prochazka</w:t>
              </w:r>
            </w:hyperlink>
          </w:p>
        </w:tc>
        <w:tc>
          <w:tcPr>
            <w:tcW w:w="246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1160" w:type="dxa"/>
            <w:vAlign w:val="bottom"/>
          </w:tcPr>
          <w:p>
            <w:pPr>
              <w:ind w:left="560"/>
              <w:spacing w:after="0"/>
              <w:rPr>
                <w:sz w:val="20"/>
                <w:szCs w:val="20"/>
                <w:color w:val="auto"/>
              </w:rPr>
            </w:pPr>
            <w:r>
              <w:rPr>
                <w:rFonts w:ascii="Arial" w:cs="Arial" w:eastAsia="Arial" w:hAnsi="Arial"/>
                <w:sz w:val="11"/>
                <w:szCs w:val="11"/>
                <w:color w:val="auto"/>
              </w:rPr>
              <w:t>x</w:t>
            </w:r>
          </w:p>
        </w:tc>
        <w:tc>
          <w:tcPr>
            <w:tcW w:w="600" w:type="dxa"/>
            <w:vAlign w:val="bottom"/>
          </w:tcPr>
          <w:p>
            <w:pPr>
              <w:spacing w:after="0"/>
              <w:rPr>
                <w:sz w:val="17"/>
                <w:szCs w:val="17"/>
                <w:color w:val="auto"/>
              </w:rPr>
            </w:pPr>
          </w:p>
        </w:tc>
      </w:tr>
      <w:tr>
        <w:trPr>
          <w:trHeight w:val="196"/>
        </w:trPr>
        <w:tc>
          <w:tcPr>
            <w:tcW w:w="720" w:type="dxa"/>
            <w:vAlign w:val="bottom"/>
          </w:tcPr>
          <w:p>
            <w:pPr>
              <w:jc w:val="center"/>
              <w:ind w:right="203"/>
              <w:spacing w:after="0"/>
              <w:rPr>
                <w:sz w:val="20"/>
                <w:szCs w:val="20"/>
                <w:color w:val="auto"/>
              </w:rPr>
            </w:pPr>
            <w:r>
              <w:rPr>
                <w:rFonts w:ascii="Arial" w:cs="Arial" w:eastAsia="Arial" w:hAnsi="Arial"/>
                <w:sz w:val="11"/>
                <w:szCs w:val="11"/>
                <w:color w:val="auto"/>
                <w:w w:val="91"/>
              </w:rPr>
              <w:t>+31.1.3</w:t>
            </w:r>
          </w:p>
        </w:tc>
        <w:tc>
          <w:tcPr>
            <w:tcW w:w="2840" w:type="dxa"/>
            <w:vAlign w:val="bottom"/>
            <w:tcBorders>
              <w:bottom w:val="single" w:sz="8" w:color="0000FF"/>
            </w:tcBorders>
            <w:gridSpan w:val="6"/>
          </w:tcPr>
          <w:p>
            <w:pPr>
              <w:spacing w:after="0"/>
              <w:rPr>
                <w:rFonts w:ascii="Arial" w:cs="Arial" w:eastAsia="Arial" w:hAnsi="Arial"/>
                <w:sz w:val="11"/>
                <w:szCs w:val="11"/>
                <w:color w:val="0000FF"/>
                <w:w w:val="95"/>
              </w:rPr>
            </w:pPr>
            <w:hyperlink w:anchor="page155">
              <w:r>
                <w:rPr>
                  <w:rFonts w:ascii="Arial" w:cs="Arial" w:eastAsia="Arial" w:hAnsi="Arial"/>
                  <w:sz w:val="11"/>
                  <w:szCs w:val="11"/>
                  <w:color w:val="0000FF"/>
                  <w:w w:val="95"/>
                </w:rPr>
                <w:t>Rule 13a-14(a)/15d-14(a) Certification of Scott M. Prochazka</w:t>
              </w:r>
            </w:hyperlink>
          </w:p>
        </w:tc>
        <w:tc>
          <w:tcPr>
            <w:tcW w:w="2480" w:type="dxa"/>
            <w:vAlign w:val="bottom"/>
            <w:gridSpan w:val="2"/>
          </w:tcPr>
          <w:p>
            <w:pPr>
              <w:spacing w:after="0"/>
              <w:rPr>
                <w:sz w:val="17"/>
                <w:szCs w:val="17"/>
                <w:color w:val="auto"/>
              </w:rPr>
            </w:pPr>
          </w:p>
        </w:tc>
        <w:tc>
          <w:tcPr>
            <w:tcW w:w="30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00" w:type="dxa"/>
            <w:vAlign w:val="bottom"/>
          </w:tcPr>
          <w:p>
            <w:pPr>
              <w:ind w:left="540"/>
              <w:spacing w:after="0"/>
              <w:rPr>
                <w:sz w:val="20"/>
                <w:szCs w:val="20"/>
                <w:color w:val="auto"/>
              </w:rPr>
            </w:pPr>
            <w:r>
              <w:rPr>
                <w:rFonts w:ascii="Arial" w:cs="Arial" w:eastAsia="Arial" w:hAnsi="Arial"/>
                <w:sz w:val="11"/>
                <w:szCs w:val="11"/>
                <w:color w:val="auto"/>
                <w:w w:val="71"/>
              </w:rPr>
              <w:t>x</w:t>
            </w:r>
          </w:p>
        </w:tc>
      </w:tr>
      <w:tr>
        <w:trPr>
          <w:trHeight w:val="196"/>
        </w:trPr>
        <w:tc>
          <w:tcPr>
            <w:tcW w:w="720" w:type="dxa"/>
            <w:vAlign w:val="bottom"/>
          </w:tcPr>
          <w:p>
            <w:pPr>
              <w:jc w:val="center"/>
              <w:ind w:right="203"/>
              <w:spacing w:after="0"/>
              <w:rPr>
                <w:sz w:val="20"/>
                <w:szCs w:val="20"/>
                <w:color w:val="auto"/>
              </w:rPr>
            </w:pPr>
            <w:r>
              <w:rPr>
                <w:rFonts w:ascii="Arial" w:cs="Arial" w:eastAsia="Arial" w:hAnsi="Arial"/>
                <w:sz w:val="11"/>
                <w:szCs w:val="11"/>
                <w:color w:val="auto"/>
                <w:w w:val="91"/>
              </w:rPr>
              <w:t>+31.2.1</w:t>
            </w:r>
          </w:p>
        </w:tc>
        <w:tc>
          <w:tcPr>
            <w:tcW w:w="2320" w:type="dxa"/>
            <w:vAlign w:val="bottom"/>
            <w:tcBorders>
              <w:bottom w:val="single" w:sz="8" w:color="0000FF"/>
            </w:tcBorders>
            <w:gridSpan w:val="5"/>
          </w:tcPr>
          <w:p>
            <w:pPr>
              <w:spacing w:after="0"/>
              <w:rPr>
                <w:rFonts w:ascii="Arial" w:cs="Arial" w:eastAsia="Arial" w:hAnsi="Arial"/>
                <w:sz w:val="11"/>
                <w:szCs w:val="11"/>
                <w:color w:val="0000FF"/>
                <w:w w:val="98"/>
              </w:rPr>
            </w:pPr>
            <w:hyperlink w:anchor="page156">
              <w:r>
                <w:rPr>
                  <w:rFonts w:ascii="Arial" w:cs="Arial" w:eastAsia="Arial" w:hAnsi="Arial"/>
                  <w:sz w:val="11"/>
                  <w:szCs w:val="11"/>
                  <w:color w:val="0000FF"/>
                  <w:w w:val="98"/>
                </w:rPr>
                <w:t>Rule 13a-14(a)/15d-14(a) Certification of Xia Liu</w:t>
              </w:r>
            </w:hyperlink>
          </w:p>
        </w:tc>
        <w:tc>
          <w:tcPr>
            <w:tcW w:w="3000" w:type="dxa"/>
            <w:vAlign w:val="bottom"/>
            <w:gridSpan w:val="3"/>
          </w:tcPr>
          <w:p>
            <w:pPr>
              <w:spacing w:after="0"/>
              <w:rPr>
                <w:sz w:val="17"/>
                <w:szCs w:val="17"/>
                <w:color w:val="auto"/>
              </w:rPr>
            </w:pPr>
          </w:p>
        </w:tc>
        <w:tc>
          <w:tcPr>
            <w:tcW w:w="3060" w:type="dxa"/>
            <w:vAlign w:val="bottom"/>
          </w:tcPr>
          <w:p>
            <w:pPr>
              <w:ind w:left="2440"/>
              <w:spacing w:after="0"/>
              <w:rPr>
                <w:sz w:val="20"/>
                <w:szCs w:val="20"/>
                <w:color w:val="auto"/>
              </w:rPr>
            </w:pPr>
            <w:r>
              <w:rPr>
                <w:rFonts w:ascii="Arial" w:cs="Arial" w:eastAsia="Arial" w:hAnsi="Arial"/>
                <w:sz w:val="11"/>
                <w:szCs w:val="11"/>
                <w:color w:val="auto"/>
              </w:rPr>
              <w:t>x</w:t>
            </w:r>
          </w:p>
        </w:tc>
        <w:tc>
          <w:tcPr>
            <w:tcW w:w="116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196"/>
        </w:trPr>
        <w:tc>
          <w:tcPr>
            <w:tcW w:w="720" w:type="dxa"/>
            <w:vAlign w:val="bottom"/>
          </w:tcPr>
          <w:p>
            <w:pPr>
              <w:jc w:val="center"/>
              <w:ind w:right="203"/>
              <w:spacing w:after="0"/>
              <w:rPr>
                <w:sz w:val="20"/>
                <w:szCs w:val="20"/>
                <w:color w:val="auto"/>
              </w:rPr>
            </w:pPr>
            <w:r>
              <w:rPr>
                <w:rFonts w:ascii="Arial" w:cs="Arial" w:eastAsia="Arial" w:hAnsi="Arial"/>
                <w:sz w:val="11"/>
                <w:szCs w:val="11"/>
                <w:color w:val="auto"/>
                <w:w w:val="91"/>
              </w:rPr>
              <w:t>+31.2.2</w:t>
            </w:r>
          </w:p>
        </w:tc>
        <w:tc>
          <w:tcPr>
            <w:tcW w:w="2320" w:type="dxa"/>
            <w:vAlign w:val="bottom"/>
            <w:tcBorders>
              <w:bottom w:val="single" w:sz="8" w:color="0000FF"/>
            </w:tcBorders>
            <w:gridSpan w:val="5"/>
          </w:tcPr>
          <w:p>
            <w:pPr>
              <w:spacing w:after="0"/>
              <w:rPr>
                <w:rFonts w:ascii="Arial" w:cs="Arial" w:eastAsia="Arial" w:hAnsi="Arial"/>
                <w:sz w:val="11"/>
                <w:szCs w:val="11"/>
                <w:color w:val="0000FF"/>
                <w:w w:val="98"/>
              </w:rPr>
            </w:pPr>
            <w:hyperlink w:anchor="page157">
              <w:r>
                <w:rPr>
                  <w:rFonts w:ascii="Arial" w:cs="Arial" w:eastAsia="Arial" w:hAnsi="Arial"/>
                  <w:sz w:val="11"/>
                  <w:szCs w:val="11"/>
                  <w:color w:val="0000FF"/>
                  <w:w w:val="98"/>
                </w:rPr>
                <w:t>Rule 13a-14(a)/15d-14(a) Certification of Xia Liu</w:t>
              </w:r>
            </w:hyperlink>
          </w:p>
        </w:tc>
        <w:tc>
          <w:tcPr>
            <w:tcW w:w="3000" w:type="dxa"/>
            <w:vAlign w:val="bottom"/>
            <w:gridSpan w:val="3"/>
          </w:tcPr>
          <w:p>
            <w:pPr>
              <w:spacing w:after="0"/>
              <w:rPr>
                <w:sz w:val="17"/>
                <w:szCs w:val="17"/>
                <w:color w:val="auto"/>
              </w:rPr>
            </w:pPr>
          </w:p>
        </w:tc>
        <w:tc>
          <w:tcPr>
            <w:tcW w:w="3060" w:type="dxa"/>
            <w:vAlign w:val="bottom"/>
          </w:tcPr>
          <w:p>
            <w:pPr>
              <w:spacing w:after="0"/>
              <w:rPr>
                <w:sz w:val="17"/>
                <w:szCs w:val="17"/>
                <w:color w:val="auto"/>
              </w:rPr>
            </w:pPr>
          </w:p>
        </w:tc>
        <w:tc>
          <w:tcPr>
            <w:tcW w:w="1160" w:type="dxa"/>
            <w:vAlign w:val="bottom"/>
          </w:tcPr>
          <w:p>
            <w:pPr>
              <w:ind w:left="560"/>
              <w:spacing w:after="0"/>
              <w:rPr>
                <w:sz w:val="20"/>
                <w:szCs w:val="20"/>
                <w:color w:val="auto"/>
              </w:rPr>
            </w:pPr>
            <w:r>
              <w:rPr>
                <w:rFonts w:ascii="Arial" w:cs="Arial" w:eastAsia="Arial" w:hAnsi="Arial"/>
                <w:sz w:val="11"/>
                <w:szCs w:val="11"/>
                <w:color w:val="auto"/>
              </w:rPr>
              <w:t>x</w:t>
            </w:r>
          </w:p>
        </w:tc>
        <w:tc>
          <w:tcPr>
            <w:tcW w:w="600" w:type="dxa"/>
            <w:vAlign w:val="bottom"/>
          </w:tcPr>
          <w:p>
            <w:pPr>
              <w:spacing w:after="0"/>
              <w:rPr>
                <w:sz w:val="17"/>
                <w:szCs w:val="17"/>
                <w:color w:val="auto"/>
              </w:rPr>
            </w:pPr>
          </w:p>
        </w:tc>
      </w:tr>
      <w:tr>
        <w:trPr>
          <w:trHeight w:val="196"/>
        </w:trPr>
        <w:tc>
          <w:tcPr>
            <w:tcW w:w="720" w:type="dxa"/>
            <w:vAlign w:val="bottom"/>
          </w:tcPr>
          <w:p>
            <w:pPr>
              <w:jc w:val="center"/>
              <w:ind w:right="203"/>
              <w:spacing w:after="0"/>
              <w:rPr>
                <w:sz w:val="20"/>
                <w:szCs w:val="20"/>
                <w:color w:val="auto"/>
              </w:rPr>
            </w:pPr>
            <w:r>
              <w:rPr>
                <w:rFonts w:ascii="Arial" w:cs="Arial" w:eastAsia="Arial" w:hAnsi="Arial"/>
                <w:sz w:val="11"/>
                <w:szCs w:val="11"/>
                <w:color w:val="auto"/>
                <w:w w:val="91"/>
              </w:rPr>
              <w:t>+31.2.3</w:t>
            </w:r>
          </w:p>
        </w:tc>
        <w:tc>
          <w:tcPr>
            <w:tcW w:w="2300" w:type="dxa"/>
            <w:vAlign w:val="bottom"/>
            <w:tcBorders>
              <w:bottom w:val="single" w:sz="8" w:color="0000FF"/>
            </w:tcBorders>
            <w:gridSpan w:val="4"/>
          </w:tcPr>
          <w:p>
            <w:pPr>
              <w:spacing w:after="0"/>
              <w:rPr>
                <w:rFonts w:ascii="Arial" w:cs="Arial" w:eastAsia="Arial" w:hAnsi="Arial"/>
                <w:sz w:val="11"/>
                <w:szCs w:val="11"/>
                <w:color w:val="0000FF"/>
                <w:w w:val="97"/>
              </w:rPr>
            </w:pPr>
            <w:hyperlink w:anchor="page158">
              <w:r>
                <w:rPr>
                  <w:rFonts w:ascii="Arial" w:cs="Arial" w:eastAsia="Arial" w:hAnsi="Arial"/>
                  <w:sz w:val="11"/>
                  <w:szCs w:val="11"/>
                  <w:color w:val="0000FF"/>
                  <w:w w:val="97"/>
                </w:rPr>
                <w:t>Rule 13a-14(a)/15d-14(a) Certification of Xia Liu</w:t>
              </w:r>
            </w:hyperlink>
          </w:p>
        </w:tc>
        <w:tc>
          <w:tcPr>
            <w:tcW w:w="3020" w:type="dxa"/>
            <w:vAlign w:val="bottom"/>
            <w:gridSpan w:val="4"/>
          </w:tcPr>
          <w:p>
            <w:pPr>
              <w:spacing w:after="0"/>
              <w:rPr>
                <w:sz w:val="17"/>
                <w:szCs w:val="17"/>
                <w:color w:val="auto"/>
              </w:rPr>
            </w:pPr>
          </w:p>
        </w:tc>
        <w:tc>
          <w:tcPr>
            <w:tcW w:w="30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00" w:type="dxa"/>
            <w:vAlign w:val="bottom"/>
          </w:tcPr>
          <w:p>
            <w:pPr>
              <w:ind w:left="540"/>
              <w:spacing w:after="0"/>
              <w:rPr>
                <w:sz w:val="20"/>
                <w:szCs w:val="20"/>
                <w:color w:val="auto"/>
              </w:rPr>
            </w:pPr>
            <w:r>
              <w:rPr>
                <w:rFonts w:ascii="Arial" w:cs="Arial" w:eastAsia="Arial" w:hAnsi="Arial"/>
                <w:sz w:val="11"/>
                <w:szCs w:val="11"/>
                <w:color w:val="auto"/>
                <w:w w:val="71"/>
              </w:rPr>
              <w:t>x</w:t>
            </w:r>
          </w:p>
        </w:tc>
      </w:tr>
      <w:tr>
        <w:trPr>
          <w:trHeight w:val="196"/>
        </w:trPr>
        <w:tc>
          <w:tcPr>
            <w:tcW w:w="720" w:type="dxa"/>
            <w:vAlign w:val="bottom"/>
          </w:tcPr>
          <w:p>
            <w:pPr>
              <w:jc w:val="center"/>
              <w:ind w:right="203"/>
              <w:spacing w:after="0"/>
              <w:rPr>
                <w:sz w:val="20"/>
                <w:szCs w:val="20"/>
                <w:color w:val="auto"/>
              </w:rPr>
            </w:pPr>
            <w:r>
              <w:rPr>
                <w:rFonts w:ascii="Arial" w:cs="Arial" w:eastAsia="Arial" w:hAnsi="Arial"/>
                <w:sz w:val="11"/>
                <w:szCs w:val="11"/>
                <w:color w:val="auto"/>
                <w:w w:val="91"/>
              </w:rPr>
              <w:t>+32.1.1</w:t>
            </w:r>
          </w:p>
        </w:tc>
        <w:tc>
          <w:tcPr>
            <w:tcW w:w="2280" w:type="dxa"/>
            <w:vAlign w:val="bottom"/>
            <w:tcBorders>
              <w:bottom w:val="single" w:sz="8" w:color="0000FF"/>
            </w:tcBorders>
            <w:gridSpan w:val="3"/>
          </w:tcPr>
          <w:p>
            <w:pPr>
              <w:spacing w:after="0"/>
              <w:rPr>
                <w:rFonts w:ascii="Arial" w:cs="Arial" w:eastAsia="Arial" w:hAnsi="Arial"/>
                <w:sz w:val="11"/>
                <w:szCs w:val="11"/>
                <w:color w:val="0000FF"/>
                <w:w w:val="95"/>
              </w:rPr>
            </w:pPr>
            <w:hyperlink w:anchor="page159">
              <w:r>
                <w:rPr>
                  <w:rFonts w:ascii="Arial" w:cs="Arial" w:eastAsia="Arial" w:hAnsi="Arial"/>
                  <w:sz w:val="11"/>
                  <w:szCs w:val="11"/>
                  <w:color w:val="0000FF"/>
                  <w:w w:val="95"/>
                </w:rPr>
                <w:t>Section 1350 Certification of Scott M. Prochazka</w:t>
              </w:r>
            </w:hyperlink>
          </w:p>
        </w:tc>
        <w:tc>
          <w:tcPr>
            <w:tcW w:w="3040" w:type="dxa"/>
            <w:vAlign w:val="bottom"/>
            <w:gridSpan w:val="5"/>
          </w:tcPr>
          <w:p>
            <w:pPr>
              <w:spacing w:after="0"/>
              <w:rPr>
                <w:sz w:val="17"/>
                <w:szCs w:val="17"/>
                <w:color w:val="auto"/>
              </w:rPr>
            </w:pPr>
          </w:p>
        </w:tc>
        <w:tc>
          <w:tcPr>
            <w:tcW w:w="3060" w:type="dxa"/>
            <w:vAlign w:val="bottom"/>
          </w:tcPr>
          <w:p>
            <w:pPr>
              <w:ind w:left="2440"/>
              <w:spacing w:after="0"/>
              <w:rPr>
                <w:sz w:val="20"/>
                <w:szCs w:val="20"/>
                <w:color w:val="auto"/>
              </w:rPr>
            </w:pPr>
            <w:r>
              <w:rPr>
                <w:rFonts w:ascii="Arial" w:cs="Arial" w:eastAsia="Arial" w:hAnsi="Arial"/>
                <w:sz w:val="11"/>
                <w:szCs w:val="11"/>
                <w:color w:val="auto"/>
              </w:rPr>
              <w:t>x</w:t>
            </w:r>
          </w:p>
        </w:tc>
        <w:tc>
          <w:tcPr>
            <w:tcW w:w="116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196"/>
        </w:trPr>
        <w:tc>
          <w:tcPr>
            <w:tcW w:w="720" w:type="dxa"/>
            <w:vAlign w:val="bottom"/>
          </w:tcPr>
          <w:p>
            <w:pPr>
              <w:jc w:val="center"/>
              <w:ind w:right="203"/>
              <w:spacing w:after="0"/>
              <w:rPr>
                <w:sz w:val="20"/>
                <w:szCs w:val="20"/>
                <w:color w:val="auto"/>
              </w:rPr>
            </w:pPr>
            <w:r>
              <w:rPr>
                <w:rFonts w:ascii="Arial" w:cs="Arial" w:eastAsia="Arial" w:hAnsi="Arial"/>
                <w:sz w:val="11"/>
                <w:szCs w:val="11"/>
                <w:color w:val="auto"/>
                <w:w w:val="91"/>
              </w:rPr>
              <w:t>+32.1.2</w:t>
            </w:r>
          </w:p>
        </w:tc>
        <w:tc>
          <w:tcPr>
            <w:tcW w:w="2280" w:type="dxa"/>
            <w:vAlign w:val="bottom"/>
            <w:tcBorders>
              <w:bottom w:val="single" w:sz="8" w:color="0000FF"/>
            </w:tcBorders>
            <w:gridSpan w:val="3"/>
          </w:tcPr>
          <w:p>
            <w:pPr>
              <w:spacing w:after="0"/>
              <w:rPr>
                <w:rFonts w:ascii="Arial" w:cs="Arial" w:eastAsia="Arial" w:hAnsi="Arial"/>
                <w:sz w:val="11"/>
                <w:szCs w:val="11"/>
                <w:color w:val="0000FF"/>
                <w:w w:val="95"/>
              </w:rPr>
            </w:pPr>
            <w:hyperlink w:anchor="page160">
              <w:r>
                <w:rPr>
                  <w:rFonts w:ascii="Arial" w:cs="Arial" w:eastAsia="Arial" w:hAnsi="Arial"/>
                  <w:sz w:val="11"/>
                  <w:szCs w:val="11"/>
                  <w:color w:val="0000FF"/>
                  <w:w w:val="95"/>
                </w:rPr>
                <w:t>Section 1350 Certification of Scott M. Prochazka</w:t>
              </w:r>
            </w:hyperlink>
          </w:p>
        </w:tc>
        <w:tc>
          <w:tcPr>
            <w:tcW w:w="3040" w:type="dxa"/>
            <w:vAlign w:val="bottom"/>
            <w:gridSpan w:val="5"/>
          </w:tcPr>
          <w:p>
            <w:pPr>
              <w:spacing w:after="0"/>
              <w:rPr>
                <w:sz w:val="17"/>
                <w:szCs w:val="17"/>
                <w:color w:val="auto"/>
              </w:rPr>
            </w:pPr>
          </w:p>
        </w:tc>
        <w:tc>
          <w:tcPr>
            <w:tcW w:w="3060" w:type="dxa"/>
            <w:vAlign w:val="bottom"/>
          </w:tcPr>
          <w:p>
            <w:pPr>
              <w:spacing w:after="0"/>
              <w:rPr>
                <w:sz w:val="17"/>
                <w:szCs w:val="17"/>
                <w:color w:val="auto"/>
              </w:rPr>
            </w:pPr>
          </w:p>
        </w:tc>
        <w:tc>
          <w:tcPr>
            <w:tcW w:w="1160" w:type="dxa"/>
            <w:vAlign w:val="bottom"/>
          </w:tcPr>
          <w:p>
            <w:pPr>
              <w:ind w:left="560"/>
              <w:spacing w:after="0"/>
              <w:rPr>
                <w:sz w:val="20"/>
                <w:szCs w:val="20"/>
                <w:color w:val="auto"/>
              </w:rPr>
            </w:pPr>
            <w:r>
              <w:rPr>
                <w:rFonts w:ascii="Arial" w:cs="Arial" w:eastAsia="Arial" w:hAnsi="Arial"/>
                <w:sz w:val="11"/>
                <w:szCs w:val="11"/>
                <w:color w:val="auto"/>
              </w:rPr>
              <w:t>x</w:t>
            </w:r>
          </w:p>
        </w:tc>
        <w:tc>
          <w:tcPr>
            <w:tcW w:w="600" w:type="dxa"/>
            <w:vAlign w:val="bottom"/>
          </w:tcPr>
          <w:p>
            <w:pPr>
              <w:spacing w:after="0"/>
              <w:rPr>
                <w:sz w:val="17"/>
                <w:szCs w:val="17"/>
                <w:color w:val="auto"/>
              </w:rPr>
            </w:pPr>
          </w:p>
        </w:tc>
      </w:tr>
      <w:tr>
        <w:trPr>
          <w:trHeight w:val="196"/>
        </w:trPr>
        <w:tc>
          <w:tcPr>
            <w:tcW w:w="720" w:type="dxa"/>
            <w:vAlign w:val="bottom"/>
          </w:tcPr>
          <w:p>
            <w:pPr>
              <w:jc w:val="center"/>
              <w:ind w:right="203"/>
              <w:spacing w:after="0"/>
              <w:rPr>
                <w:sz w:val="20"/>
                <w:szCs w:val="20"/>
                <w:color w:val="auto"/>
              </w:rPr>
            </w:pPr>
            <w:r>
              <w:rPr>
                <w:rFonts w:ascii="Arial" w:cs="Arial" w:eastAsia="Arial" w:hAnsi="Arial"/>
                <w:sz w:val="11"/>
                <w:szCs w:val="11"/>
                <w:color w:val="auto"/>
                <w:w w:val="91"/>
              </w:rPr>
              <w:t>+32.1.3</w:t>
            </w:r>
          </w:p>
        </w:tc>
        <w:tc>
          <w:tcPr>
            <w:tcW w:w="5320" w:type="dxa"/>
            <w:vAlign w:val="bottom"/>
            <w:gridSpan w:val="8"/>
          </w:tcPr>
          <w:p>
            <w:pPr>
              <w:spacing w:after="0"/>
              <w:rPr>
                <w:rFonts w:ascii="Arial" w:cs="Arial" w:eastAsia="Arial" w:hAnsi="Arial"/>
                <w:sz w:val="11"/>
                <w:szCs w:val="11"/>
                <w:color w:val="0000FF"/>
              </w:rPr>
            </w:pPr>
            <w:hyperlink w:anchor="page161">
              <w:r>
                <w:rPr>
                  <w:rFonts w:ascii="Arial" w:cs="Arial" w:eastAsia="Arial" w:hAnsi="Arial"/>
                  <w:sz w:val="11"/>
                  <w:szCs w:val="11"/>
                  <w:color w:val="0000FF"/>
                </w:rPr>
                <w:t>Section 1350 Certification of Scott M. Prochazka</w:t>
              </w:r>
            </w:hyperlink>
          </w:p>
        </w:tc>
        <w:tc>
          <w:tcPr>
            <w:tcW w:w="30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00" w:type="dxa"/>
            <w:vAlign w:val="bottom"/>
          </w:tcPr>
          <w:p>
            <w:pPr>
              <w:ind w:left="540"/>
              <w:spacing w:after="0"/>
              <w:rPr>
                <w:sz w:val="20"/>
                <w:szCs w:val="20"/>
                <w:color w:val="auto"/>
              </w:rPr>
            </w:pPr>
            <w:r>
              <w:rPr>
                <w:rFonts w:ascii="Arial" w:cs="Arial" w:eastAsia="Arial" w:hAnsi="Arial"/>
                <w:sz w:val="11"/>
                <w:szCs w:val="11"/>
                <w:color w:val="auto"/>
                <w:w w:val="71"/>
              </w:rPr>
              <w:t>x</w:t>
            </w:r>
          </w:p>
        </w:tc>
      </w:tr>
      <w:tr>
        <w:trPr>
          <w:trHeight w:val="196"/>
        </w:trPr>
        <w:tc>
          <w:tcPr>
            <w:tcW w:w="720" w:type="dxa"/>
            <w:vAlign w:val="bottom"/>
          </w:tcPr>
          <w:p>
            <w:pPr>
              <w:jc w:val="center"/>
              <w:ind w:right="203"/>
              <w:spacing w:after="0"/>
              <w:rPr>
                <w:sz w:val="20"/>
                <w:szCs w:val="20"/>
                <w:color w:val="auto"/>
              </w:rPr>
            </w:pPr>
            <w:r>
              <w:rPr>
                <w:rFonts w:ascii="Arial" w:cs="Arial" w:eastAsia="Arial" w:hAnsi="Arial"/>
                <w:sz w:val="11"/>
                <w:szCs w:val="11"/>
                <w:color w:val="auto"/>
                <w:w w:val="91"/>
              </w:rPr>
              <w:t>+32.2.1</w:t>
            </w:r>
          </w:p>
        </w:tc>
        <w:tc>
          <w:tcPr>
            <w:tcW w:w="1720" w:type="dxa"/>
            <w:vAlign w:val="bottom"/>
            <w:tcBorders>
              <w:top w:val="single" w:sz="8" w:color="0000FF"/>
              <w:bottom w:val="single" w:sz="8" w:color="0000FF"/>
            </w:tcBorders>
          </w:tcPr>
          <w:p>
            <w:pPr>
              <w:spacing w:after="0"/>
              <w:rPr>
                <w:rFonts w:ascii="Arial" w:cs="Arial" w:eastAsia="Arial" w:hAnsi="Arial"/>
                <w:sz w:val="11"/>
                <w:szCs w:val="11"/>
                <w:color w:val="0000FF"/>
                <w:w w:val="97"/>
              </w:rPr>
            </w:pPr>
            <w:hyperlink w:anchor="page162">
              <w:r>
                <w:rPr>
                  <w:rFonts w:ascii="Arial" w:cs="Arial" w:eastAsia="Arial" w:hAnsi="Arial"/>
                  <w:sz w:val="11"/>
                  <w:szCs w:val="11"/>
                  <w:color w:val="0000FF"/>
                  <w:w w:val="97"/>
                </w:rPr>
                <w:t>Section 1350 Certification of Xia Liu</w:t>
              </w:r>
            </w:hyperlink>
          </w:p>
        </w:tc>
        <w:tc>
          <w:tcPr>
            <w:tcW w:w="540" w:type="dxa"/>
            <w:vAlign w:val="bottom"/>
            <w:tcBorders>
              <w:top w:val="single" w:sz="8" w:color="0000FF"/>
            </w:tcBorders>
          </w:tcPr>
          <w:p>
            <w:pPr>
              <w:spacing w:after="0"/>
              <w:rPr>
                <w:sz w:val="17"/>
                <w:szCs w:val="17"/>
                <w:color w:val="auto"/>
              </w:rPr>
            </w:pPr>
          </w:p>
        </w:tc>
        <w:tc>
          <w:tcPr>
            <w:tcW w:w="3060" w:type="dxa"/>
            <w:vAlign w:val="bottom"/>
            <w:gridSpan w:val="6"/>
          </w:tcPr>
          <w:p>
            <w:pPr>
              <w:spacing w:after="0"/>
              <w:rPr>
                <w:sz w:val="17"/>
                <w:szCs w:val="17"/>
                <w:color w:val="auto"/>
              </w:rPr>
            </w:pPr>
          </w:p>
        </w:tc>
        <w:tc>
          <w:tcPr>
            <w:tcW w:w="3060" w:type="dxa"/>
            <w:vAlign w:val="bottom"/>
          </w:tcPr>
          <w:p>
            <w:pPr>
              <w:ind w:left="2440"/>
              <w:spacing w:after="0"/>
              <w:rPr>
                <w:sz w:val="20"/>
                <w:szCs w:val="20"/>
                <w:color w:val="auto"/>
              </w:rPr>
            </w:pPr>
            <w:r>
              <w:rPr>
                <w:rFonts w:ascii="Arial" w:cs="Arial" w:eastAsia="Arial" w:hAnsi="Arial"/>
                <w:sz w:val="11"/>
                <w:szCs w:val="11"/>
                <w:color w:val="auto"/>
              </w:rPr>
              <w:t>x</w:t>
            </w:r>
          </w:p>
        </w:tc>
        <w:tc>
          <w:tcPr>
            <w:tcW w:w="116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196"/>
        </w:trPr>
        <w:tc>
          <w:tcPr>
            <w:tcW w:w="720" w:type="dxa"/>
            <w:vAlign w:val="bottom"/>
          </w:tcPr>
          <w:p>
            <w:pPr>
              <w:jc w:val="center"/>
              <w:ind w:right="203"/>
              <w:spacing w:after="0"/>
              <w:rPr>
                <w:sz w:val="20"/>
                <w:szCs w:val="20"/>
                <w:color w:val="auto"/>
              </w:rPr>
            </w:pPr>
            <w:r>
              <w:rPr>
                <w:rFonts w:ascii="Arial" w:cs="Arial" w:eastAsia="Arial" w:hAnsi="Arial"/>
                <w:sz w:val="11"/>
                <w:szCs w:val="11"/>
                <w:color w:val="auto"/>
                <w:w w:val="91"/>
              </w:rPr>
              <w:t>+32.2.2</w:t>
            </w:r>
          </w:p>
        </w:tc>
        <w:tc>
          <w:tcPr>
            <w:tcW w:w="1720" w:type="dxa"/>
            <w:vAlign w:val="bottom"/>
            <w:tcBorders>
              <w:bottom w:val="single" w:sz="8" w:color="0000FF"/>
            </w:tcBorders>
          </w:tcPr>
          <w:p>
            <w:pPr>
              <w:spacing w:after="0"/>
              <w:rPr>
                <w:rFonts w:ascii="Arial" w:cs="Arial" w:eastAsia="Arial" w:hAnsi="Arial"/>
                <w:sz w:val="11"/>
                <w:szCs w:val="11"/>
                <w:color w:val="0000FF"/>
                <w:w w:val="97"/>
              </w:rPr>
            </w:pPr>
            <w:hyperlink w:anchor="page163">
              <w:r>
                <w:rPr>
                  <w:rFonts w:ascii="Arial" w:cs="Arial" w:eastAsia="Arial" w:hAnsi="Arial"/>
                  <w:sz w:val="11"/>
                  <w:szCs w:val="11"/>
                  <w:color w:val="0000FF"/>
                  <w:w w:val="97"/>
                </w:rPr>
                <w:t>Section 1350 Certification of Xia Liu</w:t>
              </w:r>
            </w:hyperlink>
          </w:p>
        </w:tc>
        <w:tc>
          <w:tcPr>
            <w:tcW w:w="3600" w:type="dxa"/>
            <w:vAlign w:val="bottom"/>
            <w:gridSpan w:val="7"/>
          </w:tcPr>
          <w:p>
            <w:pPr>
              <w:spacing w:after="0"/>
              <w:rPr>
                <w:sz w:val="17"/>
                <w:szCs w:val="17"/>
                <w:color w:val="auto"/>
              </w:rPr>
            </w:pPr>
          </w:p>
        </w:tc>
        <w:tc>
          <w:tcPr>
            <w:tcW w:w="3060" w:type="dxa"/>
            <w:vAlign w:val="bottom"/>
          </w:tcPr>
          <w:p>
            <w:pPr>
              <w:spacing w:after="0"/>
              <w:rPr>
                <w:sz w:val="17"/>
                <w:szCs w:val="17"/>
                <w:color w:val="auto"/>
              </w:rPr>
            </w:pPr>
          </w:p>
        </w:tc>
        <w:tc>
          <w:tcPr>
            <w:tcW w:w="1160" w:type="dxa"/>
            <w:vAlign w:val="bottom"/>
          </w:tcPr>
          <w:p>
            <w:pPr>
              <w:ind w:left="560"/>
              <w:spacing w:after="0"/>
              <w:rPr>
                <w:sz w:val="20"/>
                <w:szCs w:val="20"/>
                <w:color w:val="auto"/>
              </w:rPr>
            </w:pPr>
            <w:r>
              <w:rPr>
                <w:rFonts w:ascii="Arial" w:cs="Arial" w:eastAsia="Arial" w:hAnsi="Arial"/>
                <w:sz w:val="11"/>
                <w:szCs w:val="11"/>
                <w:color w:val="auto"/>
              </w:rPr>
              <w:t>x</w:t>
            </w:r>
          </w:p>
        </w:tc>
        <w:tc>
          <w:tcPr>
            <w:tcW w:w="600" w:type="dxa"/>
            <w:vAlign w:val="bottom"/>
          </w:tcPr>
          <w:p>
            <w:pPr>
              <w:spacing w:after="0"/>
              <w:rPr>
                <w:sz w:val="17"/>
                <w:szCs w:val="17"/>
                <w:color w:val="auto"/>
              </w:rPr>
            </w:pPr>
          </w:p>
        </w:tc>
      </w:tr>
      <w:tr>
        <w:trPr>
          <w:trHeight w:val="196"/>
        </w:trPr>
        <w:tc>
          <w:tcPr>
            <w:tcW w:w="720" w:type="dxa"/>
            <w:vAlign w:val="bottom"/>
          </w:tcPr>
          <w:p>
            <w:pPr>
              <w:jc w:val="center"/>
              <w:ind w:right="203"/>
              <w:spacing w:after="0"/>
              <w:rPr>
                <w:sz w:val="20"/>
                <w:szCs w:val="20"/>
                <w:color w:val="auto"/>
              </w:rPr>
            </w:pPr>
            <w:r>
              <w:rPr>
                <w:rFonts w:ascii="Arial" w:cs="Arial" w:eastAsia="Arial" w:hAnsi="Arial"/>
                <w:sz w:val="11"/>
                <w:szCs w:val="11"/>
                <w:color w:val="auto"/>
                <w:w w:val="91"/>
              </w:rPr>
              <w:t>+32.2.3</w:t>
            </w:r>
          </w:p>
        </w:tc>
        <w:tc>
          <w:tcPr>
            <w:tcW w:w="1720" w:type="dxa"/>
            <w:vAlign w:val="bottom"/>
            <w:tcBorders>
              <w:bottom w:val="single" w:sz="8" w:color="0000FF"/>
            </w:tcBorders>
          </w:tcPr>
          <w:p>
            <w:pPr>
              <w:spacing w:after="0"/>
              <w:rPr>
                <w:rFonts w:ascii="Arial" w:cs="Arial" w:eastAsia="Arial" w:hAnsi="Arial"/>
                <w:sz w:val="11"/>
                <w:szCs w:val="11"/>
                <w:color w:val="0000FF"/>
                <w:w w:val="97"/>
              </w:rPr>
            </w:pPr>
            <w:hyperlink w:anchor="page164">
              <w:r>
                <w:rPr>
                  <w:rFonts w:ascii="Arial" w:cs="Arial" w:eastAsia="Arial" w:hAnsi="Arial"/>
                  <w:sz w:val="11"/>
                  <w:szCs w:val="11"/>
                  <w:color w:val="0000FF"/>
                  <w:w w:val="97"/>
                </w:rPr>
                <w:t>Section 1350 Certification of Xia Liu</w:t>
              </w:r>
            </w:hyperlink>
          </w:p>
        </w:tc>
        <w:tc>
          <w:tcPr>
            <w:tcW w:w="3600" w:type="dxa"/>
            <w:vAlign w:val="bottom"/>
            <w:gridSpan w:val="7"/>
          </w:tcPr>
          <w:p>
            <w:pPr>
              <w:spacing w:after="0"/>
              <w:rPr>
                <w:sz w:val="17"/>
                <w:szCs w:val="17"/>
                <w:color w:val="auto"/>
              </w:rPr>
            </w:pPr>
          </w:p>
        </w:tc>
        <w:tc>
          <w:tcPr>
            <w:tcW w:w="30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00" w:type="dxa"/>
            <w:vAlign w:val="bottom"/>
          </w:tcPr>
          <w:p>
            <w:pPr>
              <w:ind w:left="540"/>
              <w:spacing w:after="0"/>
              <w:rPr>
                <w:sz w:val="20"/>
                <w:szCs w:val="20"/>
                <w:color w:val="auto"/>
              </w:rPr>
            </w:pPr>
            <w:r>
              <w:rPr>
                <w:rFonts w:ascii="Arial" w:cs="Arial" w:eastAsia="Arial" w:hAnsi="Arial"/>
                <w:sz w:val="11"/>
                <w:szCs w:val="11"/>
                <w:color w:val="auto"/>
                <w:w w:val="71"/>
              </w:rPr>
              <w:t>x</w:t>
            </w:r>
          </w:p>
        </w:tc>
      </w:tr>
      <w:tr>
        <w:trPr>
          <w:trHeight w:val="191"/>
        </w:trPr>
        <w:tc>
          <w:tcPr>
            <w:tcW w:w="720" w:type="dxa"/>
            <w:vAlign w:val="bottom"/>
          </w:tcPr>
          <w:p>
            <w:pPr>
              <w:jc w:val="center"/>
              <w:ind w:right="203"/>
              <w:spacing w:after="0"/>
              <w:rPr>
                <w:sz w:val="20"/>
                <w:szCs w:val="20"/>
                <w:color w:val="auto"/>
              </w:rPr>
            </w:pPr>
            <w:r>
              <w:rPr>
                <w:rFonts w:ascii="Arial" w:cs="Arial" w:eastAsia="Arial" w:hAnsi="Arial"/>
                <w:sz w:val="11"/>
                <w:szCs w:val="11"/>
                <w:color w:val="auto"/>
                <w:w w:val="99"/>
              </w:rPr>
              <w:t>+101.INS</w:t>
            </w:r>
          </w:p>
        </w:tc>
        <w:tc>
          <w:tcPr>
            <w:tcW w:w="5320" w:type="dxa"/>
            <w:vAlign w:val="bottom"/>
            <w:gridSpan w:val="8"/>
          </w:tcPr>
          <w:p>
            <w:pPr>
              <w:spacing w:after="0"/>
              <w:rPr>
                <w:sz w:val="20"/>
                <w:szCs w:val="20"/>
                <w:color w:val="auto"/>
              </w:rPr>
            </w:pPr>
            <w:r>
              <w:rPr>
                <w:rFonts w:ascii="Arial" w:cs="Arial" w:eastAsia="Arial" w:hAnsi="Arial"/>
                <w:sz w:val="11"/>
                <w:szCs w:val="11"/>
                <w:color w:val="auto"/>
              </w:rPr>
              <w:t>Inline XBRL Instance Document - the instance document does</w:t>
            </w:r>
          </w:p>
        </w:tc>
        <w:tc>
          <w:tcPr>
            <w:tcW w:w="3060" w:type="dxa"/>
            <w:vAlign w:val="bottom"/>
          </w:tcPr>
          <w:p>
            <w:pPr>
              <w:ind w:left="2440"/>
              <w:spacing w:after="0"/>
              <w:rPr>
                <w:sz w:val="20"/>
                <w:szCs w:val="20"/>
                <w:color w:val="auto"/>
              </w:rPr>
            </w:pPr>
            <w:r>
              <w:rPr>
                <w:rFonts w:ascii="Arial" w:cs="Arial" w:eastAsia="Arial" w:hAnsi="Arial"/>
                <w:sz w:val="11"/>
                <w:szCs w:val="11"/>
                <w:color w:val="auto"/>
              </w:rPr>
              <w:t>x</w:t>
            </w:r>
          </w:p>
        </w:tc>
        <w:tc>
          <w:tcPr>
            <w:tcW w:w="1160" w:type="dxa"/>
            <w:vAlign w:val="bottom"/>
          </w:tcPr>
          <w:p>
            <w:pPr>
              <w:ind w:left="560"/>
              <w:spacing w:after="0"/>
              <w:rPr>
                <w:sz w:val="20"/>
                <w:szCs w:val="20"/>
                <w:color w:val="auto"/>
              </w:rPr>
            </w:pPr>
            <w:r>
              <w:rPr>
                <w:rFonts w:ascii="Arial" w:cs="Arial" w:eastAsia="Arial" w:hAnsi="Arial"/>
                <w:sz w:val="11"/>
                <w:szCs w:val="11"/>
                <w:color w:val="auto"/>
              </w:rPr>
              <w:t>x</w:t>
            </w:r>
          </w:p>
        </w:tc>
        <w:tc>
          <w:tcPr>
            <w:tcW w:w="600" w:type="dxa"/>
            <w:vAlign w:val="bottom"/>
          </w:tcPr>
          <w:p>
            <w:pPr>
              <w:ind w:left="540"/>
              <w:spacing w:after="0"/>
              <w:rPr>
                <w:sz w:val="20"/>
                <w:szCs w:val="20"/>
                <w:color w:val="auto"/>
              </w:rPr>
            </w:pPr>
            <w:r>
              <w:rPr>
                <w:rFonts w:ascii="Arial" w:cs="Arial" w:eastAsia="Arial" w:hAnsi="Arial"/>
                <w:sz w:val="11"/>
                <w:szCs w:val="11"/>
                <w:color w:val="auto"/>
                <w:w w:val="71"/>
              </w:rPr>
              <w:t>x</w:t>
            </w:r>
          </w:p>
        </w:tc>
      </w:tr>
      <w:tr>
        <w:trPr>
          <w:trHeight w:val="119"/>
        </w:trPr>
        <w:tc>
          <w:tcPr>
            <w:tcW w:w="720" w:type="dxa"/>
            <w:vAlign w:val="bottom"/>
          </w:tcPr>
          <w:p>
            <w:pPr>
              <w:spacing w:after="0"/>
              <w:rPr>
                <w:sz w:val="10"/>
                <w:szCs w:val="10"/>
                <w:color w:val="auto"/>
              </w:rPr>
            </w:pPr>
          </w:p>
        </w:tc>
        <w:tc>
          <w:tcPr>
            <w:tcW w:w="5320" w:type="dxa"/>
            <w:vAlign w:val="bottom"/>
            <w:gridSpan w:val="8"/>
          </w:tcPr>
          <w:p>
            <w:pPr>
              <w:spacing w:after="0" w:line="119" w:lineRule="exact"/>
              <w:rPr>
                <w:sz w:val="20"/>
                <w:szCs w:val="20"/>
                <w:color w:val="auto"/>
              </w:rPr>
            </w:pPr>
            <w:r>
              <w:rPr>
                <w:rFonts w:ascii="Arial" w:cs="Arial" w:eastAsia="Arial" w:hAnsi="Arial"/>
                <w:sz w:val="11"/>
                <w:szCs w:val="11"/>
                <w:color w:val="auto"/>
              </w:rPr>
              <w:t>not appear in the Interactive Data File because its XBRL tags</w:t>
            </w:r>
          </w:p>
        </w:tc>
        <w:tc>
          <w:tcPr>
            <w:tcW w:w="30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600" w:type="dxa"/>
            <w:vAlign w:val="bottom"/>
          </w:tcPr>
          <w:p>
            <w:pPr>
              <w:spacing w:after="0"/>
              <w:rPr>
                <w:sz w:val="10"/>
                <w:szCs w:val="10"/>
                <w:color w:val="auto"/>
              </w:rPr>
            </w:pPr>
          </w:p>
        </w:tc>
      </w:tr>
      <w:tr>
        <w:trPr>
          <w:trHeight w:val="146"/>
        </w:trPr>
        <w:tc>
          <w:tcPr>
            <w:tcW w:w="720" w:type="dxa"/>
            <w:vAlign w:val="bottom"/>
          </w:tcPr>
          <w:p>
            <w:pPr>
              <w:spacing w:after="0"/>
              <w:rPr>
                <w:sz w:val="12"/>
                <w:szCs w:val="12"/>
                <w:color w:val="auto"/>
              </w:rPr>
            </w:pPr>
          </w:p>
        </w:tc>
        <w:tc>
          <w:tcPr>
            <w:tcW w:w="5320" w:type="dxa"/>
            <w:vAlign w:val="bottom"/>
            <w:gridSpan w:val="8"/>
          </w:tcPr>
          <w:p>
            <w:pPr>
              <w:spacing w:after="0"/>
              <w:rPr>
                <w:sz w:val="20"/>
                <w:szCs w:val="20"/>
                <w:color w:val="auto"/>
              </w:rPr>
            </w:pPr>
            <w:r>
              <w:rPr>
                <w:rFonts w:ascii="Arial" w:cs="Arial" w:eastAsia="Arial" w:hAnsi="Arial"/>
                <w:sz w:val="11"/>
                <w:szCs w:val="11"/>
                <w:color w:val="auto"/>
              </w:rPr>
              <w:t>are embedded within the Inline XBRL document</w:t>
            </w:r>
          </w:p>
        </w:tc>
        <w:tc>
          <w:tcPr>
            <w:tcW w:w="30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00" w:type="dxa"/>
            <w:vAlign w:val="bottom"/>
          </w:tcPr>
          <w:p>
            <w:pPr>
              <w:spacing w:after="0"/>
              <w:rPr>
                <w:sz w:val="12"/>
                <w:szCs w:val="12"/>
                <w:color w:val="auto"/>
              </w:rPr>
            </w:pPr>
          </w:p>
        </w:tc>
      </w:tr>
    </w:tbl>
    <w:p>
      <w:pPr>
        <w:spacing w:after="0" w:line="1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99</w:t>
      </w:r>
    </w:p>
    <w:p>
      <w:pPr>
        <w:sectPr>
          <w:pgSz w:w="11900" w:h="16838" w:orient="portrait"/>
          <w:cols w:equalWidth="0" w:num="1">
            <w:col w:w="11460"/>
          </w:cols>
          <w:pgMar w:left="220" w:top="129" w:right="219" w:bottom="1440" w:gutter="0" w:footer="0" w:header="0"/>
          <w:type w:val="continuous"/>
        </w:sectPr>
      </w:pPr>
    </w:p>
    <w:bookmarkStart w:id="109" w:name="page110"/>
    <w:bookmarkEnd w:id="109"/>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820" w:type="dxa"/>
            <w:vAlign w:val="bottom"/>
            <w:gridSpan w:val="2"/>
            <w:vMerge w:val="restart"/>
          </w:tcPr>
          <w:p>
            <w:pPr>
              <w:jc w:val="center"/>
              <w:ind w:right="120"/>
              <w:spacing w:after="0"/>
              <w:rPr>
                <w:sz w:val="20"/>
                <w:szCs w:val="20"/>
                <w:color w:val="auto"/>
              </w:rPr>
            </w:pPr>
            <w:r>
              <w:rPr>
                <w:rFonts w:ascii="Arial" w:cs="Arial" w:eastAsia="Arial" w:hAnsi="Arial"/>
                <w:sz w:val="11"/>
                <w:szCs w:val="11"/>
                <w:b w:val="1"/>
                <w:bCs w:val="1"/>
                <w:color w:val="auto"/>
              </w:rPr>
              <w:t>Exhibit</w:t>
            </w:r>
          </w:p>
        </w:tc>
        <w:tc>
          <w:tcPr>
            <w:tcW w:w="2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40" w:type="dxa"/>
            <w:vAlign w:val="bottom"/>
            <w:gridSpan w:val="2"/>
            <w:vMerge w:val="restart"/>
          </w:tcPr>
          <w:p>
            <w:pPr>
              <w:jc w:val="center"/>
              <w:ind w:right="120"/>
              <w:spacing w:after="0"/>
              <w:rPr>
                <w:sz w:val="20"/>
                <w:szCs w:val="20"/>
                <w:color w:val="auto"/>
              </w:rPr>
            </w:pPr>
            <w:r>
              <w:rPr>
                <w:rFonts w:ascii="Arial" w:cs="Arial" w:eastAsia="Arial" w:hAnsi="Arial"/>
                <w:sz w:val="11"/>
                <w:szCs w:val="11"/>
                <w:b w:val="1"/>
                <w:bCs w:val="1"/>
                <w:color w:val="auto"/>
                <w:w w:val="95"/>
              </w:rPr>
              <w:t>Report or Registration</w:t>
            </w:r>
          </w:p>
        </w:tc>
        <w:tc>
          <w:tcPr>
            <w:tcW w:w="128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5"/>
              </w:rPr>
              <w:t>SEC File or</w:t>
            </w:r>
          </w:p>
        </w:tc>
        <w:tc>
          <w:tcPr>
            <w:tcW w:w="1020" w:type="dxa"/>
            <w:vAlign w:val="bottom"/>
            <w:gridSpan w:val="2"/>
            <w:vMerge w:val="restart"/>
          </w:tcPr>
          <w:p>
            <w:pPr>
              <w:jc w:val="center"/>
              <w:ind w:right="120"/>
              <w:spacing w:after="0"/>
              <w:rPr>
                <w:sz w:val="20"/>
                <w:szCs w:val="20"/>
                <w:color w:val="auto"/>
              </w:rPr>
            </w:pPr>
            <w:r>
              <w:rPr>
                <w:rFonts w:ascii="Arial" w:cs="Arial" w:eastAsia="Arial" w:hAnsi="Arial"/>
                <w:sz w:val="11"/>
                <w:szCs w:val="11"/>
                <w:b w:val="1"/>
                <w:bCs w:val="1"/>
                <w:color w:val="auto"/>
              </w:rPr>
              <w:t>Exhibit</w:t>
            </w: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820" w:type="dxa"/>
            <w:vAlign w:val="bottom"/>
            <w:gridSpan w:val="2"/>
            <w:vMerge w:val="continue"/>
          </w:tcPr>
          <w:p>
            <w:pPr>
              <w:spacing w:after="0"/>
              <w:rPr>
                <w:sz w:val="10"/>
                <w:szCs w:val="10"/>
                <w:color w:val="auto"/>
              </w:rPr>
            </w:pPr>
          </w:p>
        </w:tc>
        <w:tc>
          <w:tcPr>
            <w:tcW w:w="2980" w:type="dxa"/>
            <w:vAlign w:val="bottom"/>
            <w:vMerge w:val="restart"/>
          </w:tcPr>
          <w:p>
            <w:pPr>
              <w:ind w:left="1200"/>
              <w:spacing w:after="0"/>
              <w:rPr>
                <w:sz w:val="20"/>
                <w:szCs w:val="20"/>
                <w:color w:val="auto"/>
              </w:rPr>
            </w:pPr>
            <w:r>
              <w:rPr>
                <w:rFonts w:ascii="Arial" w:cs="Arial" w:eastAsia="Arial" w:hAnsi="Arial"/>
                <w:sz w:val="11"/>
                <w:szCs w:val="11"/>
                <w:b w:val="1"/>
                <w:bCs w:val="1"/>
                <w:color w:val="auto"/>
              </w:rPr>
              <w:t>Description</w:t>
            </w:r>
          </w:p>
        </w:tc>
        <w:tc>
          <w:tcPr>
            <w:tcW w:w="120" w:type="dxa"/>
            <w:vAlign w:val="bottom"/>
            <w:vMerge w:val="restart"/>
          </w:tcPr>
          <w:p>
            <w:pPr>
              <w:spacing w:after="0"/>
              <w:rPr>
                <w:sz w:val="10"/>
                <w:szCs w:val="10"/>
                <w:color w:val="auto"/>
              </w:rPr>
            </w:pPr>
          </w:p>
        </w:tc>
        <w:tc>
          <w:tcPr>
            <w:tcW w:w="1840" w:type="dxa"/>
            <w:vAlign w:val="bottom"/>
            <w:gridSpan w:val="2"/>
            <w:vMerge w:val="continue"/>
          </w:tcPr>
          <w:p>
            <w:pPr>
              <w:spacing w:after="0"/>
              <w:rPr>
                <w:sz w:val="10"/>
                <w:szCs w:val="10"/>
                <w:color w:val="auto"/>
              </w:rPr>
            </w:pPr>
          </w:p>
        </w:tc>
        <w:tc>
          <w:tcPr>
            <w:tcW w:w="1280" w:type="dxa"/>
            <w:vAlign w:val="bottom"/>
            <w:gridSpan w:val="2"/>
          </w:tcPr>
          <w:p>
            <w:pPr>
              <w:jc w:val="center"/>
              <w:ind w:right="120"/>
              <w:spacing w:after="0" w:line="119" w:lineRule="exact"/>
              <w:rPr>
                <w:sz w:val="20"/>
                <w:szCs w:val="20"/>
                <w:color w:val="auto"/>
              </w:rPr>
            </w:pPr>
            <w:r>
              <w:rPr>
                <w:rFonts w:ascii="Arial" w:cs="Arial" w:eastAsia="Arial" w:hAnsi="Arial"/>
                <w:sz w:val="11"/>
                <w:szCs w:val="11"/>
                <w:b w:val="1"/>
                <w:bCs w:val="1"/>
                <w:color w:val="auto"/>
                <w:w w:val="93"/>
              </w:rPr>
              <w:t>Registration</w:t>
            </w:r>
          </w:p>
        </w:tc>
        <w:tc>
          <w:tcPr>
            <w:tcW w:w="1020" w:type="dxa"/>
            <w:vAlign w:val="bottom"/>
            <w:gridSpan w:val="2"/>
            <w:vMerge w:val="continue"/>
          </w:tcPr>
          <w:p>
            <w:pPr>
              <w:spacing w:after="0"/>
              <w:rPr>
                <w:sz w:val="10"/>
                <w:szCs w:val="10"/>
                <w:color w:val="auto"/>
              </w:rPr>
            </w:pPr>
          </w:p>
        </w:tc>
        <w:tc>
          <w:tcPr>
            <w:tcW w:w="114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5"/>
              </w:rPr>
              <w:t>CenterPoint Energy</w:t>
            </w:r>
          </w:p>
        </w:tc>
        <w:tc>
          <w:tcPr>
            <w:tcW w:w="100" w:type="dxa"/>
            <w:vAlign w:val="bottom"/>
            <w:vMerge w:val="restart"/>
          </w:tcPr>
          <w:p>
            <w:pPr>
              <w:spacing w:after="0"/>
              <w:rPr>
                <w:sz w:val="10"/>
                <w:szCs w:val="10"/>
                <w:color w:val="auto"/>
              </w:rPr>
            </w:pPr>
          </w:p>
        </w:tc>
        <w:tc>
          <w:tcPr>
            <w:tcW w:w="104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6"/>
              </w:rPr>
              <w:t>Houston Electric</w:t>
            </w:r>
          </w:p>
        </w:tc>
        <w:tc>
          <w:tcPr>
            <w:tcW w:w="100" w:type="dxa"/>
            <w:vAlign w:val="bottom"/>
            <w:vMerge w:val="restart"/>
          </w:tcPr>
          <w:p>
            <w:pPr>
              <w:spacing w:after="0"/>
              <w:rPr>
                <w:sz w:val="10"/>
                <w:szCs w:val="10"/>
                <w:color w:val="auto"/>
              </w:rPr>
            </w:pPr>
          </w:p>
        </w:tc>
        <w:tc>
          <w:tcPr>
            <w:tcW w:w="1020" w:type="dxa"/>
            <w:vAlign w:val="bottom"/>
            <w:vMerge w:val="restart"/>
          </w:tcPr>
          <w:p>
            <w:pPr>
              <w:jc w:val="center"/>
              <w:spacing w:after="0"/>
              <w:rPr>
                <w:sz w:val="20"/>
                <w:szCs w:val="20"/>
                <w:color w:val="auto"/>
              </w:rPr>
            </w:pPr>
            <w:r>
              <w:rPr>
                <w:rFonts w:ascii="Arial" w:cs="Arial" w:eastAsia="Arial" w:hAnsi="Arial"/>
                <w:sz w:val="11"/>
                <w:szCs w:val="11"/>
                <w:b w:val="1"/>
                <w:bCs w:val="1"/>
                <w:color w:val="auto"/>
              </w:rPr>
              <w:t>CERC</w:t>
            </w:r>
          </w:p>
        </w:tc>
        <w:tc>
          <w:tcPr>
            <w:tcW w:w="0" w:type="dxa"/>
            <w:vAlign w:val="bottom"/>
          </w:tcPr>
          <w:p>
            <w:pPr>
              <w:spacing w:after="0"/>
              <w:rPr>
                <w:sz w:val="1"/>
                <w:szCs w:val="1"/>
                <w:color w:val="auto"/>
              </w:rPr>
            </w:pPr>
          </w:p>
        </w:tc>
      </w:tr>
      <w:tr>
        <w:trPr>
          <w:trHeight w:val="153"/>
        </w:trPr>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Number</w:t>
            </w:r>
          </w:p>
        </w:tc>
        <w:tc>
          <w:tcPr>
            <w:tcW w:w="120" w:type="dxa"/>
            <w:vAlign w:val="bottom"/>
          </w:tcPr>
          <w:p>
            <w:pPr>
              <w:spacing w:after="0"/>
              <w:rPr>
                <w:sz w:val="13"/>
                <w:szCs w:val="13"/>
                <w:color w:val="auto"/>
              </w:rPr>
            </w:pPr>
          </w:p>
        </w:tc>
        <w:tc>
          <w:tcPr>
            <w:tcW w:w="2980" w:type="dxa"/>
            <w:vAlign w:val="bottom"/>
            <w:tcBorders>
              <w:bottom w:val="single" w:sz="8" w:color="auto"/>
            </w:tcBorders>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0"/>
              </w:rPr>
              <w:t>Statement</w:t>
            </w:r>
          </w:p>
        </w:tc>
        <w:tc>
          <w:tcPr>
            <w:tcW w:w="120" w:type="dxa"/>
            <w:vAlign w:val="bottom"/>
          </w:tcPr>
          <w:p>
            <w:pPr>
              <w:spacing w:after="0"/>
              <w:rPr>
                <w:sz w:val="13"/>
                <w:szCs w:val="13"/>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6"/>
              </w:rPr>
              <w:t>Number</w:t>
            </w:r>
          </w:p>
        </w:tc>
        <w:tc>
          <w:tcPr>
            <w:tcW w:w="120" w:type="dxa"/>
            <w:vAlign w:val="bottom"/>
          </w:tcPr>
          <w:p>
            <w:pPr>
              <w:spacing w:after="0"/>
              <w:rPr>
                <w:sz w:val="13"/>
                <w:szCs w:val="13"/>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3"/>
              </w:rPr>
              <w:t>Reference</w:t>
            </w:r>
          </w:p>
        </w:tc>
        <w:tc>
          <w:tcPr>
            <w:tcW w:w="120" w:type="dxa"/>
            <w:vAlign w:val="bottom"/>
          </w:tcPr>
          <w:p>
            <w:pPr>
              <w:spacing w:after="0"/>
              <w:rPr>
                <w:sz w:val="13"/>
                <w:szCs w:val="13"/>
                <w:color w:val="auto"/>
              </w:rPr>
            </w:pPr>
          </w:p>
        </w:tc>
        <w:tc>
          <w:tcPr>
            <w:tcW w:w="1140" w:type="dxa"/>
            <w:vAlign w:val="bottom"/>
            <w:tcBorders>
              <w:bottom w:val="single" w:sz="8" w:color="auto"/>
            </w:tcBorders>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1040" w:type="dxa"/>
            <w:vAlign w:val="bottom"/>
            <w:tcBorders>
              <w:bottom w:val="single" w:sz="8" w:color="auto"/>
            </w:tcBorders>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102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820" w:type="dxa"/>
            <w:vAlign w:val="bottom"/>
            <w:gridSpan w:val="2"/>
          </w:tcPr>
          <w:p>
            <w:pPr>
              <w:jc w:val="center"/>
              <w:ind w:right="120"/>
              <w:spacing w:after="0"/>
              <w:rPr>
                <w:sz w:val="20"/>
                <w:szCs w:val="20"/>
                <w:color w:val="auto"/>
              </w:rPr>
            </w:pPr>
            <w:r>
              <w:rPr>
                <w:rFonts w:ascii="Arial" w:cs="Arial" w:eastAsia="Arial" w:hAnsi="Arial"/>
                <w:sz w:val="11"/>
                <w:szCs w:val="11"/>
                <w:color w:val="auto"/>
                <w:w w:val="97"/>
              </w:rPr>
              <w:t>+101.SCH</w:t>
            </w:r>
          </w:p>
        </w:tc>
        <w:tc>
          <w:tcPr>
            <w:tcW w:w="3100" w:type="dxa"/>
            <w:vAlign w:val="bottom"/>
            <w:gridSpan w:val="2"/>
          </w:tcPr>
          <w:p>
            <w:pPr>
              <w:ind w:left="20"/>
              <w:spacing w:after="0"/>
              <w:rPr>
                <w:sz w:val="20"/>
                <w:szCs w:val="20"/>
                <w:color w:val="auto"/>
              </w:rPr>
            </w:pPr>
            <w:r>
              <w:rPr>
                <w:rFonts w:ascii="Arial" w:cs="Arial" w:eastAsia="Arial" w:hAnsi="Arial"/>
                <w:sz w:val="11"/>
                <w:szCs w:val="11"/>
                <w:color w:val="auto"/>
              </w:rPr>
              <w:t>Inline XBRL Taxonomy Extension Schema Document</w:t>
            </w:r>
          </w:p>
        </w:tc>
        <w:tc>
          <w:tcPr>
            <w:tcW w:w="1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1"/>
                <w:szCs w:val="11"/>
                <w:color w:val="auto"/>
              </w:rPr>
              <w:t>x</w:t>
            </w:r>
          </w:p>
        </w:tc>
        <w:tc>
          <w:tcPr>
            <w:tcW w:w="1140" w:type="dxa"/>
            <w:vAlign w:val="bottom"/>
            <w:gridSpan w:val="2"/>
          </w:tcPr>
          <w:p>
            <w:pPr>
              <w:jc w:val="center"/>
              <w:ind w:right="120"/>
              <w:spacing w:after="0"/>
              <w:rPr>
                <w:sz w:val="20"/>
                <w:szCs w:val="20"/>
                <w:color w:val="auto"/>
              </w:rPr>
            </w:pPr>
            <w:r>
              <w:rPr>
                <w:rFonts w:ascii="Arial" w:cs="Arial" w:eastAsia="Arial" w:hAnsi="Arial"/>
                <w:sz w:val="11"/>
                <w:szCs w:val="11"/>
                <w:color w:val="auto"/>
              </w:rPr>
              <w:t>x</w:t>
            </w:r>
          </w:p>
        </w:tc>
        <w:tc>
          <w:tcPr>
            <w:tcW w:w="1020" w:type="dxa"/>
            <w:vAlign w:val="bottom"/>
          </w:tcPr>
          <w:p>
            <w:pPr>
              <w:jc w:val="center"/>
              <w:spacing w:after="0"/>
              <w:rPr>
                <w:sz w:val="20"/>
                <w:szCs w:val="20"/>
                <w:color w:val="auto"/>
              </w:rPr>
            </w:pPr>
            <w:r>
              <w:rPr>
                <w:rFonts w:ascii="Arial" w:cs="Arial" w:eastAsia="Arial" w:hAnsi="Arial"/>
                <w:sz w:val="11"/>
                <w:szCs w:val="11"/>
                <w:color w:val="auto"/>
              </w:rPr>
              <w:t>x</w:t>
            </w:r>
          </w:p>
        </w:tc>
        <w:tc>
          <w:tcPr>
            <w:tcW w:w="0" w:type="dxa"/>
            <w:vAlign w:val="bottom"/>
          </w:tcPr>
          <w:p>
            <w:pPr>
              <w:spacing w:after="0"/>
              <w:rPr>
                <w:sz w:val="1"/>
                <w:szCs w:val="1"/>
                <w:color w:val="auto"/>
              </w:rPr>
            </w:pPr>
          </w:p>
        </w:tc>
      </w:tr>
      <w:tr>
        <w:trPr>
          <w:trHeight w:val="188"/>
        </w:trPr>
        <w:tc>
          <w:tcPr>
            <w:tcW w:w="820" w:type="dxa"/>
            <w:vAlign w:val="bottom"/>
            <w:gridSpan w:val="2"/>
          </w:tcPr>
          <w:p>
            <w:pPr>
              <w:jc w:val="center"/>
              <w:ind w:right="120"/>
              <w:spacing w:after="0"/>
              <w:rPr>
                <w:sz w:val="20"/>
                <w:szCs w:val="20"/>
                <w:color w:val="auto"/>
              </w:rPr>
            </w:pPr>
            <w:r>
              <w:rPr>
                <w:rFonts w:ascii="Arial" w:cs="Arial" w:eastAsia="Arial" w:hAnsi="Arial"/>
                <w:sz w:val="11"/>
                <w:szCs w:val="11"/>
                <w:color w:val="auto"/>
              </w:rPr>
              <w:t>+101.CAL</w:t>
            </w:r>
          </w:p>
        </w:tc>
        <w:tc>
          <w:tcPr>
            <w:tcW w:w="3100" w:type="dxa"/>
            <w:vAlign w:val="bottom"/>
            <w:gridSpan w:val="2"/>
          </w:tcPr>
          <w:p>
            <w:pPr>
              <w:ind w:left="20"/>
              <w:spacing w:after="0"/>
              <w:rPr>
                <w:sz w:val="20"/>
                <w:szCs w:val="20"/>
                <w:color w:val="auto"/>
              </w:rPr>
            </w:pPr>
            <w:r>
              <w:rPr>
                <w:rFonts w:ascii="Arial" w:cs="Arial" w:eastAsia="Arial" w:hAnsi="Arial"/>
                <w:sz w:val="11"/>
                <w:szCs w:val="11"/>
                <w:color w:val="auto"/>
              </w:rPr>
              <w:t>Inline XBRL Taxonomy Extension Calculation Linkbase</w:t>
            </w:r>
          </w:p>
        </w:tc>
        <w:tc>
          <w:tcPr>
            <w:tcW w:w="1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1"/>
                <w:szCs w:val="11"/>
                <w:color w:val="auto"/>
              </w:rPr>
              <w:t>x</w:t>
            </w:r>
          </w:p>
        </w:tc>
        <w:tc>
          <w:tcPr>
            <w:tcW w:w="1140" w:type="dxa"/>
            <w:vAlign w:val="bottom"/>
            <w:gridSpan w:val="2"/>
          </w:tcPr>
          <w:p>
            <w:pPr>
              <w:jc w:val="center"/>
              <w:ind w:right="120"/>
              <w:spacing w:after="0"/>
              <w:rPr>
                <w:sz w:val="20"/>
                <w:szCs w:val="20"/>
                <w:color w:val="auto"/>
              </w:rPr>
            </w:pPr>
            <w:r>
              <w:rPr>
                <w:rFonts w:ascii="Arial" w:cs="Arial" w:eastAsia="Arial" w:hAnsi="Arial"/>
                <w:sz w:val="11"/>
                <w:szCs w:val="11"/>
                <w:color w:val="auto"/>
              </w:rPr>
              <w:t>x</w:t>
            </w:r>
          </w:p>
        </w:tc>
        <w:tc>
          <w:tcPr>
            <w:tcW w:w="1020" w:type="dxa"/>
            <w:vAlign w:val="bottom"/>
          </w:tcPr>
          <w:p>
            <w:pPr>
              <w:jc w:val="center"/>
              <w:spacing w:after="0"/>
              <w:rPr>
                <w:sz w:val="20"/>
                <w:szCs w:val="20"/>
                <w:color w:val="auto"/>
              </w:rPr>
            </w:pPr>
            <w:r>
              <w:rPr>
                <w:rFonts w:ascii="Arial" w:cs="Arial" w:eastAsia="Arial" w:hAnsi="Arial"/>
                <w:sz w:val="11"/>
                <w:szCs w:val="11"/>
                <w:color w:val="auto"/>
              </w:rPr>
              <w:t>x</w:t>
            </w:r>
          </w:p>
        </w:tc>
        <w:tc>
          <w:tcPr>
            <w:tcW w:w="0" w:type="dxa"/>
            <w:vAlign w:val="bottom"/>
          </w:tcPr>
          <w:p>
            <w:pPr>
              <w:spacing w:after="0"/>
              <w:rPr>
                <w:sz w:val="1"/>
                <w:szCs w:val="1"/>
                <w:color w:val="auto"/>
              </w:rPr>
            </w:pPr>
          </w:p>
        </w:tc>
      </w:tr>
      <w:tr>
        <w:trPr>
          <w:trHeight w:val="146"/>
        </w:trPr>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100" w:type="dxa"/>
            <w:vAlign w:val="bottom"/>
            <w:gridSpan w:val="2"/>
          </w:tcPr>
          <w:p>
            <w:pPr>
              <w:ind w:left="20"/>
              <w:spacing w:after="0"/>
              <w:rPr>
                <w:sz w:val="20"/>
                <w:szCs w:val="20"/>
                <w:color w:val="auto"/>
              </w:rPr>
            </w:pPr>
            <w:r>
              <w:rPr>
                <w:rFonts w:ascii="Arial" w:cs="Arial" w:eastAsia="Arial" w:hAnsi="Arial"/>
                <w:sz w:val="11"/>
                <w:szCs w:val="11"/>
                <w:color w:val="auto"/>
              </w:rPr>
              <w:t>Document</w:t>
            </w:r>
          </w:p>
        </w:tc>
        <w:tc>
          <w:tcPr>
            <w:tcW w:w="1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820" w:type="dxa"/>
            <w:vAlign w:val="bottom"/>
            <w:gridSpan w:val="2"/>
          </w:tcPr>
          <w:p>
            <w:pPr>
              <w:jc w:val="center"/>
              <w:ind w:right="120"/>
              <w:spacing w:after="0"/>
              <w:rPr>
                <w:sz w:val="20"/>
                <w:szCs w:val="20"/>
                <w:color w:val="auto"/>
              </w:rPr>
            </w:pPr>
            <w:r>
              <w:rPr>
                <w:rFonts w:ascii="Arial" w:cs="Arial" w:eastAsia="Arial" w:hAnsi="Arial"/>
                <w:sz w:val="11"/>
                <w:szCs w:val="11"/>
                <w:color w:val="auto"/>
              </w:rPr>
              <w:t>+101.DEF</w:t>
            </w:r>
          </w:p>
        </w:tc>
        <w:tc>
          <w:tcPr>
            <w:tcW w:w="3100" w:type="dxa"/>
            <w:vAlign w:val="bottom"/>
            <w:gridSpan w:val="2"/>
          </w:tcPr>
          <w:p>
            <w:pPr>
              <w:ind w:left="20"/>
              <w:spacing w:after="0"/>
              <w:rPr>
                <w:sz w:val="20"/>
                <w:szCs w:val="20"/>
                <w:color w:val="auto"/>
              </w:rPr>
            </w:pPr>
            <w:r>
              <w:rPr>
                <w:rFonts w:ascii="Arial" w:cs="Arial" w:eastAsia="Arial" w:hAnsi="Arial"/>
                <w:sz w:val="11"/>
                <w:szCs w:val="11"/>
                <w:color w:val="auto"/>
              </w:rPr>
              <w:t>Inline XBRL Taxonomy Extension Definition Linkbase</w:t>
            </w:r>
          </w:p>
        </w:tc>
        <w:tc>
          <w:tcPr>
            <w:tcW w:w="1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1"/>
                <w:szCs w:val="11"/>
                <w:color w:val="auto"/>
              </w:rPr>
              <w:t>x</w:t>
            </w:r>
          </w:p>
        </w:tc>
        <w:tc>
          <w:tcPr>
            <w:tcW w:w="1140" w:type="dxa"/>
            <w:vAlign w:val="bottom"/>
            <w:gridSpan w:val="2"/>
          </w:tcPr>
          <w:p>
            <w:pPr>
              <w:jc w:val="center"/>
              <w:ind w:right="120"/>
              <w:spacing w:after="0"/>
              <w:rPr>
                <w:sz w:val="20"/>
                <w:szCs w:val="20"/>
                <w:color w:val="auto"/>
              </w:rPr>
            </w:pPr>
            <w:r>
              <w:rPr>
                <w:rFonts w:ascii="Arial" w:cs="Arial" w:eastAsia="Arial" w:hAnsi="Arial"/>
                <w:sz w:val="11"/>
                <w:szCs w:val="11"/>
                <w:color w:val="auto"/>
              </w:rPr>
              <w:t>x</w:t>
            </w:r>
          </w:p>
        </w:tc>
        <w:tc>
          <w:tcPr>
            <w:tcW w:w="1020" w:type="dxa"/>
            <w:vAlign w:val="bottom"/>
          </w:tcPr>
          <w:p>
            <w:pPr>
              <w:jc w:val="center"/>
              <w:spacing w:after="0"/>
              <w:rPr>
                <w:sz w:val="20"/>
                <w:szCs w:val="20"/>
                <w:color w:val="auto"/>
              </w:rPr>
            </w:pPr>
            <w:r>
              <w:rPr>
                <w:rFonts w:ascii="Arial" w:cs="Arial" w:eastAsia="Arial" w:hAnsi="Arial"/>
                <w:sz w:val="11"/>
                <w:szCs w:val="11"/>
                <w:color w:val="auto"/>
              </w:rPr>
              <w:t>x</w:t>
            </w:r>
          </w:p>
        </w:tc>
        <w:tc>
          <w:tcPr>
            <w:tcW w:w="0" w:type="dxa"/>
            <w:vAlign w:val="bottom"/>
          </w:tcPr>
          <w:p>
            <w:pPr>
              <w:spacing w:after="0"/>
              <w:rPr>
                <w:sz w:val="1"/>
                <w:szCs w:val="1"/>
                <w:color w:val="auto"/>
              </w:rPr>
            </w:pPr>
          </w:p>
        </w:tc>
      </w:tr>
      <w:tr>
        <w:trPr>
          <w:trHeight w:val="146"/>
        </w:trPr>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100" w:type="dxa"/>
            <w:vAlign w:val="bottom"/>
            <w:gridSpan w:val="2"/>
          </w:tcPr>
          <w:p>
            <w:pPr>
              <w:ind w:left="20"/>
              <w:spacing w:after="0"/>
              <w:rPr>
                <w:sz w:val="20"/>
                <w:szCs w:val="20"/>
                <w:color w:val="auto"/>
              </w:rPr>
            </w:pPr>
            <w:r>
              <w:rPr>
                <w:rFonts w:ascii="Arial" w:cs="Arial" w:eastAsia="Arial" w:hAnsi="Arial"/>
                <w:sz w:val="11"/>
                <w:szCs w:val="11"/>
                <w:color w:val="auto"/>
              </w:rPr>
              <w:t>Document</w:t>
            </w:r>
          </w:p>
        </w:tc>
        <w:tc>
          <w:tcPr>
            <w:tcW w:w="1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820" w:type="dxa"/>
            <w:vAlign w:val="bottom"/>
            <w:gridSpan w:val="2"/>
          </w:tcPr>
          <w:p>
            <w:pPr>
              <w:jc w:val="center"/>
              <w:ind w:right="120"/>
              <w:spacing w:after="0"/>
              <w:rPr>
                <w:sz w:val="20"/>
                <w:szCs w:val="20"/>
                <w:color w:val="auto"/>
              </w:rPr>
            </w:pPr>
            <w:r>
              <w:rPr>
                <w:rFonts w:ascii="Arial" w:cs="Arial" w:eastAsia="Arial" w:hAnsi="Arial"/>
                <w:sz w:val="11"/>
                <w:szCs w:val="11"/>
                <w:color w:val="auto"/>
              </w:rPr>
              <w:t>+101.LAB</w:t>
            </w:r>
          </w:p>
        </w:tc>
        <w:tc>
          <w:tcPr>
            <w:tcW w:w="3100" w:type="dxa"/>
            <w:vAlign w:val="bottom"/>
            <w:gridSpan w:val="2"/>
          </w:tcPr>
          <w:p>
            <w:pPr>
              <w:ind w:left="20"/>
              <w:spacing w:after="0"/>
              <w:rPr>
                <w:sz w:val="20"/>
                <w:szCs w:val="20"/>
                <w:color w:val="auto"/>
              </w:rPr>
            </w:pPr>
            <w:r>
              <w:rPr>
                <w:rFonts w:ascii="Arial" w:cs="Arial" w:eastAsia="Arial" w:hAnsi="Arial"/>
                <w:sz w:val="11"/>
                <w:szCs w:val="11"/>
                <w:color w:val="auto"/>
              </w:rPr>
              <w:t>Inline XBRL Taxonomy Extension Labels Linkbase Document</w:t>
            </w:r>
          </w:p>
        </w:tc>
        <w:tc>
          <w:tcPr>
            <w:tcW w:w="1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1"/>
                <w:szCs w:val="11"/>
                <w:color w:val="auto"/>
              </w:rPr>
              <w:t>x</w:t>
            </w:r>
          </w:p>
        </w:tc>
        <w:tc>
          <w:tcPr>
            <w:tcW w:w="1140" w:type="dxa"/>
            <w:vAlign w:val="bottom"/>
            <w:gridSpan w:val="2"/>
          </w:tcPr>
          <w:p>
            <w:pPr>
              <w:jc w:val="center"/>
              <w:ind w:right="120"/>
              <w:spacing w:after="0"/>
              <w:rPr>
                <w:sz w:val="20"/>
                <w:szCs w:val="20"/>
                <w:color w:val="auto"/>
              </w:rPr>
            </w:pPr>
            <w:r>
              <w:rPr>
                <w:rFonts w:ascii="Arial" w:cs="Arial" w:eastAsia="Arial" w:hAnsi="Arial"/>
                <w:sz w:val="11"/>
                <w:szCs w:val="11"/>
                <w:color w:val="auto"/>
              </w:rPr>
              <w:t>x</w:t>
            </w:r>
          </w:p>
        </w:tc>
        <w:tc>
          <w:tcPr>
            <w:tcW w:w="1020" w:type="dxa"/>
            <w:vAlign w:val="bottom"/>
          </w:tcPr>
          <w:p>
            <w:pPr>
              <w:jc w:val="center"/>
              <w:spacing w:after="0"/>
              <w:rPr>
                <w:sz w:val="20"/>
                <w:szCs w:val="20"/>
                <w:color w:val="auto"/>
              </w:rPr>
            </w:pPr>
            <w:r>
              <w:rPr>
                <w:rFonts w:ascii="Arial" w:cs="Arial" w:eastAsia="Arial" w:hAnsi="Arial"/>
                <w:sz w:val="11"/>
                <w:szCs w:val="11"/>
                <w:color w:val="auto"/>
              </w:rPr>
              <w:t>x</w:t>
            </w:r>
          </w:p>
        </w:tc>
        <w:tc>
          <w:tcPr>
            <w:tcW w:w="0" w:type="dxa"/>
            <w:vAlign w:val="bottom"/>
          </w:tcPr>
          <w:p>
            <w:pPr>
              <w:spacing w:after="0"/>
              <w:rPr>
                <w:sz w:val="1"/>
                <w:szCs w:val="1"/>
                <w:color w:val="auto"/>
              </w:rPr>
            </w:pPr>
          </w:p>
        </w:tc>
      </w:tr>
      <w:tr>
        <w:trPr>
          <w:trHeight w:val="188"/>
        </w:trPr>
        <w:tc>
          <w:tcPr>
            <w:tcW w:w="820" w:type="dxa"/>
            <w:vAlign w:val="bottom"/>
            <w:gridSpan w:val="2"/>
          </w:tcPr>
          <w:p>
            <w:pPr>
              <w:jc w:val="center"/>
              <w:ind w:right="120"/>
              <w:spacing w:after="0"/>
              <w:rPr>
                <w:sz w:val="20"/>
                <w:szCs w:val="20"/>
                <w:color w:val="auto"/>
              </w:rPr>
            </w:pPr>
            <w:r>
              <w:rPr>
                <w:rFonts w:ascii="Arial" w:cs="Arial" w:eastAsia="Arial" w:hAnsi="Arial"/>
                <w:sz w:val="11"/>
                <w:szCs w:val="11"/>
                <w:color w:val="auto"/>
                <w:w w:val="91"/>
              </w:rPr>
              <w:t>+101.PRE</w:t>
            </w:r>
          </w:p>
        </w:tc>
        <w:tc>
          <w:tcPr>
            <w:tcW w:w="3100" w:type="dxa"/>
            <w:vAlign w:val="bottom"/>
            <w:gridSpan w:val="2"/>
          </w:tcPr>
          <w:p>
            <w:pPr>
              <w:ind w:left="20"/>
              <w:spacing w:after="0"/>
              <w:rPr>
                <w:sz w:val="20"/>
                <w:szCs w:val="20"/>
                <w:color w:val="auto"/>
              </w:rPr>
            </w:pPr>
            <w:r>
              <w:rPr>
                <w:rFonts w:ascii="Arial" w:cs="Arial" w:eastAsia="Arial" w:hAnsi="Arial"/>
                <w:sz w:val="11"/>
                <w:szCs w:val="11"/>
                <w:color w:val="auto"/>
              </w:rPr>
              <w:t>Inline XBRL Taxonomy Extension Presentation Linkbase</w:t>
            </w:r>
          </w:p>
        </w:tc>
        <w:tc>
          <w:tcPr>
            <w:tcW w:w="1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1"/>
                <w:szCs w:val="11"/>
                <w:color w:val="auto"/>
              </w:rPr>
              <w:t>x</w:t>
            </w:r>
          </w:p>
        </w:tc>
        <w:tc>
          <w:tcPr>
            <w:tcW w:w="1140" w:type="dxa"/>
            <w:vAlign w:val="bottom"/>
            <w:gridSpan w:val="2"/>
          </w:tcPr>
          <w:p>
            <w:pPr>
              <w:jc w:val="center"/>
              <w:ind w:right="120"/>
              <w:spacing w:after="0"/>
              <w:rPr>
                <w:sz w:val="20"/>
                <w:szCs w:val="20"/>
                <w:color w:val="auto"/>
              </w:rPr>
            </w:pPr>
            <w:r>
              <w:rPr>
                <w:rFonts w:ascii="Arial" w:cs="Arial" w:eastAsia="Arial" w:hAnsi="Arial"/>
                <w:sz w:val="11"/>
                <w:szCs w:val="11"/>
                <w:color w:val="auto"/>
              </w:rPr>
              <w:t>x</w:t>
            </w:r>
          </w:p>
        </w:tc>
        <w:tc>
          <w:tcPr>
            <w:tcW w:w="1020" w:type="dxa"/>
            <w:vAlign w:val="bottom"/>
          </w:tcPr>
          <w:p>
            <w:pPr>
              <w:jc w:val="center"/>
              <w:spacing w:after="0"/>
              <w:rPr>
                <w:sz w:val="20"/>
                <w:szCs w:val="20"/>
                <w:color w:val="auto"/>
              </w:rPr>
            </w:pPr>
            <w:r>
              <w:rPr>
                <w:rFonts w:ascii="Arial" w:cs="Arial" w:eastAsia="Arial" w:hAnsi="Arial"/>
                <w:sz w:val="11"/>
                <w:szCs w:val="11"/>
                <w:color w:val="auto"/>
              </w:rPr>
              <w:t>x</w:t>
            </w:r>
          </w:p>
        </w:tc>
        <w:tc>
          <w:tcPr>
            <w:tcW w:w="0" w:type="dxa"/>
            <w:vAlign w:val="bottom"/>
          </w:tcPr>
          <w:p>
            <w:pPr>
              <w:spacing w:after="0"/>
              <w:rPr>
                <w:sz w:val="1"/>
                <w:szCs w:val="1"/>
                <w:color w:val="auto"/>
              </w:rPr>
            </w:pPr>
          </w:p>
        </w:tc>
      </w:tr>
      <w:tr>
        <w:trPr>
          <w:trHeight w:val="146"/>
        </w:trPr>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100" w:type="dxa"/>
            <w:vAlign w:val="bottom"/>
            <w:gridSpan w:val="2"/>
          </w:tcPr>
          <w:p>
            <w:pPr>
              <w:ind w:left="20"/>
              <w:spacing w:after="0"/>
              <w:rPr>
                <w:sz w:val="20"/>
                <w:szCs w:val="20"/>
                <w:color w:val="auto"/>
              </w:rPr>
            </w:pPr>
            <w:r>
              <w:rPr>
                <w:rFonts w:ascii="Arial" w:cs="Arial" w:eastAsia="Arial" w:hAnsi="Arial"/>
                <w:sz w:val="11"/>
                <w:szCs w:val="11"/>
                <w:color w:val="auto"/>
              </w:rPr>
              <w:t>Document</w:t>
            </w:r>
          </w:p>
        </w:tc>
        <w:tc>
          <w:tcPr>
            <w:tcW w:w="1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700" w:type="dxa"/>
            <w:vAlign w:val="bottom"/>
          </w:tcPr>
          <w:p>
            <w:pPr>
              <w:jc w:val="center"/>
              <w:spacing w:after="0"/>
              <w:rPr>
                <w:sz w:val="20"/>
                <w:szCs w:val="20"/>
                <w:color w:val="auto"/>
              </w:rPr>
            </w:pPr>
            <w:r>
              <w:rPr>
                <w:rFonts w:ascii="Arial" w:cs="Arial" w:eastAsia="Arial" w:hAnsi="Arial"/>
                <w:sz w:val="11"/>
                <w:szCs w:val="11"/>
                <w:color w:val="auto"/>
                <w:w w:val="88"/>
              </w:rPr>
              <w:t>+104</w:t>
            </w:r>
          </w:p>
        </w:tc>
        <w:tc>
          <w:tcPr>
            <w:tcW w:w="120" w:type="dxa"/>
            <w:vAlign w:val="bottom"/>
          </w:tcPr>
          <w:p>
            <w:pPr>
              <w:spacing w:after="0"/>
              <w:rPr>
                <w:sz w:val="11"/>
                <w:szCs w:val="11"/>
                <w:color w:val="auto"/>
              </w:rPr>
            </w:pPr>
          </w:p>
        </w:tc>
        <w:tc>
          <w:tcPr>
            <w:tcW w:w="3100" w:type="dxa"/>
            <w:vAlign w:val="bottom"/>
            <w:gridSpan w:val="2"/>
          </w:tcPr>
          <w:p>
            <w:pPr>
              <w:ind w:left="20"/>
              <w:spacing w:after="0"/>
              <w:rPr>
                <w:sz w:val="20"/>
                <w:szCs w:val="20"/>
                <w:color w:val="auto"/>
              </w:rPr>
            </w:pPr>
            <w:r>
              <w:rPr>
                <w:rFonts w:ascii="Arial" w:cs="Arial" w:eastAsia="Arial" w:hAnsi="Arial"/>
                <w:sz w:val="11"/>
                <w:szCs w:val="11"/>
                <w:color w:val="auto"/>
              </w:rPr>
              <w:t>Cover Page Interactive Data File (formatted as Inline XBRL</w:t>
            </w:r>
          </w:p>
        </w:tc>
        <w:tc>
          <w:tcPr>
            <w:tcW w:w="1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1"/>
                <w:szCs w:val="11"/>
                <w:color w:val="auto"/>
              </w:rPr>
              <w:t>x</w:t>
            </w:r>
          </w:p>
        </w:tc>
        <w:tc>
          <w:tcPr>
            <w:tcW w:w="1140" w:type="dxa"/>
            <w:vAlign w:val="bottom"/>
            <w:gridSpan w:val="2"/>
          </w:tcPr>
          <w:p>
            <w:pPr>
              <w:jc w:val="center"/>
              <w:ind w:right="120"/>
              <w:spacing w:after="0"/>
              <w:rPr>
                <w:sz w:val="20"/>
                <w:szCs w:val="20"/>
                <w:color w:val="auto"/>
              </w:rPr>
            </w:pPr>
            <w:r>
              <w:rPr>
                <w:rFonts w:ascii="Arial" w:cs="Arial" w:eastAsia="Arial" w:hAnsi="Arial"/>
                <w:sz w:val="11"/>
                <w:szCs w:val="11"/>
                <w:color w:val="auto"/>
              </w:rPr>
              <w:t>x</w:t>
            </w:r>
          </w:p>
        </w:tc>
        <w:tc>
          <w:tcPr>
            <w:tcW w:w="1020" w:type="dxa"/>
            <w:vAlign w:val="bottom"/>
          </w:tcPr>
          <w:p>
            <w:pPr>
              <w:jc w:val="center"/>
              <w:spacing w:after="0"/>
              <w:rPr>
                <w:sz w:val="20"/>
                <w:szCs w:val="20"/>
                <w:color w:val="auto"/>
              </w:rPr>
            </w:pPr>
            <w:r>
              <w:rPr>
                <w:rFonts w:ascii="Arial" w:cs="Arial" w:eastAsia="Arial" w:hAnsi="Arial"/>
                <w:sz w:val="11"/>
                <w:szCs w:val="11"/>
                <w:color w:val="auto"/>
              </w:rPr>
              <w:t>x</w:t>
            </w:r>
          </w:p>
        </w:tc>
        <w:tc>
          <w:tcPr>
            <w:tcW w:w="0" w:type="dxa"/>
            <w:vAlign w:val="bottom"/>
          </w:tcPr>
          <w:p>
            <w:pPr>
              <w:spacing w:after="0"/>
              <w:rPr>
                <w:sz w:val="1"/>
                <w:szCs w:val="1"/>
                <w:color w:val="auto"/>
              </w:rPr>
            </w:pPr>
          </w:p>
        </w:tc>
      </w:tr>
      <w:tr>
        <w:trPr>
          <w:trHeight w:val="146"/>
        </w:trPr>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100" w:type="dxa"/>
            <w:vAlign w:val="bottom"/>
            <w:gridSpan w:val="2"/>
          </w:tcPr>
          <w:p>
            <w:pPr>
              <w:ind w:left="20"/>
              <w:spacing w:after="0"/>
              <w:rPr>
                <w:sz w:val="20"/>
                <w:szCs w:val="20"/>
                <w:color w:val="auto"/>
              </w:rPr>
            </w:pPr>
            <w:r>
              <w:rPr>
                <w:rFonts w:ascii="Arial" w:cs="Arial" w:eastAsia="Arial" w:hAnsi="Arial"/>
                <w:sz w:val="11"/>
                <w:szCs w:val="11"/>
                <w:color w:val="auto"/>
              </w:rPr>
              <w:t>and contained in Exhibit 101)</w:t>
            </w:r>
          </w:p>
        </w:tc>
        <w:tc>
          <w:tcPr>
            <w:tcW w:w="1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28" w:lineRule="exact"/>
        <w:rPr>
          <w:sz w:val="20"/>
          <w:szCs w:val="20"/>
          <w:color w:val="auto"/>
        </w:rPr>
      </w:pPr>
    </w:p>
    <w:p>
      <w:pPr>
        <w:ind w:left="740" w:right="820" w:hanging="206"/>
        <w:spacing w:after="0" w:line="328" w:lineRule="auto"/>
        <w:tabs>
          <w:tab w:leader="none" w:pos="740" w:val="left"/>
        </w:tabs>
        <w:numPr>
          <w:ilvl w:val="0"/>
          <w:numId w:val="91"/>
        </w:numPr>
        <w:rPr>
          <w:rFonts w:ascii="Arial" w:cs="Arial" w:eastAsia="Arial" w:hAnsi="Arial"/>
          <w:sz w:val="13"/>
          <w:szCs w:val="13"/>
          <w:color w:val="auto"/>
        </w:rPr>
      </w:pPr>
      <w:r>
        <w:rPr>
          <w:rFonts w:ascii="Arial" w:cs="Arial" w:eastAsia="Arial" w:hAnsi="Arial"/>
          <w:sz w:val="13"/>
          <w:szCs w:val="13"/>
          <w:color w:val="auto"/>
        </w:rPr>
        <w:t>Schedules to this agreement have been omitted pursuant to Item 601(b)(2) of Regulation S-K. A copy of any omitted schedules will be furnished supplementally to the SEC upon request; provided, however, that the parties may request confidential treatment pursuant to Rule 24b-2 of the Exchange Act for any document so furnished.</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100</w:t>
      </w:r>
    </w:p>
    <w:p>
      <w:pPr>
        <w:sectPr>
          <w:pgSz w:w="11900" w:h="16838" w:orient="portrait"/>
          <w:cols w:equalWidth="0" w:num="1">
            <w:col w:w="11460"/>
          </w:cols>
          <w:pgMar w:left="220" w:top="129" w:right="219" w:bottom="1440" w:gutter="0" w:footer="0" w:header="0"/>
        </w:sectPr>
      </w:pPr>
    </w:p>
    <w:bookmarkStart w:id="110" w:name="page111"/>
    <w:bookmarkEnd w:id="110"/>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201" w:lineRule="exact"/>
        <w:rPr>
          <w:sz w:val="20"/>
          <w:szCs w:val="20"/>
          <w:color w:val="auto"/>
        </w:rPr>
      </w:pPr>
    </w:p>
    <w:p>
      <w:pPr>
        <w:ind w:left="5280"/>
        <w:spacing w:after="0"/>
        <w:rPr>
          <w:sz w:val="20"/>
          <w:szCs w:val="20"/>
          <w:color w:val="auto"/>
        </w:rPr>
      </w:pPr>
      <w:r>
        <w:rPr>
          <w:rFonts w:ascii="Arial" w:cs="Arial" w:eastAsia="Arial" w:hAnsi="Arial"/>
          <w:sz w:val="14"/>
          <w:szCs w:val="14"/>
          <w:b w:val="1"/>
          <w:bCs w:val="1"/>
          <w:color w:val="auto"/>
        </w:rPr>
        <w:t>SIGNATURES</w:t>
      </w:r>
    </w:p>
    <w:p>
      <w:pPr>
        <w:spacing w:after="0" w:line="200" w:lineRule="exact"/>
        <w:rPr>
          <w:sz w:val="20"/>
          <w:szCs w:val="20"/>
          <w:color w:val="auto"/>
        </w:rPr>
      </w:pPr>
    </w:p>
    <w:p>
      <w:pPr>
        <w:spacing w:after="0" w:line="333" w:lineRule="exact"/>
        <w:rPr>
          <w:sz w:val="20"/>
          <w:szCs w:val="20"/>
          <w:color w:val="auto"/>
        </w:rPr>
      </w:pPr>
    </w:p>
    <w:p>
      <w:pPr>
        <w:ind w:left="260"/>
        <w:spacing w:after="0"/>
        <w:rPr>
          <w:sz w:val="20"/>
          <w:szCs w:val="20"/>
          <w:color w:val="auto"/>
        </w:rPr>
      </w:pPr>
      <w:r>
        <w:rPr>
          <w:rFonts w:ascii="Arial" w:cs="Arial" w:eastAsia="Arial" w:hAnsi="Arial"/>
          <w:sz w:val="12"/>
          <w:szCs w:val="12"/>
          <w:color w:val="auto"/>
        </w:rPr>
        <w:t>Pursuant to the requirements of the Securities Exchange Act of 1934, each registrant has duly caused this report to be signed on its behalf by the undersigned thereunto duly authorized.</w:t>
      </w:r>
    </w:p>
    <w:p>
      <w:pPr>
        <w:spacing w:after="0" w:line="200" w:lineRule="exact"/>
        <w:rPr>
          <w:sz w:val="20"/>
          <w:szCs w:val="20"/>
          <w:color w:val="auto"/>
        </w:rPr>
      </w:pPr>
    </w:p>
    <w:p>
      <w:pPr>
        <w:spacing w:after="0" w:line="305" w:lineRule="exact"/>
        <w:rPr>
          <w:sz w:val="20"/>
          <w:szCs w:val="20"/>
          <w:color w:val="auto"/>
        </w:rPr>
      </w:pPr>
    </w:p>
    <w:p>
      <w:pPr>
        <w:jc w:val="center"/>
        <w:ind w:left="5180"/>
        <w:spacing w:after="0"/>
        <w:rPr>
          <w:sz w:val="20"/>
          <w:szCs w:val="20"/>
          <w:color w:val="auto"/>
        </w:rPr>
      </w:pPr>
      <w:r>
        <w:rPr>
          <w:rFonts w:ascii="Arial" w:cs="Arial" w:eastAsia="Arial" w:hAnsi="Arial"/>
          <w:sz w:val="14"/>
          <w:szCs w:val="14"/>
          <w:b w:val="1"/>
          <w:bCs w:val="1"/>
          <w:color w:val="auto"/>
        </w:rPr>
        <w:t>CENTERPOINT ENERGY, INC.</w:t>
      </w:r>
    </w:p>
    <w:p>
      <w:pPr>
        <w:spacing w:after="0" w:line="55" w:lineRule="exact"/>
        <w:rPr>
          <w:sz w:val="20"/>
          <w:szCs w:val="20"/>
          <w:color w:val="auto"/>
        </w:rPr>
      </w:pPr>
    </w:p>
    <w:p>
      <w:pPr>
        <w:jc w:val="center"/>
        <w:ind w:left="5180"/>
        <w:spacing w:after="0"/>
        <w:rPr>
          <w:sz w:val="20"/>
          <w:szCs w:val="20"/>
          <w:color w:val="auto"/>
        </w:rPr>
      </w:pPr>
      <w:r>
        <w:rPr>
          <w:rFonts w:ascii="Arial" w:cs="Arial" w:eastAsia="Arial" w:hAnsi="Arial"/>
          <w:sz w:val="14"/>
          <w:szCs w:val="14"/>
          <w:b w:val="1"/>
          <w:bCs w:val="1"/>
          <w:color w:val="auto"/>
        </w:rPr>
        <w:t>CENTERPOINT ENERGY HOUSTON ELECTRIC, LLC</w:t>
      </w:r>
    </w:p>
    <w:p>
      <w:pPr>
        <w:spacing w:after="0" w:line="55" w:lineRule="exact"/>
        <w:rPr>
          <w:sz w:val="20"/>
          <w:szCs w:val="20"/>
          <w:color w:val="auto"/>
        </w:rPr>
      </w:pPr>
    </w:p>
    <w:p>
      <w:pPr>
        <w:jc w:val="center"/>
        <w:ind w:left="5180"/>
        <w:spacing w:after="0"/>
        <w:rPr>
          <w:sz w:val="20"/>
          <w:szCs w:val="20"/>
          <w:color w:val="auto"/>
        </w:rPr>
      </w:pPr>
      <w:r>
        <w:rPr>
          <w:rFonts w:ascii="Arial" w:cs="Arial" w:eastAsia="Arial" w:hAnsi="Arial"/>
          <w:sz w:val="14"/>
          <w:szCs w:val="14"/>
          <w:b w:val="1"/>
          <w:bCs w:val="1"/>
          <w:color w:val="auto"/>
        </w:rPr>
        <w:t>CENTERPOINT ENERGY RESOURCES CORP.</w:t>
      </w:r>
    </w:p>
    <w:p>
      <w:pPr>
        <w:spacing w:after="0" w:line="200" w:lineRule="exact"/>
        <w:rPr>
          <w:sz w:val="20"/>
          <w:szCs w:val="20"/>
          <w:color w:val="auto"/>
        </w:rPr>
      </w:pPr>
    </w:p>
    <w:p>
      <w:pPr>
        <w:spacing w:after="0" w:line="311" w:lineRule="exact"/>
        <w:rPr>
          <w:sz w:val="20"/>
          <w:szCs w:val="20"/>
          <w:color w:val="auto"/>
        </w:rPr>
      </w:pPr>
    </w:p>
    <w:p>
      <w:pPr>
        <w:ind w:left="4940"/>
        <w:spacing w:after="0"/>
        <w:tabs>
          <w:tab w:leader="none" w:pos="7720" w:val="left"/>
        </w:tabs>
        <w:rPr>
          <w:sz w:val="20"/>
          <w:szCs w:val="20"/>
          <w:color w:val="auto"/>
        </w:rPr>
      </w:pPr>
      <w:r>
        <w:rPr>
          <w:rFonts w:ascii="Arial" w:cs="Arial" w:eastAsia="Arial" w:hAnsi="Arial"/>
          <w:sz w:val="14"/>
          <w:szCs w:val="14"/>
          <w:color w:val="auto"/>
        </w:rPr>
        <w:t>By:</w:t>
      </w:r>
      <w:r>
        <w:rPr>
          <w:sz w:val="20"/>
          <w:szCs w:val="20"/>
          <w:color w:val="auto"/>
        </w:rPr>
        <w:tab/>
      </w:r>
      <w:r>
        <w:rPr>
          <w:rFonts w:ascii="Arial" w:cs="Arial" w:eastAsia="Arial" w:hAnsi="Arial"/>
          <w:sz w:val="14"/>
          <w:szCs w:val="14"/>
          <w:color w:val="auto"/>
        </w:rPr>
        <w:t>/s/ Kristie L. Colvin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3281680</wp:posOffset>
            </wp:positionH>
            <wp:positionV relativeFrom="paragraph">
              <wp:posOffset>27940</wp:posOffset>
            </wp:positionV>
            <wp:extent cx="3996690" cy="69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46">
                      <a:extLst>
                        <a:ext uri="{28A0092B-C50C-407E-A947-70E740481C1C}"/>
                      </a:extLst>
                    </a:blip>
                    <a:srcRect/>
                    <a:stretch>
                      <a:fillRect/>
                    </a:stretch>
                  </pic:blipFill>
                  <pic:spPr bwMode="auto">
                    <a:xfrm>
                      <a:off x="0" y="0"/>
                      <a:ext cx="3996690" cy="6985"/>
                    </a:xfrm>
                    <a:prstGeom prst="rect">
                      <a:avLst/>
                    </a:prstGeom>
                    <a:noFill/>
                  </pic:spPr>
                </pic:pic>
              </a:graphicData>
            </a:graphic>
          </wp:anchor>
        </w:drawing>
      </w:r>
    </w:p>
    <w:p>
      <w:pPr>
        <w:spacing w:after="0" w:line="45" w:lineRule="exact"/>
        <w:rPr>
          <w:sz w:val="20"/>
          <w:szCs w:val="20"/>
          <w:color w:val="auto"/>
        </w:rPr>
      </w:pPr>
    </w:p>
    <w:p>
      <w:pPr>
        <w:jc w:val="center"/>
        <w:ind w:left="5180"/>
        <w:spacing w:after="0"/>
        <w:rPr>
          <w:sz w:val="20"/>
          <w:szCs w:val="20"/>
          <w:color w:val="auto"/>
        </w:rPr>
      </w:pPr>
      <w:r>
        <w:rPr>
          <w:rFonts w:ascii="Arial" w:cs="Arial" w:eastAsia="Arial" w:hAnsi="Arial"/>
          <w:sz w:val="14"/>
          <w:szCs w:val="14"/>
          <w:color w:val="auto"/>
        </w:rPr>
        <w:t>Kristie L. Colvin</w:t>
      </w:r>
    </w:p>
    <w:p>
      <w:pPr>
        <w:spacing w:after="0" w:line="55" w:lineRule="exact"/>
        <w:rPr>
          <w:sz w:val="20"/>
          <w:szCs w:val="20"/>
          <w:color w:val="auto"/>
        </w:rPr>
      </w:pPr>
    </w:p>
    <w:p>
      <w:pPr>
        <w:jc w:val="center"/>
        <w:ind w:left="5180"/>
        <w:spacing w:after="0"/>
        <w:rPr>
          <w:sz w:val="20"/>
          <w:szCs w:val="20"/>
          <w:color w:val="auto"/>
        </w:rPr>
      </w:pPr>
      <w:r>
        <w:rPr>
          <w:rFonts w:ascii="Arial" w:cs="Arial" w:eastAsia="Arial" w:hAnsi="Arial"/>
          <w:sz w:val="14"/>
          <w:szCs w:val="14"/>
          <w:color w:val="auto"/>
        </w:rPr>
        <w:t>Senior Vice President and Chief Accounting Officer</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4"/>
          <w:szCs w:val="14"/>
          <w:color w:val="auto"/>
        </w:rPr>
        <w:t>Date: November 7, 2019</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5620"/>
        <w:spacing w:after="0"/>
        <w:rPr>
          <w:sz w:val="20"/>
          <w:szCs w:val="20"/>
          <w:color w:val="auto"/>
        </w:rPr>
      </w:pPr>
      <w:r>
        <w:rPr>
          <w:rFonts w:ascii="Arial" w:cs="Arial" w:eastAsia="Arial" w:hAnsi="Arial"/>
          <w:sz w:val="14"/>
          <w:szCs w:val="14"/>
          <w:color w:val="auto"/>
        </w:rPr>
        <w:t>101</w:t>
      </w:r>
    </w:p>
    <w:p>
      <w:pPr>
        <w:sectPr>
          <w:pgSz w:w="11900" w:h="16838" w:orient="portrait"/>
          <w:cols w:equalWidth="0" w:num="1">
            <w:col w:w="10840"/>
          </w:cols>
          <w:pgMar w:left="220" w:top="129" w:right="839" w:bottom="1440" w:gutter="0" w:footer="0" w:header="0"/>
        </w:sectPr>
      </w:pPr>
    </w:p>
    <w:bookmarkStart w:id="111" w:name="page112"/>
    <w:bookmarkEnd w:id="1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307975</wp:posOffset>
            </wp:positionV>
            <wp:extent cx="7217410" cy="94735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47">
                      <a:extLst>
                        <a:ext uri="{28A0092B-C50C-407E-A947-70E740481C1C}"/>
                      </a:extLst>
                    </a:blip>
                    <a:srcRect/>
                    <a:stretch>
                      <a:fillRect/>
                    </a:stretch>
                  </pic:blipFill>
                  <pic:spPr bwMode="auto">
                    <a:xfrm>
                      <a:off x="0" y="0"/>
                      <a:ext cx="7217410" cy="94735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2" w:name="page113"/>
    <w:bookmarkEnd w:id="1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8">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3" w:name="page114"/>
    <w:bookmarkEnd w:id="1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49">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4" w:name="page115"/>
    <w:bookmarkEnd w:id="1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50">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5" w:name="page116"/>
    <w:bookmarkEnd w:id="1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51">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6" w:name="page117"/>
    <w:bookmarkEnd w:id="1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52">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7" w:name="page118"/>
    <w:bookmarkEnd w:id="1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53">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8" w:name="page119"/>
    <w:bookmarkEnd w:id="1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54">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9" w:name="page120"/>
    <w:bookmarkEnd w:id="1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55">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0" w:name="page121"/>
    <w:bookmarkEnd w:id="1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56">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1" w:name="page122"/>
    <w:bookmarkEnd w:id="1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57">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2" w:name="page123"/>
    <w:bookmarkEnd w:id="1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58">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3" w:name="page124"/>
    <w:bookmarkEnd w:id="1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735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59">
                      <a:extLst>
                        <a:ext uri="{28A0092B-C50C-407E-A947-70E740481C1C}"/>
                      </a:extLst>
                    </a:blip>
                    <a:srcRect/>
                    <a:stretch>
                      <a:fillRect/>
                    </a:stretch>
                  </pic:blipFill>
                  <pic:spPr bwMode="auto">
                    <a:xfrm>
                      <a:off x="0" y="0"/>
                      <a:ext cx="7217410" cy="94735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4" w:name="page125"/>
    <w:bookmarkEnd w:id="1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60">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5" w:name="page126"/>
    <w:bookmarkEnd w:id="1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61">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6" w:name="page127"/>
    <w:bookmarkEnd w:id="1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62">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7" w:name="page128"/>
    <w:bookmarkEnd w:id="1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742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63">
                      <a:extLst>
                        <a:ext uri="{28A0092B-C50C-407E-A947-70E740481C1C}"/>
                      </a:extLst>
                    </a:blip>
                    <a:srcRect/>
                    <a:stretch>
                      <a:fillRect/>
                    </a:stretch>
                  </pic:blipFill>
                  <pic:spPr bwMode="auto">
                    <a:xfrm>
                      <a:off x="0" y="0"/>
                      <a:ext cx="7217410" cy="9474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8" w:name="page129"/>
    <w:bookmarkEnd w:id="1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7356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64">
                      <a:extLst>
                        <a:ext uri="{28A0092B-C50C-407E-A947-70E740481C1C}"/>
                      </a:extLst>
                    </a:blip>
                    <a:srcRect/>
                    <a:stretch>
                      <a:fillRect/>
                    </a:stretch>
                  </pic:blipFill>
                  <pic:spPr bwMode="auto">
                    <a:xfrm>
                      <a:off x="0" y="0"/>
                      <a:ext cx="7217410" cy="94735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9" w:name="page130"/>
    <w:bookmarkEnd w:id="1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65">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0" w:name="page131"/>
    <w:bookmarkEnd w:id="1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66">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1" w:name="page132"/>
    <w:bookmarkEnd w:id="1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67">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2" w:name="page133"/>
    <w:bookmarkEnd w:id="1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68">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3" w:name="page134"/>
    <w:bookmarkEnd w:id="1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69">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4" w:name="page135"/>
    <w:bookmarkEnd w:id="1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70">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5" w:name="page136"/>
    <w:bookmarkEnd w:id="1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71">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6" w:name="page137"/>
    <w:bookmarkEnd w:id="1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7356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72">
                      <a:extLst>
                        <a:ext uri="{28A0092B-C50C-407E-A947-70E740481C1C}"/>
                      </a:extLst>
                    </a:blip>
                    <a:srcRect/>
                    <a:stretch>
                      <a:fillRect/>
                    </a:stretch>
                  </pic:blipFill>
                  <pic:spPr bwMode="auto">
                    <a:xfrm>
                      <a:off x="0" y="0"/>
                      <a:ext cx="7217410" cy="94735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7" w:name="page138"/>
    <w:bookmarkEnd w:id="13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7356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73">
                      <a:extLst>
                        <a:ext uri="{28A0092B-C50C-407E-A947-70E740481C1C}"/>
                      </a:extLst>
                    </a:blip>
                    <a:srcRect/>
                    <a:stretch>
                      <a:fillRect/>
                    </a:stretch>
                  </pic:blipFill>
                  <pic:spPr bwMode="auto">
                    <a:xfrm>
                      <a:off x="0" y="0"/>
                      <a:ext cx="7217410" cy="94735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8" w:name="page139"/>
    <w:bookmarkEnd w:id="13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74">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9" w:name="page140"/>
    <w:bookmarkEnd w:id="13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75">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0" w:name="page141"/>
    <w:bookmarkEnd w:id="14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76">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1" w:name="page142"/>
    <w:bookmarkEnd w:id="14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77">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2" w:name="page143"/>
    <w:bookmarkEnd w:id="14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78">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3" w:name="page144"/>
    <w:bookmarkEnd w:id="14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79">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4" w:name="page145"/>
    <w:bookmarkEnd w:id="14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80">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5" w:name="page146"/>
    <w:bookmarkEnd w:id="14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7356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81">
                      <a:extLst>
                        <a:ext uri="{28A0092B-C50C-407E-A947-70E740481C1C}"/>
                      </a:extLst>
                    </a:blip>
                    <a:srcRect/>
                    <a:stretch>
                      <a:fillRect/>
                    </a:stretch>
                  </pic:blipFill>
                  <pic:spPr bwMode="auto">
                    <a:xfrm>
                      <a:off x="0" y="0"/>
                      <a:ext cx="7217410" cy="94735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6" w:name="page147"/>
    <w:bookmarkEnd w:id="14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742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82">
                      <a:extLst>
                        <a:ext uri="{28A0092B-C50C-407E-A947-70E740481C1C}"/>
                      </a:extLst>
                    </a:blip>
                    <a:srcRect/>
                    <a:stretch>
                      <a:fillRect/>
                    </a:stretch>
                  </pic:blipFill>
                  <pic:spPr bwMode="auto">
                    <a:xfrm>
                      <a:off x="0" y="0"/>
                      <a:ext cx="7217410" cy="9474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7" w:name="page148"/>
    <w:bookmarkEnd w:id="14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9892030</wp:posOffset>
            </wp:positionV>
            <wp:extent cx="7217410" cy="196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83">
                      <a:extLst>
                        <a:ext uri="{28A0092B-C50C-407E-A947-70E740481C1C}"/>
                      </a:extLst>
                    </a:blip>
                    <a:srcRect/>
                    <a:stretch>
                      <a:fillRect/>
                    </a:stretch>
                  </pic:blipFill>
                  <pic:spPr bwMode="auto">
                    <a:xfrm>
                      <a:off x="0" y="0"/>
                      <a:ext cx="7217410" cy="19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8" w:name="page149"/>
    <w:bookmarkEnd w:id="14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84">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9" w:name="page150"/>
    <w:bookmarkEnd w:id="14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85">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0" w:name="page151"/>
    <w:bookmarkEnd w:id="15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430530</wp:posOffset>
            </wp:positionV>
            <wp:extent cx="7217410" cy="94805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86">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1" w:name="page152"/>
    <w:bookmarkEnd w:id="151"/>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52" w:name="page153"/>
    <w:bookmarkEnd w:id="152"/>
    <w:p>
      <w:pPr>
        <w:jc w:val="right"/>
        <w:spacing w:after="0"/>
        <w:rPr>
          <w:sz w:val="20"/>
          <w:szCs w:val="20"/>
          <w:color w:val="auto"/>
        </w:rPr>
      </w:pPr>
      <w:r>
        <w:rPr>
          <w:rFonts w:ascii="Arial" w:cs="Arial" w:eastAsia="Arial" w:hAnsi="Arial"/>
          <w:sz w:val="14"/>
          <w:szCs w:val="14"/>
          <w:color w:val="auto"/>
        </w:rPr>
        <w:t>Exhibit 31.1.1</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CERTIFICATIONS</w:t>
      </w:r>
    </w:p>
    <w:p>
      <w:pPr>
        <w:spacing w:after="0" w:line="188" w:lineRule="exact"/>
        <w:rPr>
          <w:sz w:val="20"/>
          <w:szCs w:val="20"/>
          <w:color w:val="auto"/>
        </w:rPr>
      </w:pPr>
    </w:p>
    <w:p>
      <w:pPr>
        <w:spacing w:after="0"/>
        <w:rPr>
          <w:sz w:val="20"/>
          <w:szCs w:val="20"/>
          <w:color w:val="auto"/>
        </w:rPr>
      </w:pPr>
      <w:r>
        <w:rPr>
          <w:rFonts w:ascii="Arial" w:cs="Arial" w:eastAsia="Arial" w:hAnsi="Arial"/>
          <w:sz w:val="14"/>
          <w:szCs w:val="14"/>
          <w:color w:val="auto"/>
        </w:rPr>
        <w:t>I, Scott M. Prochazka, certify that:</w:t>
      </w:r>
    </w:p>
    <w:p>
      <w:pPr>
        <w:spacing w:after="0" w:line="205" w:lineRule="exact"/>
        <w:rPr>
          <w:sz w:val="20"/>
          <w:szCs w:val="20"/>
          <w:color w:val="auto"/>
        </w:rPr>
      </w:pPr>
    </w:p>
    <w:p>
      <w:pPr>
        <w:ind w:left="1140" w:hanging="617"/>
        <w:spacing w:after="0"/>
        <w:tabs>
          <w:tab w:leader="none" w:pos="1140" w:val="left"/>
        </w:tabs>
        <w:numPr>
          <w:ilvl w:val="0"/>
          <w:numId w:val="92"/>
        </w:numPr>
        <w:rPr>
          <w:rFonts w:ascii="Arial" w:cs="Arial" w:eastAsia="Arial" w:hAnsi="Arial"/>
          <w:sz w:val="14"/>
          <w:szCs w:val="14"/>
          <w:color w:val="auto"/>
        </w:rPr>
      </w:pPr>
      <w:r>
        <w:rPr>
          <w:rFonts w:ascii="Arial" w:cs="Arial" w:eastAsia="Arial" w:hAnsi="Arial"/>
          <w:sz w:val="14"/>
          <w:szCs w:val="14"/>
          <w:color w:val="auto"/>
        </w:rPr>
        <w:t>I have reviewed this quarterly report on Form 10-Q of CenterPoint Energy, Inc.;</w:t>
      </w:r>
    </w:p>
    <w:p>
      <w:pPr>
        <w:spacing w:after="0" w:line="216" w:lineRule="exact"/>
        <w:rPr>
          <w:rFonts w:ascii="Arial" w:cs="Arial" w:eastAsia="Arial" w:hAnsi="Arial"/>
          <w:sz w:val="14"/>
          <w:szCs w:val="14"/>
          <w:color w:val="auto"/>
        </w:rPr>
      </w:pPr>
    </w:p>
    <w:p>
      <w:pPr>
        <w:ind w:firstLine="523"/>
        <w:spacing w:after="0" w:line="336" w:lineRule="auto"/>
        <w:tabs>
          <w:tab w:leader="none" w:pos="1142" w:val="left"/>
        </w:tabs>
        <w:numPr>
          <w:ilvl w:val="0"/>
          <w:numId w:val="92"/>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1" w:lineRule="exact"/>
        <w:rPr>
          <w:rFonts w:ascii="Arial" w:cs="Arial" w:eastAsia="Arial" w:hAnsi="Arial"/>
          <w:sz w:val="14"/>
          <w:szCs w:val="14"/>
          <w:color w:val="auto"/>
        </w:rPr>
      </w:pPr>
    </w:p>
    <w:p>
      <w:pPr>
        <w:ind w:firstLine="523"/>
        <w:spacing w:after="0" w:line="336" w:lineRule="auto"/>
        <w:tabs>
          <w:tab w:leader="none" w:pos="1142" w:val="left"/>
        </w:tabs>
        <w:numPr>
          <w:ilvl w:val="0"/>
          <w:numId w:val="92"/>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1" w:lineRule="exact"/>
        <w:rPr>
          <w:rFonts w:ascii="Arial" w:cs="Arial" w:eastAsia="Arial" w:hAnsi="Arial"/>
          <w:sz w:val="14"/>
          <w:szCs w:val="14"/>
          <w:color w:val="auto"/>
        </w:rPr>
      </w:pPr>
    </w:p>
    <w:p>
      <w:pPr>
        <w:ind w:firstLine="523"/>
        <w:spacing w:after="0" w:line="336" w:lineRule="auto"/>
        <w:tabs>
          <w:tab w:leader="none" w:pos="1142" w:val="left"/>
        </w:tabs>
        <w:numPr>
          <w:ilvl w:val="0"/>
          <w:numId w:val="92"/>
        </w:numPr>
        <w:rPr>
          <w:rFonts w:ascii="Arial" w:cs="Arial" w:eastAsia="Arial" w:hAnsi="Arial"/>
          <w:sz w:val="14"/>
          <w:szCs w:val="14"/>
          <w:color w:val="auto"/>
        </w:rPr>
      </w:pPr>
      <w:r>
        <w:rPr>
          <w:rFonts w:ascii="Arial" w:cs="Arial" w:eastAsia="Arial" w:hAnsi="Arial"/>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0" w:lineRule="exact"/>
        <w:rPr>
          <w:sz w:val="20"/>
          <w:szCs w:val="20"/>
          <w:color w:val="auto"/>
        </w:rPr>
      </w:pPr>
    </w:p>
    <w:p>
      <w:pPr>
        <w:jc w:val="both"/>
        <w:ind w:left="1040" w:hanging="517"/>
        <w:spacing w:after="0" w:line="272" w:lineRule="auto"/>
        <w:tabs>
          <w:tab w:leader="none" w:pos="1040" w:val="left"/>
        </w:tabs>
        <w:numPr>
          <w:ilvl w:val="0"/>
          <w:numId w:val="93"/>
        </w:numPr>
        <w:rPr>
          <w:rFonts w:ascii="Arial" w:cs="Arial" w:eastAsia="Arial" w:hAnsi="Arial"/>
          <w:sz w:val="14"/>
          <w:szCs w:val="14"/>
          <w:color w:val="auto"/>
        </w:rPr>
      </w:pPr>
      <w:r>
        <w:rPr>
          <w:rFonts w:ascii="Arial" w:cs="Arial" w:eastAsia="Arial" w:hAnsi="Arial"/>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2" w:lineRule="exact"/>
        <w:rPr>
          <w:rFonts w:ascii="Arial" w:cs="Arial" w:eastAsia="Arial" w:hAnsi="Arial"/>
          <w:sz w:val="14"/>
          <w:szCs w:val="14"/>
          <w:color w:val="auto"/>
        </w:rPr>
      </w:pPr>
    </w:p>
    <w:p>
      <w:pPr>
        <w:jc w:val="both"/>
        <w:ind w:left="1040" w:hanging="517"/>
        <w:spacing w:after="0" w:line="272" w:lineRule="auto"/>
        <w:tabs>
          <w:tab w:leader="none" w:pos="1040" w:val="left"/>
        </w:tabs>
        <w:numPr>
          <w:ilvl w:val="0"/>
          <w:numId w:val="93"/>
        </w:numPr>
        <w:rPr>
          <w:rFonts w:ascii="Arial" w:cs="Arial" w:eastAsia="Arial" w:hAnsi="Arial"/>
          <w:sz w:val="14"/>
          <w:szCs w:val="14"/>
          <w:color w:val="auto"/>
        </w:rPr>
      </w:pPr>
      <w:r>
        <w:rPr>
          <w:rFonts w:ascii="Arial" w:cs="Arial" w:eastAsia="Arial" w:hAnsi="Arial"/>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2" w:lineRule="exact"/>
        <w:rPr>
          <w:rFonts w:ascii="Arial" w:cs="Arial" w:eastAsia="Arial" w:hAnsi="Arial"/>
          <w:sz w:val="14"/>
          <w:szCs w:val="14"/>
          <w:color w:val="auto"/>
        </w:rPr>
      </w:pPr>
    </w:p>
    <w:p>
      <w:pPr>
        <w:ind w:left="1040" w:hanging="517"/>
        <w:spacing w:after="0" w:line="288" w:lineRule="auto"/>
        <w:tabs>
          <w:tab w:leader="none" w:pos="1040" w:val="left"/>
        </w:tabs>
        <w:numPr>
          <w:ilvl w:val="0"/>
          <w:numId w:val="93"/>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0" w:lineRule="exact"/>
        <w:rPr>
          <w:rFonts w:ascii="Arial" w:cs="Arial" w:eastAsia="Arial" w:hAnsi="Arial"/>
          <w:sz w:val="14"/>
          <w:szCs w:val="14"/>
          <w:color w:val="auto"/>
        </w:rPr>
      </w:pPr>
    </w:p>
    <w:p>
      <w:pPr>
        <w:ind w:left="1040" w:hanging="517"/>
        <w:spacing w:after="0" w:line="328" w:lineRule="auto"/>
        <w:tabs>
          <w:tab w:leader="none" w:pos="1040" w:val="left"/>
        </w:tabs>
        <w:numPr>
          <w:ilvl w:val="0"/>
          <w:numId w:val="93"/>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0" w:lineRule="exact"/>
        <w:rPr>
          <w:sz w:val="20"/>
          <w:szCs w:val="20"/>
          <w:color w:val="auto"/>
        </w:rPr>
      </w:pPr>
    </w:p>
    <w:p>
      <w:pPr>
        <w:ind w:firstLine="523"/>
        <w:spacing w:after="0" w:line="336" w:lineRule="auto"/>
        <w:tabs>
          <w:tab w:leader="none" w:pos="1142" w:val="left"/>
        </w:tabs>
        <w:numPr>
          <w:ilvl w:val="0"/>
          <w:numId w:val="94"/>
        </w:numPr>
        <w:rPr>
          <w:rFonts w:ascii="Arial" w:cs="Arial" w:eastAsia="Arial" w:hAnsi="Arial"/>
          <w:sz w:val="14"/>
          <w:szCs w:val="14"/>
          <w:color w:val="auto"/>
        </w:rPr>
      </w:pPr>
      <w:r>
        <w:rPr>
          <w:rFonts w:ascii="Arial" w:cs="Arial" w:eastAsia="Arial" w:hAnsi="Arial"/>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0" w:lineRule="exact"/>
        <w:rPr>
          <w:sz w:val="20"/>
          <w:szCs w:val="20"/>
          <w:color w:val="auto"/>
        </w:rPr>
      </w:pPr>
    </w:p>
    <w:p>
      <w:pPr>
        <w:ind w:left="1040" w:hanging="517"/>
        <w:spacing w:after="0" w:line="288" w:lineRule="auto"/>
        <w:tabs>
          <w:tab w:leader="none" w:pos="1040" w:val="left"/>
        </w:tabs>
        <w:numPr>
          <w:ilvl w:val="0"/>
          <w:numId w:val="95"/>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0" w:lineRule="exact"/>
        <w:rPr>
          <w:rFonts w:ascii="Arial" w:cs="Arial" w:eastAsia="Arial" w:hAnsi="Arial"/>
          <w:sz w:val="14"/>
          <w:szCs w:val="14"/>
          <w:color w:val="auto"/>
        </w:rPr>
      </w:pPr>
    </w:p>
    <w:p>
      <w:pPr>
        <w:ind w:left="1040" w:hanging="517"/>
        <w:spacing w:after="0"/>
        <w:tabs>
          <w:tab w:leader="none" w:pos="1040" w:val="left"/>
        </w:tabs>
        <w:numPr>
          <w:ilvl w:val="0"/>
          <w:numId w:val="95"/>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color w:val="auto"/>
        </w:rPr>
        <w:t>Date:  November 7, 2019</w:t>
      </w:r>
    </w:p>
    <w:p>
      <w:pPr>
        <w:spacing w:after="0" w:line="313" w:lineRule="exact"/>
        <w:rPr>
          <w:sz w:val="20"/>
          <w:szCs w:val="20"/>
          <w:color w:val="auto"/>
        </w:rPr>
      </w:pPr>
    </w:p>
    <w:p>
      <w:pPr>
        <w:ind w:left="5760"/>
        <w:spacing w:after="0"/>
        <w:rPr>
          <w:sz w:val="20"/>
          <w:szCs w:val="20"/>
          <w:color w:val="auto"/>
        </w:rPr>
      </w:pPr>
      <w:r>
        <w:rPr>
          <w:rFonts w:ascii="Arial" w:cs="Arial" w:eastAsia="Arial" w:hAnsi="Arial"/>
          <w:sz w:val="14"/>
          <w:szCs w:val="14"/>
          <w:color w:val="auto"/>
        </w:rPr>
        <w:t>/s/ Scott M. Prochazka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3644265</wp:posOffset>
            </wp:positionH>
            <wp:positionV relativeFrom="paragraph">
              <wp:posOffset>27940</wp:posOffset>
            </wp:positionV>
            <wp:extent cx="3633470" cy="69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87">
                      <a:extLst>
                        <a:ext uri="{28A0092B-C50C-407E-A947-70E740481C1C}"/>
                      </a:extLst>
                    </a:blip>
                    <a:srcRect/>
                    <a:stretch>
                      <a:fillRect/>
                    </a:stretch>
                  </pic:blipFill>
                  <pic:spPr bwMode="auto">
                    <a:xfrm>
                      <a:off x="0" y="0"/>
                      <a:ext cx="3633470" cy="6985"/>
                    </a:xfrm>
                    <a:prstGeom prst="rect">
                      <a:avLst/>
                    </a:prstGeom>
                    <a:noFill/>
                  </pic:spPr>
                </pic:pic>
              </a:graphicData>
            </a:graphic>
          </wp:anchor>
        </w:drawing>
      </w:r>
    </w:p>
    <w:p>
      <w:pPr>
        <w:spacing w:after="0" w:line="45" w:lineRule="exact"/>
        <w:rPr>
          <w:sz w:val="20"/>
          <w:szCs w:val="20"/>
          <w:color w:val="auto"/>
        </w:rPr>
      </w:pPr>
    </w:p>
    <w:p>
      <w:pPr>
        <w:ind w:left="5760"/>
        <w:spacing w:after="0"/>
        <w:rPr>
          <w:sz w:val="20"/>
          <w:szCs w:val="20"/>
          <w:color w:val="auto"/>
        </w:rPr>
      </w:pPr>
      <w:r>
        <w:rPr>
          <w:rFonts w:ascii="Arial" w:cs="Arial" w:eastAsia="Arial" w:hAnsi="Arial"/>
          <w:sz w:val="14"/>
          <w:szCs w:val="14"/>
          <w:color w:val="auto"/>
        </w:rPr>
        <w:t>Scott M. Prochazka</w:t>
      </w:r>
    </w:p>
    <w:p>
      <w:pPr>
        <w:spacing w:after="0" w:line="55" w:lineRule="exact"/>
        <w:rPr>
          <w:sz w:val="20"/>
          <w:szCs w:val="20"/>
          <w:color w:val="auto"/>
        </w:rPr>
      </w:pPr>
    </w:p>
    <w:p>
      <w:pPr>
        <w:ind w:left="5760"/>
        <w:spacing w:after="0"/>
        <w:rPr>
          <w:sz w:val="20"/>
          <w:szCs w:val="20"/>
          <w:color w:val="auto"/>
        </w:rPr>
      </w:pPr>
      <w:r>
        <w:rPr>
          <w:rFonts w:ascii="Arial" w:cs="Arial" w:eastAsia="Arial" w:hAnsi="Arial"/>
          <w:sz w:val="14"/>
          <w:szCs w:val="14"/>
          <w:color w:val="auto"/>
        </w:rPr>
        <w:t>President and Chief Executive Officer</w:t>
      </w:r>
    </w:p>
    <w:p>
      <w:pPr>
        <w:sectPr>
          <w:pgSz w:w="11900" w:h="16838" w:orient="portrait"/>
          <w:cols w:equalWidth="0" w:num="1">
            <w:col w:w="11460"/>
          </w:cols>
          <w:pgMar w:left="220" w:top="495" w:right="219" w:bottom="1440" w:gutter="0" w:footer="0" w:header="0"/>
        </w:sectPr>
      </w:pPr>
    </w:p>
    <w:bookmarkStart w:id="153" w:name="page154"/>
    <w:bookmarkEnd w:id="153"/>
    <w:p>
      <w:pPr>
        <w:jc w:val="right"/>
        <w:spacing w:after="0"/>
        <w:rPr>
          <w:sz w:val="20"/>
          <w:szCs w:val="20"/>
          <w:color w:val="auto"/>
        </w:rPr>
      </w:pPr>
      <w:r>
        <w:rPr>
          <w:rFonts w:ascii="Arial" w:cs="Arial" w:eastAsia="Arial" w:hAnsi="Arial"/>
          <w:sz w:val="14"/>
          <w:szCs w:val="14"/>
          <w:color w:val="auto"/>
        </w:rPr>
        <w:t>Exhibit 31.1.2</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CERTIFICATIONS</w:t>
      </w:r>
    </w:p>
    <w:p>
      <w:pPr>
        <w:spacing w:after="0" w:line="188" w:lineRule="exact"/>
        <w:rPr>
          <w:sz w:val="20"/>
          <w:szCs w:val="20"/>
          <w:color w:val="auto"/>
        </w:rPr>
      </w:pPr>
    </w:p>
    <w:p>
      <w:pPr>
        <w:spacing w:after="0"/>
        <w:rPr>
          <w:sz w:val="20"/>
          <w:szCs w:val="20"/>
          <w:color w:val="auto"/>
        </w:rPr>
      </w:pPr>
      <w:r>
        <w:rPr>
          <w:rFonts w:ascii="Arial" w:cs="Arial" w:eastAsia="Arial" w:hAnsi="Arial"/>
          <w:sz w:val="14"/>
          <w:szCs w:val="14"/>
          <w:color w:val="auto"/>
        </w:rPr>
        <w:t>I, Scott M. Prochazka, certify that:</w:t>
      </w:r>
    </w:p>
    <w:p>
      <w:pPr>
        <w:spacing w:after="0" w:line="184" w:lineRule="exact"/>
        <w:rPr>
          <w:sz w:val="20"/>
          <w:szCs w:val="20"/>
          <w:color w:val="auto"/>
        </w:rPr>
      </w:pPr>
    </w:p>
    <w:p>
      <w:pPr>
        <w:ind w:left="1040" w:hanging="517"/>
        <w:spacing w:after="0"/>
        <w:tabs>
          <w:tab w:leader="none" w:pos="1040" w:val="left"/>
        </w:tabs>
        <w:numPr>
          <w:ilvl w:val="0"/>
          <w:numId w:val="96"/>
        </w:numPr>
        <w:rPr>
          <w:rFonts w:ascii="Arial" w:cs="Arial" w:eastAsia="Arial" w:hAnsi="Arial"/>
          <w:sz w:val="14"/>
          <w:szCs w:val="14"/>
          <w:color w:val="auto"/>
        </w:rPr>
      </w:pPr>
      <w:r>
        <w:rPr>
          <w:rFonts w:ascii="Arial" w:cs="Arial" w:eastAsia="Arial" w:hAnsi="Arial"/>
          <w:sz w:val="14"/>
          <w:szCs w:val="14"/>
          <w:color w:val="auto"/>
        </w:rPr>
        <w:t>I have reviewed this quarterly report on Form 10-Q of CenterPoint Energy Houston Electric, LLC;</w:t>
      </w:r>
    </w:p>
    <w:p>
      <w:pPr>
        <w:spacing w:after="0" w:line="205" w:lineRule="exact"/>
        <w:rPr>
          <w:rFonts w:ascii="Arial" w:cs="Arial" w:eastAsia="Arial" w:hAnsi="Arial"/>
          <w:sz w:val="14"/>
          <w:szCs w:val="14"/>
          <w:color w:val="auto"/>
        </w:rPr>
      </w:pPr>
    </w:p>
    <w:p>
      <w:pPr>
        <w:ind w:firstLine="523"/>
        <w:spacing w:after="0" w:line="336" w:lineRule="auto"/>
        <w:tabs>
          <w:tab w:leader="none" w:pos="1142" w:val="left"/>
        </w:tabs>
        <w:numPr>
          <w:ilvl w:val="0"/>
          <w:numId w:val="96"/>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1" w:lineRule="exact"/>
        <w:rPr>
          <w:rFonts w:ascii="Arial" w:cs="Arial" w:eastAsia="Arial" w:hAnsi="Arial"/>
          <w:sz w:val="14"/>
          <w:szCs w:val="14"/>
          <w:color w:val="auto"/>
        </w:rPr>
      </w:pPr>
    </w:p>
    <w:p>
      <w:pPr>
        <w:ind w:firstLine="523"/>
        <w:spacing w:after="0" w:line="336" w:lineRule="auto"/>
        <w:tabs>
          <w:tab w:leader="none" w:pos="1142" w:val="left"/>
        </w:tabs>
        <w:numPr>
          <w:ilvl w:val="0"/>
          <w:numId w:val="96"/>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1" w:lineRule="exact"/>
        <w:rPr>
          <w:rFonts w:ascii="Arial" w:cs="Arial" w:eastAsia="Arial" w:hAnsi="Arial"/>
          <w:sz w:val="14"/>
          <w:szCs w:val="14"/>
          <w:color w:val="auto"/>
        </w:rPr>
      </w:pPr>
    </w:p>
    <w:p>
      <w:pPr>
        <w:ind w:firstLine="523"/>
        <w:spacing w:after="0" w:line="336" w:lineRule="auto"/>
        <w:tabs>
          <w:tab w:leader="none" w:pos="1142" w:val="left"/>
        </w:tabs>
        <w:numPr>
          <w:ilvl w:val="0"/>
          <w:numId w:val="96"/>
        </w:numPr>
        <w:rPr>
          <w:rFonts w:ascii="Arial" w:cs="Arial" w:eastAsia="Arial" w:hAnsi="Arial"/>
          <w:sz w:val="14"/>
          <w:szCs w:val="14"/>
          <w:color w:val="auto"/>
        </w:rPr>
      </w:pPr>
      <w:r>
        <w:rPr>
          <w:rFonts w:ascii="Arial" w:cs="Arial" w:eastAsia="Arial" w:hAnsi="Arial"/>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0" w:lineRule="exact"/>
        <w:rPr>
          <w:sz w:val="20"/>
          <w:szCs w:val="20"/>
          <w:color w:val="auto"/>
        </w:rPr>
      </w:pPr>
    </w:p>
    <w:p>
      <w:pPr>
        <w:jc w:val="both"/>
        <w:ind w:left="1040" w:hanging="517"/>
        <w:spacing w:after="0" w:line="272" w:lineRule="auto"/>
        <w:tabs>
          <w:tab w:leader="none" w:pos="1040" w:val="left"/>
        </w:tabs>
        <w:numPr>
          <w:ilvl w:val="0"/>
          <w:numId w:val="97"/>
        </w:numPr>
        <w:rPr>
          <w:rFonts w:ascii="Arial" w:cs="Arial" w:eastAsia="Arial" w:hAnsi="Arial"/>
          <w:sz w:val="14"/>
          <w:szCs w:val="14"/>
          <w:color w:val="auto"/>
        </w:rPr>
      </w:pPr>
      <w:r>
        <w:rPr>
          <w:rFonts w:ascii="Arial" w:cs="Arial" w:eastAsia="Arial" w:hAnsi="Arial"/>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2" w:lineRule="exact"/>
        <w:rPr>
          <w:rFonts w:ascii="Arial" w:cs="Arial" w:eastAsia="Arial" w:hAnsi="Arial"/>
          <w:sz w:val="14"/>
          <w:szCs w:val="14"/>
          <w:color w:val="auto"/>
        </w:rPr>
      </w:pPr>
    </w:p>
    <w:p>
      <w:pPr>
        <w:jc w:val="both"/>
        <w:ind w:left="1040" w:hanging="517"/>
        <w:spacing w:after="0" w:line="272" w:lineRule="auto"/>
        <w:tabs>
          <w:tab w:leader="none" w:pos="1040" w:val="left"/>
        </w:tabs>
        <w:numPr>
          <w:ilvl w:val="0"/>
          <w:numId w:val="97"/>
        </w:numPr>
        <w:rPr>
          <w:rFonts w:ascii="Arial" w:cs="Arial" w:eastAsia="Arial" w:hAnsi="Arial"/>
          <w:sz w:val="14"/>
          <w:szCs w:val="14"/>
          <w:color w:val="auto"/>
        </w:rPr>
      </w:pPr>
      <w:r>
        <w:rPr>
          <w:rFonts w:ascii="Arial" w:cs="Arial" w:eastAsia="Arial" w:hAnsi="Arial"/>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2" w:lineRule="exact"/>
        <w:rPr>
          <w:rFonts w:ascii="Arial" w:cs="Arial" w:eastAsia="Arial" w:hAnsi="Arial"/>
          <w:sz w:val="14"/>
          <w:szCs w:val="14"/>
          <w:color w:val="auto"/>
        </w:rPr>
      </w:pPr>
    </w:p>
    <w:p>
      <w:pPr>
        <w:ind w:left="1040" w:hanging="517"/>
        <w:spacing w:after="0" w:line="288" w:lineRule="auto"/>
        <w:tabs>
          <w:tab w:leader="none" w:pos="1040" w:val="left"/>
        </w:tabs>
        <w:numPr>
          <w:ilvl w:val="0"/>
          <w:numId w:val="97"/>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0" w:lineRule="exact"/>
        <w:rPr>
          <w:rFonts w:ascii="Arial" w:cs="Arial" w:eastAsia="Arial" w:hAnsi="Arial"/>
          <w:sz w:val="14"/>
          <w:szCs w:val="14"/>
          <w:color w:val="auto"/>
        </w:rPr>
      </w:pPr>
    </w:p>
    <w:p>
      <w:pPr>
        <w:ind w:left="1040" w:hanging="517"/>
        <w:spacing w:after="0" w:line="328" w:lineRule="auto"/>
        <w:tabs>
          <w:tab w:leader="none" w:pos="1040" w:val="left"/>
        </w:tabs>
        <w:numPr>
          <w:ilvl w:val="0"/>
          <w:numId w:val="97"/>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0" w:lineRule="exact"/>
        <w:rPr>
          <w:sz w:val="20"/>
          <w:szCs w:val="20"/>
          <w:color w:val="auto"/>
        </w:rPr>
      </w:pPr>
    </w:p>
    <w:p>
      <w:pPr>
        <w:ind w:firstLine="523"/>
        <w:spacing w:after="0" w:line="336" w:lineRule="auto"/>
        <w:tabs>
          <w:tab w:leader="none" w:pos="1142" w:val="left"/>
        </w:tabs>
        <w:numPr>
          <w:ilvl w:val="0"/>
          <w:numId w:val="98"/>
        </w:numPr>
        <w:rPr>
          <w:rFonts w:ascii="Arial" w:cs="Arial" w:eastAsia="Arial" w:hAnsi="Arial"/>
          <w:sz w:val="14"/>
          <w:szCs w:val="14"/>
          <w:color w:val="auto"/>
        </w:rPr>
      </w:pPr>
      <w:r>
        <w:rPr>
          <w:rFonts w:ascii="Arial" w:cs="Arial" w:eastAsia="Arial" w:hAnsi="Arial"/>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0" w:lineRule="exact"/>
        <w:rPr>
          <w:sz w:val="20"/>
          <w:szCs w:val="20"/>
          <w:color w:val="auto"/>
        </w:rPr>
      </w:pPr>
    </w:p>
    <w:p>
      <w:pPr>
        <w:ind w:left="1040" w:hanging="517"/>
        <w:spacing w:after="0" w:line="288" w:lineRule="auto"/>
        <w:tabs>
          <w:tab w:leader="none" w:pos="1040" w:val="left"/>
        </w:tabs>
        <w:numPr>
          <w:ilvl w:val="0"/>
          <w:numId w:val="99"/>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0" w:lineRule="exact"/>
        <w:rPr>
          <w:rFonts w:ascii="Arial" w:cs="Arial" w:eastAsia="Arial" w:hAnsi="Arial"/>
          <w:sz w:val="14"/>
          <w:szCs w:val="14"/>
          <w:color w:val="auto"/>
        </w:rPr>
      </w:pPr>
    </w:p>
    <w:p>
      <w:pPr>
        <w:ind w:left="1040" w:hanging="517"/>
        <w:spacing w:after="0"/>
        <w:tabs>
          <w:tab w:leader="none" w:pos="1040" w:val="left"/>
        </w:tabs>
        <w:numPr>
          <w:ilvl w:val="0"/>
          <w:numId w:val="99"/>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color w:val="auto"/>
        </w:rPr>
        <w:t>Date: November 7, 2019</w:t>
      </w:r>
    </w:p>
    <w:p>
      <w:pPr>
        <w:spacing w:after="0" w:line="313" w:lineRule="exact"/>
        <w:rPr>
          <w:sz w:val="20"/>
          <w:szCs w:val="20"/>
          <w:color w:val="auto"/>
        </w:rPr>
      </w:pPr>
    </w:p>
    <w:p>
      <w:pPr>
        <w:ind w:left="5760"/>
        <w:spacing w:after="0"/>
        <w:rPr>
          <w:sz w:val="20"/>
          <w:szCs w:val="20"/>
          <w:color w:val="auto"/>
        </w:rPr>
      </w:pPr>
      <w:r>
        <w:rPr>
          <w:rFonts w:ascii="Arial" w:cs="Arial" w:eastAsia="Arial" w:hAnsi="Arial"/>
          <w:sz w:val="14"/>
          <w:szCs w:val="14"/>
          <w:color w:val="auto"/>
        </w:rPr>
        <w:t>/s/ Scott M. Prochazka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3644265</wp:posOffset>
            </wp:positionH>
            <wp:positionV relativeFrom="paragraph">
              <wp:posOffset>27940</wp:posOffset>
            </wp:positionV>
            <wp:extent cx="3633470" cy="69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88">
                      <a:extLst>
                        <a:ext uri="{28A0092B-C50C-407E-A947-70E740481C1C}"/>
                      </a:extLst>
                    </a:blip>
                    <a:srcRect/>
                    <a:stretch>
                      <a:fillRect/>
                    </a:stretch>
                  </pic:blipFill>
                  <pic:spPr bwMode="auto">
                    <a:xfrm>
                      <a:off x="0" y="0"/>
                      <a:ext cx="3633470" cy="6985"/>
                    </a:xfrm>
                    <a:prstGeom prst="rect">
                      <a:avLst/>
                    </a:prstGeom>
                    <a:noFill/>
                  </pic:spPr>
                </pic:pic>
              </a:graphicData>
            </a:graphic>
          </wp:anchor>
        </w:drawing>
      </w:r>
    </w:p>
    <w:p>
      <w:pPr>
        <w:spacing w:after="0" w:line="45" w:lineRule="exact"/>
        <w:rPr>
          <w:sz w:val="20"/>
          <w:szCs w:val="20"/>
          <w:color w:val="auto"/>
        </w:rPr>
      </w:pPr>
    </w:p>
    <w:p>
      <w:pPr>
        <w:ind w:left="5760"/>
        <w:spacing w:after="0"/>
        <w:rPr>
          <w:sz w:val="20"/>
          <w:szCs w:val="20"/>
          <w:color w:val="auto"/>
        </w:rPr>
      </w:pPr>
      <w:r>
        <w:rPr>
          <w:rFonts w:ascii="Arial" w:cs="Arial" w:eastAsia="Arial" w:hAnsi="Arial"/>
          <w:sz w:val="14"/>
          <w:szCs w:val="14"/>
          <w:color w:val="auto"/>
        </w:rPr>
        <w:t>Scott M. Prochazka</w:t>
      </w:r>
    </w:p>
    <w:p>
      <w:pPr>
        <w:spacing w:after="0" w:line="55" w:lineRule="exact"/>
        <w:rPr>
          <w:sz w:val="20"/>
          <w:szCs w:val="20"/>
          <w:color w:val="auto"/>
        </w:rPr>
      </w:pPr>
    </w:p>
    <w:p>
      <w:pPr>
        <w:ind w:left="5760"/>
        <w:spacing w:after="0"/>
        <w:rPr>
          <w:sz w:val="20"/>
          <w:szCs w:val="20"/>
          <w:color w:val="auto"/>
        </w:rPr>
      </w:pPr>
      <w:r>
        <w:rPr>
          <w:rFonts w:ascii="Arial" w:cs="Arial" w:eastAsia="Arial" w:hAnsi="Arial"/>
          <w:sz w:val="14"/>
          <w:szCs w:val="14"/>
          <w:color w:val="auto"/>
        </w:rPr>
        <w:t>Chairman (Principal Executive Officer)</w:t>
      </w:r>
    </w:p>
    <w:p>
      <w:pPr>
        <w:sectPr>
          <w:pgSz w:w="11900" w:h="16838" w:orient="portrait"/>
          <w:cols w:equalWidth="0" w:num="1">
            <w:col w:w="11460"/>
          </w:cols>
          <w:pgMar w:left="220" w:top="495" w:right="219" w:bottom="1440" w:gutter="0" w:footer="0" w:header="0"/>
        </w:sectPr>
      </w:pPr>
    </w:p>
    <w:bookmarkStart w:id="154" w:name="page155"/>
    <w:bookmarkEnd w:id="154"/>
    <w:p>
      <w:pPr>
        <w:jc w:val="right"/>
        <w:spacing w:after="0"/>
        <w:rPr>
          <w:sz w:val="20"/>
          <w:szCs w:val="20"/>
          <w:color w:val="auto"/>
        </w:rPr>
      </w:pPr>
      <w:r>
        <w:rPr>
          <w:rFonts w:ascii="Arial" w:cs="Arial" w:eastAsia="Arial" w:hAnsi="Arial"/>
          <w:sz w:val="14"/>
          <w:szCs w:val="14"/>
          <w:color w:val="auto"/>
        </w:rPr>
        <w:t>Exhibit 31.1.3</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CERTIFICATIONS</w:t>
      </w:r>
    </w:p>
    <w:p>
      <w:pPr>
        <w:spacing w:after="0" w:line="188" w:lineRule="exact"/>
        <w:rPr>
          <w:sz w:val="20"/>
          <w:szCs w:val="20"/>
          <w:color w:val="auto"/>
        </w:rPr>
      </w:pPr>
    </w:p>
    <w:p>
      <w:pPr>
        <w:spacing w:after="0"/>
        <w:rPr>
          <w:sz w:val="20"/>
          <w:szCs w:val="20"/>
          <w:color w:val="auto"/>
        </w:rPr>
      </w:pPr>
      <w:r>
        <w:rPr>
          <w:rFonts w:ascii="Arial" w:cs="Arial" w:eastAsia="Arial" w:hAnsi="Arial"/>
          <w:sz w:val="14"/>
          <w:szCs w:val="14"/>
          <w:color w:val="auto"/>
        </w:rPr>
        <w:t>I, Scott M. Prochazka, certify that:</w:t>
      </w:r>
    </w:p>
    <w:p>
      <w:pPr>
        <w:spacing w:after="0" w:line="184" w:lineRule="exact"/>
        <w:rPr>
          <w:sz w:val="20"/>
          <w:szCs w:val="20"/>
          <w:color w:val="auto"/>
        </w:rPr>
      </w:pPr>
    </w:p>
    <w:p>
      <w:pPr>
        <w:ind w:left="1020" w:hanging="497"/>
        <w:spacing w:after="0"/>
        <w:tabs>
          <w:tab w:leader="none" w:pos="1020" w:val="left"/>
        </w:tabs>
        <w:numPr>
          <w:ilvl w:val="0"/>
          <w:numId w:val="100"/>
        </w:numPr>
        <w:rPr>
          <w:rFonts w:ascii="Arial" w:cs="Arial" w:eastAsia="Arial" w:hAnsi="Arial"/>
          <w:sz w:val="14"/>
          <w:szCs w:val="14"/>
          <w:color w:val="auto"/>
        </w:rPr>
      </w:pPr>
      <w:r>
        <w:rPr>
          <w:rFonts w:ascii="Arial" w:cs="Arial" w:eastAsia="Arial" w:hAnsi="Arial"/>
          <w:sz w:val="14"/>
          <w:szCs w:val="14"/>
          <w:color w:val="auto"/>
        </w:rPr>
        <w:t>I have reviewed this quarterly report on Form 10-Q of CenterPoint Energy Resources Corp.;</w:t>
      </w:r>
    </w:p>
    <w:p>
      <w:pPr>
        <w:spacing w:after="0" w:line="183" w:lineRule="exact"/>
        <w:rPr>
          <w:rFonts w:ascii="Arial" w:cs="Arial" w:eastAsia="Arial" w:hAnsi="Arial"/>
          <w:sz w:val="14"/>
          <w:szCs w:val="14"/>
          <w:color w:val="auto"/>
        </w:rPr>
      </w:pPr>
    </w:p>
    <w:p>
      <w:pPr>
        <w:ind w:right="240" w:firstLine="523"/>
        <w:spacing w:after="0" w:line="288" w:lineRule="auto"/>
        <w:tabs>
          <w:tab w:leader="none" w:pos="1020" w:val="left"/>
        </w:tabs>
        <w:numPr>
          <w:ilvl w:val="0"/>
          <w:numId w:val="100"/>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0" w:lineRule="exact"/>
        <w:rPr>
          <w:rFonts w:ascii="Arial" w:cs="Arial" w:eastAsia="Arial" w:hAnsi="Arial"/>
          <w:sz w:val="14"/>
          <w:szCs w:val="14"/>
          <w:color w:val="auto"/>
        </w:rPr>
      </w:pPr>
    </w:p>
    <w:p>
      <w:pPr>
        <w:ind w:right="340" w:firstLine="523"/>
        <w:spacing w:after="0" w:line="288" w:lineRule="auto"/>
        <w:tabs>
          <w:tab w:leader="none" w:pos="1020" w:val="left"/>
        </w:tabs>
        <w:numPr>
          <w:ilvl w:val="0"/>
          <w:numId w:val="100"/>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0" w:lineRule="exact"/>
        <w:rPr>
          <w:rFonts w:ascii="Arial" w:cs="Arial" w:eastAsia="Arial" w:hAnsi="Arial"/>
          <w:sz w:val="14"/>
          <w:szCs w:val="14"/>
          <w:color w:val="auto"/>
        </w:rPr>
      </w:pPr>
    </w:p>
    <w:p>
      <w:pPr>
        <w:ind w:left="1020" w:hanging="497"/>
        <w:spacing w:after="0"/>
        <w:tabs>
          <w:tab w:leader="none" w:pos="1020" w:val="left"/>
        </w:tabs>
        <w:numPr>
          <w:ilvl w:val="0"/>
          <w:numId w:val="100"/>
        </w:numPr>
        <w:rPr>
          <w:rFonts w:ascii="Arial" w:cs="Arial" w:eastAsia="Arial" w:hAnsi="Arial"/>
          <w:sz w:val="13"/>
          <w:szCs w:val="13"/>
          <w:color w:val="auto"/>
        </w:rPr>
      </w:pPr>
      <w:r>
        <w:rPr>
          <w:rFonts w:ascii="Arial" w:cs="Arial" w:eastAsia="Arial" w:hAnsi="Arial"/>
          <w:sz w:val="13"/>
          <w:szCs w:val="13"/>
          <w:color w:val="auto"/>
        </w:rPr>
        <w:t>The registrant's other certifying officer(s) and I are responsible for establishing and maintaining disclosure controls and procedures (as defined in Exchange Act Rules 13a-15(e) and</w:t>
      </w:r>
    </w:p>
    <w:p>
      <w:pPr>
        <w:spacing w:after="0" w:line="32"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4"/>
          <w:szCs w:val="14"/>
          <w:color w:val="auto"/>
        </w:rPr>
        <w:t>15d-15(e)) and internal control over financial reporting (as defined in Exchange Act Rules 13a-15(f) and 15d-15(f)) for the registrant and have:</w:t>
      </w:r>
    </w:p>
    <w:p>
      <w:pPr>
        <w:spacing w:after="0" w:line="174" w:lineRule="exact"/>
        <w:rPr>
          <w:sz w:val="20"/>
          <w:szCs w:val="20"/>
          <w:color w:val="auto"/>
        </w:rPr>
      </w:pPr>
    </w:p>
    <w:p>
      <w:pPr>
        <w:jc w:val="both"/>
        <w:ind w:left="1040" w:right="360" w:hanging="517"/>
        <w:spacing w:after="0" w:line="272" w:lineRule="auto"/>
        <w:tabs>
          <w:tab w:leader="none" w:pos="1040" w:val="left"/>
        </w:tabs>
        <w:numPr>
          <w:ilvl w:val="0"/>
          <w:numId w:val="101"/>
        </w:numPr>
        <w:rPr>
          <w:rFonts w:ascii="Arial" w:cs="Arial" w:eastAsia="Arial" w:hAnsi="Arial"/>
          <w:sz w:val="14"/>
          <w:szCs w:val="14"/>
          <w:color w:val="auto"/>
        </w:rPr>
      </w:pPr>
      <w:r>
        <w:rPr>
          <w:rFonts w:ascii="Arial" w:cs="Arial" w:eastAsia="Arial" w:hAnsi="Arial"/>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2" w:lineRule="exact"/>
        <w:rPr>
          <w:rFonts w:ascii="Arial" w:cs="Arial" w:eastAsia="Arial" w:hAnsi="Arial"/>
          <w:sz w:val="14"/>
          <w:szCs w:val="14"/>
          <w:color w:val="auto"/>
        </w:rPr>
      </w:pPr>
    </w:p>
    <w:p>
      <w:pPr>
        <w:jc w:val="both"/>
        <w:ind w:left="1040" w:right="580" w:hanging="517"/>
        <w:spacing w:after="0" w:line="272" w:lineRule="auto"/>
        <w:tabs>
          <w:tab w:leader="none" w:pos="1040" w:val="left"/>
        </w:tabs>
        <w:numPr>
          <w:ilvl w:val="0"/>
          <w:numId w:val="101"/>
        </w:numPr>
        <w:rPr>
          <w:rFonts w:ascii="Arial" w:cs="Arial" w:eastAsia="Arial" w:hAnsi="Arial"/>
          <w:sz w:val="14"/>
          <w:szCs w:val="14"/>
          <w:color w:val="auto"/>
        </w:rPr>
      </w:pPr>
      <w:r>
        <w:rPr>
          <w:rFonts w:ascii="Arial" w:cs="Arial" w:eastAsia="Arial" w:hAnsi="Arial"/>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2" w:lineRule="exact"/>
        <w:rPr>
          <w:rFonts w:ascii="Arial" w:cs="Arial" w:eastAsia="Arial" w:hAnsi="Arial"/>
          <w:sz w:val="14"/>
          <w:szCs w:val="14"/>
          <w:color w:val="auto"/>
        </w:rPr>
      </w:pPr>
    </w:p>
    <w:p>
      <w:pPr>
        <w:ind w:left="1040" w:right="180" w:hanging="517"/>
        <w:spacing w:after="0" w:line="288" w:lineRule="auto"/>
        <w:tabs>
          <w:tab w:leader="none" w:pos="1040" w:val="left"/>
        </w:tabs>
        <w:numPr>
          <w:ilvl w:val="0"/>
          <w:numId w:val="101"/>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0" w:lineRule="exact"/>
        <w:rPr>
          <w:rFonts w:ascii="Arial" w:cs="Arial" w:eastAsia="Arial" w:hAnsi="Arial"/>
          <w:sz w:val="14"/>
          <w:szCs w:val="14"/>
          <w:color w:val="auto"/>
        </w:rPr>
      </w:pPr>
    </w:p>
    <w:p>
      <w:pPr>
        <w:ind w:left="1040" w:right="200" w:hanging="517"/>
        <w:spacing w:after="0" w:line="328" w:lineRule="auto"/>
        <w:tabs>
          <w:tab w:leader="none" w:pos="1040" w:val="left"/>
        </w:tabs>
        <w:numPr>
          <w:ilvl w:val="0"/>
          <w:numId w:val="101"/>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9" w:lineRule="exact"/>
        <w:rPr>
          <w:sz w:val="20"/>
          <w:szCs w:val="20"/>
          <w:color w:val="auto"/>
        </w:rPr>
      </w:pPr>
    </w:p>
    <w:p>
      <w:pPr>
        <w:ind w:right="240" w:firstLine="523"/>
        <w:spacing w:after="0" w:line="288" w:lineRule="auto"/>
        <w:tabs>
          <w:tab w:leader="none" w:pos="1017" w:val="left"/>
        </w:tabs>
        <w:numPr>
          <w:ilvl w:val="0"/>
          <w:numId w:val="102"/>
        </w:numPr>
        <w:rPr>
          <w:rFonts w:ascii="Arial" w:cs="Arial" w:eastAsia="Arial" w:hAnsi="Arial"/>
          <w:sz w:val="14"/>
          <w:szCs w:val="14"/>
          <w:color w:val="auto"/>
        </w:rPr>
      </w:pPr>
      <w:r>
        <w:rPr>
          <w:rFonts w:ascii="Arial" w:cs="Arial" w:eastAsia="Arial" w:hAnsi="Arial"/>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1" w:lineRule="exact"/>
        <w:rPr>
          <w:sz w:val="20"/>
          <w:szCs w:val="20"/>
          <w:color w:val="auto"/>
        </w:rPr>
      </w:pPr>
    </w:p>
    <w:p>
      <w:pPr>
        <w:ind w:left="1040" w:right="520" w:hanging="517"/>
        <w:spacing w:after="0" w:line="288" w:lineRule="auto"/>
        <w:tabs>
          <w:tab w:leader="none" w:pos="1040" w:val="left"/>
        </w:tabs>
        <w:numPr>
          <w:ilvl w:val="0"/>
          <w:numId w:val="103"/>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0" w:lineRule="exact"/>
        <w:rPr>
          <w:rFonts w:ascii="Arial" w:cs="Arial" w:eastAsia="Arial" w:hAnsi="Arial"/>
          <w:sz w:val="14"/>
          <w:szCs w:val="14"/>
          <w:color w:val="auto"/>
        </w:rPr>
      </w:pPr>
    </w:p>
    <w:p>
      <w:pPr>
        <w:ind w:right="740" w:firstLine="523"/>
        <w:spacing w:after="0" w:line="545" w:lineRule="auto"/>
        <w:tabs>
          <w:tab w:leader="none" w:pos="1035" w:val="left"/>
        </w:tabs>
        <w:numPr>
          <w:ilvl w:val="0"/>
          <w:numId w:val="103"/>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 Date: November 7, 2019</w:t>
      </w:r>
    </w:p>
    <w:p>
      <w:pPr>
        <w:spacing w:after="0" w:line="88" w:lineRule="exact"/>
        <w:rPr>
          <w:sz w:val="20"/>
          <w:szCs w:val="20"/>
          <w:color w:val="auto"/>
        </w:rPr>
      </w:pPr>
    </w:p>
    <w:p>
      <w:pPr>
        <w:ind w:left="7900"/>
        <w:spacing w:after="0"/>
        <w:rPr>
          <w:sz w:val="20"/>
          <w:szCs w:val="20"/>
          <w:color w:val="auto"/>
        </w:rPr>
      </w:pPr>
      <w:r>
        <w:rPr>
          <w:rFonts w:ascii="Arial" w:cs="Arial" w:eastAsia="Arial" w:hAnsi="Arial"/>
          <w:sz w:val="14"/>
          <w:szCs w:val="14"/>
          <w:color w:val="auto"/>
        </w:rPr>
        <w:t>/s/ Scott M. Prochazka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4999355</wp:posOffset>
            </wp:positionH>
            <wp:positionV relativeFrom="paragraph">
              <wp:posOffset>27940</wp:posOffset>
            </wp:positionV>
            <wp:extent cx="2279015" cy="69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89">
                      <a:extLst>
                        <a:ext uri="{28A0092B-C50C-407E-A947-70E740481C1C}"/>
                      </a:extLst>
                    </a:blip>
                    <a:srcRect/>
                    <a:stretch>
                      <a:fillRect/>
                    </a:stretch>
                  </pic:blipFill>
                  <pic:spPr bwMode="auto">
                    <a:xfrm>
                      <a:off x="0" y="0"/>
                      <a:ext cx="2279015" cy="6985"/>
                    </a:xfrm>
                    <a:prstGeom prst="rect">
                      <a:avLst/>
                    </a:prstGeom>
                    <a:noFill/>
                  </pic:spPr>
                </pic:pic>
              </a:graphicData>
            </a:graphic>
          </wp:anchor>
        </w:drawing>
      </w:r>
    </w:p>
    <w:p>
      <w:pPr>
        <w:spacing w:after="0" w:line="45" w:lineRule="exact"/>
        <w:rPr>
          <w:sz w:val="20"/>
          <w:szCs w:val="20"/>
          <w:color w:val="auto"/>
        </w:rPr>
      </w:pPr>
    </w:p>
    <w:p>
      <w:pPr>
        <w:ind w:left="7900"/>
        <w:spacing w:after="0"/>
        <w:rPr>
          <w:sz w:val="20"/>
          <w:szCs w:val="20"/>
          <w:color w:val="auto"/>
        </w:rPr>
      </w:pPr>
      <w:r>
        <w:rPr>
          <w:rFonts w:ascii="Arial" w:cs="Arial" w:eastAsia="Arial" w:hAnsi="Arial"/>
          <w:sz w:val="14"/>
          <w:szCs w:val="14"/>
          <w:color w:val="auto"/>
        </w:rPr>
        <w:t>Scott M. Prochazka</w:t>
      </w:r>
    </w:p>
    <w:p>
      <w:pPr>
        <w:spacing w:after="0" w:line="55" w:lineRule="exact"/>
        <w:rPr>
          <w:sz w:val="20"/>
          <w:szCs w:val="20"/>
          <w:color w:val="auto"/>
        </w:rPr>
      </w:pPr>
    </w:p>
    <w:p>
      <w:pPr>
        <w:ind w:left="7900"/>
        <w:spacing w:after="0"/>
        <w:rPr>
          <w:sz w:val="20"/>
          <w:szCs w:val="20"/>
          <w:color w:val="auto"/>
        </w:rPr>
      </w:pPr>
      <w:r>
        <w:rPr>
          <w:rFonts w:ascii="Arial" w:cs="Arial" w:eastAsia="Arial" w:hAnsi="Arial"/>
          <w:sz w:val="14"/>
          <w:szCs w:val="14"/>
          <w:color w:val="auto"/>
        </w:rPr>
        <w:t>President and Chief Executive Officer</w:t>
      </w:r>
    </w:p>
    <w:p>
      <w:pPr>
        <w:sectPr>
          <w:pgSz w:w="11900" w:h="16838" w:orient="portrait"/>
          <w:cols w:equalWidth="0" w:num="1">
            <w:col w:w="11460"/>
          </w:cols>
          <w:pgMar w:left="220" w:top="495" w:right="219" w:bottom="1440" w:gutter="0" w:footer="0" w:header="0"/>
        </w:sectPr>
      </w:pPr>
    </w:p>
    <w:bookmarkStart w:id="155" w:name="page156"/>
    <w:bookmarkEnd w:id="155"/>
    <w:p>
      <w:pPr>
        <w:jc w:val="right"/>
        <w:spacing w:after="0"/>
        <w:rPr>
          <w:sz w:val="20"/>
          <w:szCs w:val="20"/>
          <w:color w:val="auto"/>
        </w:rPr>
      </w:pPr>
      <w:r>
        <w:rPr>
          <w:rFonts w:ascii="Arial" w:cs="Arial" w:eastAsia="Arial" w:hAnsi="Arial"/>
          <w:sz w:val="14"/>
          <w:szCs w:val="14"/>
          <w:color w:val="auto"/>
        </w:rPr>
        <w:t>Exhibit 31.2.1</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CERTIFICATIONS</w:t>
      </w:r>
    </w:p>
    <w:p>
      <w:pPr>
        <w:spacing w:after="0" w:line="188" w:lineRule="exact"/>
        <w:rPr>
          <w:sz w:val="20"/>
          <w:szCs w:val="20"/>
          <w:color w:val="auto"/>
        </w:rPr>
      </w:pPr>
    </w:p>
    <w:p>
      <w:pPr>
        <w:spacing w:after="0"/>
        <w:rPr>
          <w:sz w:val="20"/>
          <w:szCs w:val="20"/>
          <w:color w:val="auto"/>
        </w:rPr>
      </w:pPr>
      <w:r>
        <w:rPr>
          <w:rFonts w:ascii="Arial" w:cs="Arial" w:eastAsia="Arial" w:hAnsi="Arial"/>
          <w:sz w:val="14"/>
          <w:szCs w:val="14"/>
          <w:color w:val="auto"/>
        </w:rPr>
        <w:t>I, Xia Liu, certify that:</w:t>
      </w:r>
    </w:p>
    <w:p>
      <w:pPr>
        <w:spacing w:after="0" w:line="205" w:lineRule="exact"/>
        <w:rPr>
          <w:sz w:val="20"/>
          <w:szCs w:val="20"/>
          <w:color w:val="auto"/>
        </w:rPr>
      </w:pPr>
    </w:p>
    <w:p>
      <w:pPr>
        <w:ind w:left="1140" w:hanging="617"/>
        <w:spacing w:after="0"/>
        <w:tabs>
          <w:tab w:leader="none" w:pos="1140" w:val="left"/>
        </w:tabs>
        <w:numPr>
          <w:ilvl w:val="0"/>
          <w:numId w:val="104"/>
        </w:numPr>
        <w:rPr>
          <w:rFonts w:ascii="Arial" w:cs="Arial" w:eastAsia="Arial" w:hAnsi="Arial"/>
          <w:sz w:val="14"/>
          <w:szCs w:val="14"/>
          <w:color w:val="auto"/>
        </w:rPr>
      </w:pPr>
      <w:r>
        <w:rPr>
          <w:rFonts w:ascii="Arial" w:cs="Arial" w:eastAsia="Arial" w:hAnsi="Arial"/>
          <w:sz w:val="14"/>
          <w:szCs w:val="14"/>
          <w:color w:val="auto"/>
        </w:rPr>
        <w:t>I have reviewed this quarterly report on Form 10-Q of CenterPoint Energy, Inc.;</w:t>
      </w:r>
    </w:p>
    <w:p>
      <w:pPr>
        <w:spacing w:after="0" w:line="216" w:lineRule="exact"/>
        <w:rPr>
          <w:rFonts w:ascii="Arial" w:cs="Arial" w:eastAsia="Arial" w:hAnsi="Arial"/>
          <w:sz w:val="14"/>
          <w:szCs w:val="14"/>
          <w:color w:val="auto"/>
        </w:rPr>
      </w:pPr>
    </w:p>
    <w:p>
      <w:pPr>
        <w:ind w:firstLine="523"/>
        <w:spacing w:after="0" w:line="336" w:lineRule="auto"/>
        <w:tabs>
          <w:tab w:leader="none" w:pos="1142" w:val="left"/>
        </w:tabs>
        <w:numPr>
          <w:ilvl w:val="0"/>
          <w:numId w:val="104"/>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1" w:lineRule="exact"/>
        <w:rPr>
          <w:rFonts w:ascii="Arial" w:cs="Arial" w:eastAsia="Arial" w:hAnsi="Arial"/>
          <w:sz w:val="14"/>
          <w:szCs w:val="14"/>
          <w:color w:val="auto"/>
        </w:rPr>
      </w:pPr>
    </w:p>
    <w:p>
      <w:pPr>
        <w:ind w:firstLine="523"/>
        <w:spacing w:after="0" w:line="336" w:lineRule="auto"/>
        <w:tabs>
          <w:tab w:leader="none" w:pos="1142" w:val="left"/>
        </w:tabs>
        <w:numPr>
          <w:ilvl w:val="0"/>
          <w:numId w:val="104"/>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1" w:lineRule="exact"/>
        <w:rPr>
          <w:rFonts w:ascii="Arial" w:cs="Arial" w:eastAsia="Arial" w:hAnsi="Arial"/>
          <w:sz w:val="14"/>
          <w:szCs w:val="14"/>
          <w:color w:val="auto"/>
        </w:rPr>
      </w:pPr>
    </w:p>
    <w:p>
      <w:pPr>
        <w:ind w:firstLine="523"/>
        <w:spacing w:after="0" w:line="336" w:lineRule="auto"/>
        <w:tabs>
          <w:tab w:leader="none" w:pos="1142" w:val="left"/>
        </w:tabs>
        <w:numPr>
          <w:ilvl w:val="0"/>
          <w:numId w:val="104"/>
        </w:numPr>
        <w:rPr>
          <w:rFonts w:ascii="Arial" w:cs="Arial" w:eastAsia="Arial" w:hAnsi="Arial"/>
          <w:sz w:val="14"/>
          <w:szCs w:val="14"/>
          <w:color w:val="auto"/>
        </w:rPr>
      </w:pPr>
      <w:r>
        <w:rPr>
          <w:rFonts w:ascii="Arial" w:cs="Arial" w:eastAsia="Arial" w:hAnsi="Arial"/>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0" w:lineRule="exact"/>
        <w:rPr>
          <w:sz w:val="20"/>
          <w:szCs w:val="20"/>
          <w:color w:val="auto"/>
        </w:rPr>
      </w:pPr>
    </w:p>
    <w:p>
      <w:pPr>
        <w:jc w:val="both"/>
        <w:ind w:left="1040" w:hanging="517"/>
        <w:spacing w:after="0" w:line="272" w:lineRule="auto"/>
        <w:tabs>
          <w:tab w:leader="none" w:pos="1040" w:val="left"/>
        </w:tabs>
        <w:numPr>
          <w:ilvl w:val="0"/>
          <w:numId w:val="105"/>
        </w:numPr>
        <w:rPr>
          <w:rFonts w:ascii="Arial" w:cs="Arial" w:eastAsia="Arial" w:hAnsi="Arial"/>
          <w:sz w:val="14"/>
          <w:szCs w:val="14"/>
          <w:color w:val="auto"/>
        </w:rPr>
      </w:pPr>
      <w:r>
        <w:rPr>
          <w:rFonts w:ascii="Arial" w:cs="Arial" w:eastAsia="Arial" w:hAnsi="Arial"/>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2" w:lineRule="exact"/>
        <w:rPr>
          <w:rFonts w:ascii="Arial" w:cs="Arial" w:eastAsia="Arial" w:hAnsi="Arial"/>
          <w:sz w:val="14"/>
          <w:szCs w:val="14"/>
          <w:color w:val="auto"/>
        </w:rPr>
      </w:pPr>
    </w:p>
    <w:p>
      <w:pPr>
        <w:jc w:val="both"/>
        <w:ind w:left="1040" w:hanging="517"/>
        <w:spacing w:after="0" w:line="272" w:lineRule="auto"/>
        <w:tabs>
          <w:tab w:leader="none" w:pos="1040" w:val="left"/>
        </w:tabs>
        <w:numPr>
          <w:ilvl w:val="0"/>
          <w:numId w:val="105"/>
        </w:numPr>
        <w:rPr>
          <w:rFonts w:ascii="Arial" w:cs="Arial" w:eastAsia="Arial" w:hAnsi="Arial"/>
          <w:sz w:val="14"/>
          <w:szCs w:val="14"/>
          <w:color w:val="auto"/>
        </w:rPr>
      </w:pPr>
      <w:r>
        <w:rPr>
          <w:rFonts w:ascii="Arial" w:cs="Arial" w:eastAsia="Arial" w:hAnsi="Arial"/>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2" w:lineRule="exact"/>
        <w:rPr>
          <w:rFonts w:ascii="Arial" w:cs="Arial" w:eastAsia="Arial" w:hAnsi="Arial"/>
          <w:sz w:val="14"/>
          <w:szCs w:val="14"/>
          <w:color w:val="auto"/>
        </w:rPr>
      </w:pPr>
    </w:p>
    <w:p>
      <w:pPr>
        <w:ind w:left="1040" w:hanging="517"/>
        <w:spacing w:after="0" w:line="288" w:lineRule="auto"/>
        <w:tabs>
          <w:tab w:leader="none" w:pos="1040" w:val="left"/>
        </w:tabs>
        <w:numPr>
          <w:ilvl w:val="0"/>
          <w:numId w:val="105"/>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0" w:lineRule="exact"/>
        <w:rPr>
          <w:rFonts w:ascii="Arial" w:cs="Arial" w:eastAsia="Arial" w:hAnsi="Arial"/>
          <w:sz w:val="14"/>
          <w:szCs w:val="14"/>
          <w:color w:val="auto"/>
        </w:rPr>
      </w:pPr>
    </w:p>
    <w:p>
      <w:pPr>
        <w:ind w:left="1040" w:hanging="517"/>
        <w:spacing w:after="0" w:line="328" w:lineRule="auto"/>
        <w:tabs>
          <w:tab w:leader="none" w:pos="1040" w:val="left"/>
        </w:tabs>
        <w:numPr>
          <w:ilvl w:val="0"/>
          <w:numId w:val="105"/>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0" w:lineRule="exact"/>
        <w:rPr>
          <w:sz w:val="20"/>
          <w:szCs w:val="20"/>
          <w:color w:val="auto"/>
        </w:rPr>
      </w:pPr>
    </w:p>
    <w:p>
      <w:pPr>
        <w:ind w:firstLine="523"/>
        <w:spacing w:after="0" w:line="336" w:lineRule="auto"/>
        <w:tabs>
          <w:tab w:leader="none" w:pos="1142" w:val="left"/>
        </w:tabs>
        <w:numPr>
          <w:ilvl w:val="0"/>
          <w:numId w:val="106"/>
        </w:numPr>
        <w:rPr>
          <w:rFonts w:ascii="Arial" w:cs="Arial" w:eastAsia="Arial" w:hAnsi="Arial"/>
          <w:sz w:val="14"/>
          <w:szCs w:val="14"/>
          <w:color w:val="auto"/>
        </w:rPr>
      </w:pPr>
      <w:r>
        <w:rPr>
          <w:rFonts w:ascii="Arial" w:cs="Arial" w:eastAsia="Arial" w:hAnsi="Arial"/>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0" w:lineRule="exact"/>
        <w:rPr>
          <w:sz w:val="20"/>
          <w:szCs w:val="20"/>
          <w:color w:val="auto"/>
        </w:rPr>
      </w:pPr>
    </w:p>
    <w:p>
      <w:pPr>
        <w:ind w:left="1040" w:hanging="517"/>
        <w:spacing w:after="0" w:line="288" w:lineRule="auto"/>
        <w:tabs>
          <w:tab w:leader="none" w:pos="1040" w:val="left"/>
        </w:tabs>
        <w:numPr>
          <w:ilvl w:val="0"/>
          <w:numId w:val="107"/>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0" w:lineRule="exact"/>
        <w:rPr>
          <w:rFonts w:ascii="Arial" w:cs="Arial" w:eastAsia="Arial" w:hAnsi="Arial"/>
          <w:sz w:val="14"/>
          <w:szCs w:val="14"/>
          <w:color w:val="auto"/>
        </w:rPr>
      </w:pPr>
    </w:p>
    <w:p>
      <w:pPr>
        <w:ind w:left="1040" w:hanging="517"/>
        <w:spacing w:after="0"/>
        <w:tabs>
          <w:tab w:leader="none" w:pos="1040" w:val="left"/>
        </w:tabs>
        <w:numPr>
          <w:ilvl w:val="0"/>
          <w:numId w:val="107"/>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color w:val="auto"/>
        </w:rPr>
        <w:t>Date:  November 7, 2019</w:t>
      </w:r>
    </w:p>
    <w:p>
      <w:pPr>
        <w:spacing w:after="0" w:line="313" w:lineRule="exact"/>
        <w:rPr>
          <w:sz w:val="20"/>
          <w:szCs w:val="20"/>
          <w:color w:val="auto"/>
        </w:rPr>
      </w:pPr>
    </w:p>
    <w:p>
      <w:pPr>
        <w:ind w:left="5760"/>
        <w:spacing w:after="0"/>
        <w:rPr>
          <w:sz w:val="20"/>
          <w:szCs w:val="20"/>
          <w:color w:val="auto"/>
        </w:rPr>
      </w:pPr>
      <w:r>
        <w:rPr>
          <w:rFonts w:ascii="Arial" w:cs="Arial" w:eastAsia="Arial" w:hAnsi="Arial"/>
          <w:sz w:val="14"/>
          <w:szCs w:val="14"/>
          <w:color w:val="auto"/>
        </w:rPr>
        <w:t>/s/ Xia Liu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3644265</wp:posOffset>
            </wp:positionH>
            <wp:positionV relativeFrom="paragraph">
              <wp:posOffset>27940</wp:posOffset>
            </wp:positionV>
            <wp:extent cx="3633470" cy="69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90">
                      <a:extLst>
                        <a:ext uri="{28A0092B-C50C-407E-A947-70E740481C1C}"/>
                      </a:extLst>
                    </a:blip>
                    <a:srcRect/>
                    <a:stretch>
                      <a:fillRect/>
                    </a:stretch>
                  </pic:blipFill>
                  <pic:spPr bwMode="auto">
                    <a:xfrm>
                      <a:off x="0" y="0"/>
                      <a:ext cx="3633470" cy="6985"/>
                    </a:xfrm>
                    <a:prstGeom prst="rect">
                      <a:avLst/>
                    </a:prstGeom>
                    <a:noFill/>
                  </pic:spPr>
                </pic:pic>
              </a:graphicData>
            </a:graphic>
          </wp:anchor>
        </w:drawing>
      </w:r>
    </w:p>
    <w:p>
      <w:pPr>
        <w:spacing w:after="0" w:line="45" w:lineRule="exact"/>
        <w:rPr>
          <w:sz w:val="20"/>
          <w:szCs w:val="20"/>
          <w:color w:val="auto"/>
        </w:rPr>
      </w:pPr>
    </w:p>
    <w:p>
      <w:pPr>
        <w:ind w:left="5760"/>
        <w:spacing w:after="0"/>
        <w:rPr>
          <w:sz w:val="20"/>
          <w:szCs w:val="20"/>
          <w:color w:val="auto"/>
        </w:rPr>
      </w:pPr>
      <w:r>
        <w:rPr>
          <w:rFonts w:ascii="Arial" w:cs="Arial" w:eastAsia="Arial" w:hAnsi="Arial"/>
          <w:sz w:val="14"/>
          <w:szCs w:val="14"/>
          <w:color w:val="auto"/>
        </w:rPr>
        <w:t>Xia Liu</w:t>
      </w:r>
    </w:p>
    <w:p>
      <w:pPr>
        <w:spacing w:after="0" w:line="55" w:lineRule="exact"/>
        <w:rPr>
          <w:sz w:val="20"/>
          <w:szCs w:val="20"/>
          <w:color w:val="auto"/>
        </w:rPr>
      </w:pPr>
    </w:p>
    <w:p>
      <w:pPr>
        <w:ind w:left="5760"/>
        <w:spacing w:after="0"/>
        <w:rPr>
          <w:sz w:val="20"/>
          <w:szCs w:val="20"/>
          <w:color w:val="auto"/>
        </w:rPr>
      </w:pPr>
      <w:r>
        <w:rPr>
          <w:rFonts w:ascii="Arial" w:cs="Arial" w:eastAsia="Arial" w:hAnsi="Arial"/>
          <w:sz w:val="14"/>
          <w:szCs w:val="14"/>
          <w:color w:val="auto"/>
        </w:rPr>
        <w:t>Executive Vice President and Chief Financial Officer</w:t>
      </w:r>
    </w:p>
    <w:p>
      <w:pPr>
        <w:sectPr>
          <w:pgSz w:w="11900" w:h="16838" w:orient="portrait"/>
          <w:cols w:equalWidth="0" w:num="1">
            <w:col w:w="11460"/>
          </w:cols>
          <w:pgMar w:left="220" w:top="495" w:right="219" w:bottom="1440" w:gutter="0" w:footer="0" w:header="0"/>
        </w:sectPr>
      </w:pPr>
    </w:p>
    <w:bookmarkStart w:id="156" w:name="page157"/>
    <w:bookmarkEnd w:id="156"/>
    <w:p>
      <w:pPr>
        <w:jc w:val="right"/>
        <w:spacing w:after="0"/>
        <w:rPr>
          <w:sz w:val="20"/>
          <w:szCs w:val="20"/>
          <w:color w:val="auto"/>
        </w:rPr>
      </w:pPr>
      <w:r>
        <w:rPr>
          <w:rFonts w:ascii="Arial" w:cs="Arial" w:eastAsia="Arial" w:hAnsi="Arial"/>
          <w:sz w:val="14"/>
          <w:szCs w:val="14"/>
          <w:color w:val="auto"/>
        </w:rPr>
        <w:t>Exhibit 31.2.2</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CERTIFICATIONS</w:t>
      </w:r>
    </w:p>
    <w:p>
      <w:pPr>
        <w:spacing w:after="0" w:line="188" w:lineRule="exact"/>
        <w:rPr>
          <w:sz w:val="20"/>
          <w:szCs w:val="20"/>
          <w:color w:val="auto"/>
        </w:rPr>
      </w:pPr>
    </w:p>
    <w:p>
      <w:pPr>
        <w:spacing w:after="0"/>
        <w:rPr>
          <w:sz w:val="20"/>
          <w:szCs w:val="20"/>
          <w:color w:val="auto"/>
        </w:rPr>
      </w:pPr>
      <w:r>
        <w:rPr>
          <w:rFonts w:ascii="Arial" w:cs="Arial" w:eastAsia="Arial" w:hAnsi="Arial"/>
          <w:sz w:val="14"/>
          <w:szCs w:val="14"/>
          <w:color w:val="auto"/>
        </w:rPr>
        <w:t>I, Xia Liu, certify that:</w:t>
      </w:r>
    </w:p>
    <w:p>
      <w:pPr>
        <w:spacing w:after="0" w:line="205" w:lineRule="exact"/>
        <w:rPr>
          <w:sz w:val="20"/>
          <w:szCs w:val="20"/>
          <w:color w:val="auto"/>
        </w:rPr>
      </w:pPr>
    </w:p>
    <w:p>
      <w:pPr>
        <w:ind w:left="1140" w:hanging="617"/>
        <w:spacing w:after="0"/>
        <w:tabs>
          <w:tab w:leader="none" w:pos="1140" w:val="left"/>
        </w:tabs>
        <w:numPr>
          <w:ilvl w:val="0"/>
          <w:numId w:val="108"/>
        </w:numPr>
        <w:rPr>
          <w:rFonts w:ascii="Arial" w:cs="Arial" w:eastAsia="Arial" w:hAnsi="Arial"/>
          <w:sz w:val="14"/>
          <w:szCs w:val="14"/>
          <w:color w:val="auto"/>
        </w:rPr>
      </w:pPr>
      <w:r>
        <w:rPr>
          <w:rFonts w:ascii="Arial" w:cs="Arial" w:eastAsia="Arial" w:hAnsi="Arial"/>
          <w:sz w:val="14"/>
          <w:szCs w:val="14"/>
          <w:color w:val="auto"/>
        </w:rPr>
        <w:t>I have reviewed this quarterly report on Form 10-Q of CenterPoint Energy Houston Electric, LLC;</w:t>
      </w:r>
    </w:p>
    <w:p>
      <w:pPr>
        <w:spacing w:after="0" w:line="216" w:lineRule="exact"/>
        <w:rPr>
          <w:rFonts w:ascii="Arial" w:cs="Arial" w:eastAsia="Arial" w:hAnsi="Arial"/>
          <w:sz w:val="14"/>
          <w:szCs w:val="14"/>
          <w:color w:val="auto"/>
        </w:rPr>
      </w:pPr>
    </w:p>
    <w:p>
      <w:pPr>
        <w:ind w:firstLine="523"/>
        <w:spacing w:after="0" w:line="336" w:lineRule="auto"/>
        <w:tabs>
          <w:tab w:leader="none" w:pos="1142" w:val="left"/>
        </w:tabs>
        <w:numPr>
          <w:ilvl w:val="0"/>
          <w:numId w:val="108"/>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1" w:lineRule="exact"/>
        <w:rPr>
          <w:rFonts w:ascii="Arial" w:cs="Arial" w:eastAsia="Arial" w:hAnsi="Arial"/>
          <w:sz w:val="14"/>
          <w:szCs w:val="14"/>
          <w:color w:val="auto"/>
        </w:rPr>
      </w:pPr>
    </w:p>
    <w:p>
      <w:pPr>
        <w:ind w:firstLine="523"/>
        <w:spacing w:after="0" w:line="336" w:lineRule="auto"/>
        <w:tabs>
          <w:tab w:leader="none" w:pos="1142" w:val="left"/>
        </w:tabs>
        <w:numPr>
          <w:ilvl w:val="0"/>
          <w:numId w:val="108"/>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1" w:lineRule="exact"/>
        <w:rPr>
          <w:rFonts w:ascii="Arial" w:cs="Arial" w:eastAsia="Arial" w:hAnsi="Arial"/>
          <w:sz w:val="14"/>
          <w:szCs w:val="14"/>
          <w:color w:val="auto"/>
        </w:rPr>
      </w:pPr>
    </w:p>
    <w:p>
      <w:pPr>
        <w:ind w:firstLine="523"/>
        <w:spacing w:after="0" w:line="336" w:lineRule="auto"/>
        <w:tabs>
          <w:tab w:leader="none" w:pos="1142" w:val="left"/>
        </w:tabs>
        <w:numPr>
          <w:ilvl w:val="0"/>
          <w:numId w:val="108"/>
        </w:numPr>
        <w:rPr>
          <w:rFonts w:ascii="Arial" w:cs="Arial" w:eastAsia="Arial" w:hAnsi="Arial"/>
          <w:sz w:val="14"/>
          <w:szCs w:val="14"/>
          <w:color w:val="auto"/>
        </w:rPr>
      </w:pPr>
      <w:r>
        <w:rPr>
          <w:rFonts w:ascii="Arial" w:cs="Arial" w:eastAsia="Arial" w:hAnsi="Arial"/>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0" w:lineRule="exact"/>
        <w:rPr>
          <w:sz w:val="20"/>
          <w:szCs w:val="20"/>
          <w:color w:val="auto"/>
        </w:rPr>
      </w:pPr>
    </w:p>
    <w:p>
      <w:pPr>
        <w:jc w:val="both"/>
        <w:ind w:left="1040" w:hanging="517"/>
        <w:spacing w:after="0" w:line="272" w:lineRule="auto"/>
        <w:tabs>
          <w:tab w:leader="none" w:pos="1040" w:val="left"/>
        </w:tabs>
        <w:numPr>
          <w:ilvl w:val="0"/>
          <w:numId w:val="109"/>
        </w:numPr>
        <w:rPr>
          <w:rFonts w:ascii="Arial" w:cs="Arial" w:eastAsia="Arial" w:hAnsi="Arial"/>
          <w:sz w:val="14"/>
          <w:szCs w:val="14"/>
          <w:color w:val="auto"/>
        </w:rPr>
      </w:pPr>
      <w:r>
        <w:rPr>
          <w:rFonts w:ascii="Arial" w:cs="Arial" w:eastAsia="Arial" w:hAnsi="Arial"/>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2" w:lineRule="exact"/>
        <w:rPr>
          <w:rFonts w:ascii="Arial" w:cs="Arial" w:eastAsia="Arial" w:hAnsi="Arial"/>
          <w:sz w:val="14"/>
          <w:szCs w:val="14"/>
          <w:color w:val="auto"/>
        </w:rPr>
      </w:pPr>
    </w:p>
    <w:p>
      <w:pPr>
        <w:jc w:val="both"/>
        <w:ind w:left="1040" w:hanging="517"/>
        <w:spacing w:after="0" w:line="272" w:lineRule="auto"/>
        <w:tabs>
          <w:tab w:leader="none" w:pos="1040" w:val="left"/>
        </w:tabs>
        <w:numPr>
          <w:ilvl w:val="0"/>
          <w:numId w:val="109"/>
        </w:numPr>
        <w:rPr>
          <w:rFonts w:ascii="Arial" w:cs="Arial" w:eastAsia="Arial" w:hAnsi="Arial"/>
          <w:sz w:val="14"/>
          <w:szCs w:val="14"/>
          <w:color w:val="auto"/>
        </w:rPr>
      </w:pPr>
      <w:r>
        <w:rPr>
          <w:rFonts w:ascii="Arial" w:cs="Arial" w:eastAsia="Arial" w:hAnsi="Arial"/>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2" w:lineRule="exact"/>
        <w:rPr>
          <w:rFonts w:ascii="Arial" w:cs="Arial" w:eastAsia="Arial" w:hAnsi="Arial"/>
          <w:sz w:val="14"/>
          <w:szCs w:val="14"/>
          <w:color w:val="auto"/>
        </w:rPr>
      </w:pPr>
    </w:p>
    <w:p>
      <w:pPr>
        <w:ind w:left="1040" w:hanging="517"/>
        <w:spacing w:after="0" w:line="288" w:lineRule="auto"/>
        <w:tabs>
          <w:tab w:leader="none" w:pos="1040" w:val="left"/>
        </w:tabs>
        <w:numPr>
          <w:ilvl w:val="0"/>
          <w:numId w:val="109"/>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0" w:lineRule="exact"/>
        <w:rPr>
          <w:rFonts w:ascii="Arial" w:cs="Arial" w:eastAsia="Arial" w:hAnsi="Arial"/>
          <w:sz w:val="14"/>
          <w:szCs w:val="14"/>
          <w:color w:val="auto"/>
        </w:rPr>
      </w:pPr>
    </w:p>
    <w:p>
      <w:pPr>
        <w:ind w:left="1040" w:hanging="517"/>
        <w:spacing w:after="0" w:line="328" w:lineRule="auto"/>
        <w:tabs>
          <w:tab w:leader="none" w:pos="1040" w:val="left"/>
        </w:tabs>
        <w:numPr>
          <w:ilvl w:val="0"/>
          <w:numId w:val="109"/>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0" w:lineRule="exact"/>
        <w:rPr>
          <w:sz w:val="20"/>
          <w:szCs w:val="20"/>
          <w:color w:val="auto"/>
        </w:rPr>
      </w:pPr>
    </w:p>
    <w:p>
      <w:pPr>
        <w:ind w:firstLine="523"/>
        <w:spacing w:after="0" w:line="336" w:lineRule="auto"/>
        <w:tabs>
          <w:tab w:leader="none" w:pos="1142" w:val="left"/>
        </w:tabs>
        <w:numPr>
          <w:ilvl w:val="0"/>
          <w:numId w:val="110"/>
        </w:numPr>
        <w:rPr>
          <w:rFonts w:ascii="Arial" w:cs="Arial" w:eastAsia="Arial" w:hAnsi="Arial"/>
          <w:sz w:val="14"/>
          <w:szCs w:val="14"/>
          <w:color w:val="auto"/>
        </w:rPr>
      </w:pPr>
      <w:r>
        <w:rPr>
          <w:rFonts w:ascii="Arial" w:cs="Arial" w:eastAsia="Arial" w:hAnsi="Arial"/>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0" w:lineRule="exact"/>
        <w:rPr>
          <w:sz w:val="20"/>
          <w:szCs w:val="20"/>
          <w:color w:val="auto"/>
        </w:rPr>
      </w:pPr>
    </w:p>
    <w:p>
      <w:pPr>
        <w:ind w:left="1040" w:hanging="517"/>
        <w:spacing w:after="0" w:line="288" w:lineRule="auto"/>
        <w:tabs>
          <w:tab w:leader="none" w:pos="1040" w:val="left"/>
        </w:tabs>
        <w:numPr>
          <w:ilvl w:val="0"/>
          <w:numId w:val="111"/>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0" w:lineRule="exact"/>
        <w:rPr>
          <w:rFonts w:ascii="Arial" w:cs="Arial" w:eastAsia="Arial" w:hAnsi="Arial"/>
          <w:sz w:val="14"/>
          <w:szCs w:val="14"/>
          <w:color w:val="auto"/>
        </w:rPr>
      </w:pPr>
    </w:p>
    <w:p>
      <w:pPr>
        <w:ind w:left="1040" w:hanging="517"/>
        <w:spacing w:after="0"/>
        <w:tabs>
          <w:tab w:leader="none" w:pos="1040" w:val="left"/>
        </w:tabs>
        <w:numPr>
          <w:ilvl w:val="0"/>
          <w:numId w:val="111"/>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color w:val="auto"/>
        </w:rPr>
        <w:t>Date: November 7, 2019</w:t>
      </w:r>
    </w:p>
    <w:p>
      <w:pPr>
        <w:spacing w:after="0" w:line="313" w:lineRule="exact"/>
        <w:rPr>
          <w:sz w:val="20"/>
          <w:szCs w:val="20"/>
          <w:color w:val="auto"/>
        </w:rPr>
      </w:pPr>
    </w:p>
    <w:p>
      <w:pPr>
        <w:ind w:left="5760"/>
        <w:spacing w:after="0"/>
        <w:rPr>
          <w:sz w:val="20"/>
          <w:szCs w:val="20"/>
          <w:color w:val="auto"/>
        </w:rPr>
      </w:pPr>
      <w:r>
        <w:rPr>
          <w:rFonts w:ascii="Arial" w:cs="Arial" w:eastAsia="Arial" w:hAnsi="Arial"/>
          <w:sz w:val="14"/>
          <w:szCs w:val="14"/>
          <w:color w:val="auto"/>
        </w:rPr>
        <w:t>/s/ Xia Liu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3644265</wp:posOffset>
            </wp:positionH>
            <wp:positionV relativeFrom="paragraph">
              <wp:posOffset>27940</wp:posOffset>
            </wp:positionV>
            <wp:extent cx="3633470" cy="69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91">
                      <a:extLst>
                        <a:ext uri="{28A0092B-C50C-407E-A947-70E740481C1C}"/>
                      </a:extLst>
                    </a:blip>
                    <a:srcRect/>
                    <a:stretch>
                      <a:fillRect/>
                    </a:stretch>
                  </pic:blipFill>
                  <pic:spPr bwMode="auto">
                    <a:xfrm>
                      <a:off x="0" y="0"/>
                      <a:ext cx="3633470" cy="6985"/>
                    </a:xfrm>
                    <a:prstGeom prst="rect">
                      <a:avLst/>
                    </a:prstGeom>
                    <a:noFill/>
                  </pic:spPr>
                </pic:pic>
              </a:graphicData>
            </a:graphic>
          </wp:anchor>
        </w:drawing>
      </w:r>
    </w:p>
    <w:p>
      <w:pPr>
        <w:spacing w:after="0" w:line="45" w:lineRule="exact"/>
        <w:rPr>
          <w:sz w:val="20"/>
          <w:szCs w:val="20"/>
          <w:color w:val="auto"/>
        </w:rPr>
      </w:pPr>
    </w:p>
    <w:p>
      <w:pPr>
        <w:ind w:left="5760"/>
        <w:spacing w:after="0"/>
        <w:rPr>
          <w:sz w:val="20"/>
          <w:szCs w:val="20"/>
          <w:color w:val="auto"/>
        </w:rPr>
      </w:pPr>
      <w:r>
        <w:rPr>
          <w:rFonts w:ascii="Arial" w:cs="Arial" w:eastAsia="Arial" w:hAnsi="Arial"/>
          <w:sz w:val="14"/>
          <w:szCs w:val="14"/>
          <w:color w:val="auto"/>
        </w:rPr>
        <w:t>Xia Liu</w:t>
      </w:r>
    </w:p>
    <w:p>
      <w:pPr>
        <w:spacing w:after="0" w:line="55" w:lineRule="exact"/>
        <w:rPr>
          <w:sz w:val="20"/>
          <w:szCs w:val="20"/>
          <w:color w:val="auto"/>
        </w:rPr>
      </w:pPr>
    </w:p>
    <w:p>
      <w:pPr>
        <w:ind w:left="5760"/>
        <w:spacing w:after="0"/>
        <w:rPr>
          <w:sz w:val="20"/>
          <w:szCs w:val="20"/>
          <w:color w:val="auto"/>
        </w:rPr>
      </w:pPr>
      <w:r>
        <w:rPr>
          <w:rFonts w:ascii="Arial" w:cs="Arial" w:eastAsia="Arial" w:hAnsi="Arial"/>
          <w:sz w:val="14"/>
          <w:szCs w:val="14"/>
          <w:color w:val="auto"/>
        </w:rPr>
        <w:t>Executive Vice President and Chief Financial Officer</w:t>
      </w:r>
    </w:p>
    <w:p>
      <w:pPr>
        <w:sectPr>
          <w:pgSz w:w="11900" w:h="16838" w:orient="portrait"/>
          <w:cols w:equalWidth="0" w:num="1">
            <w:col w:w="11460"/>
          </w:cols>
          <w:pgMar w:left="220" w:top="495" w:right="219" w:bottom="1440" w:gutter="0" w:footer="0" w:header="0"/>
        </w:sectPr>
      </w:pPr>
    </w:p>
    <w:bookmarkStart w:id="157" w:name="page158"/>
    <w:bookmarkEnd w:id="157"/>
    <w:p>
      <w:pPr>
        <w:jc w:val="right"/>
        <w:spacing w:after="0"/>
        <w:rPr>
          <w:sz w:val="20"/>
          <w:szCs w:val="20"/>
          <w:color w:val="auto"/>
        </w:rPr>
      </w:pPr>
      <w:r>
        <w:rPr>
          <w:rFonts w:ascii="Arial" w:cs="Arial" w:eastAsia="Arial" w:hAnsi="Arial"/>
          <w:sz w:val="14"/>
          <w:szCs w:val="14"/>
          <w:color w:val="auto"/>
        </w:rPr>
        <w:t>Exhibit 31.2.3</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CERTIFICATIONS</w:t>
      </w:r>
    </w:p>
    <w:p>
      <w:pPr>
        <w:spacing w:after="0" w:line="188" w:lineRule="exact"/>
        <w:rPr>
          <w:sz w:val="20"/>
          <w:szCs w:val="20"/>
          <w:color w:val="auto"/>
        </w:rPr>
      </w:pPr>
    </w:p>
    <w:p>
      <w:pPr>
        <w:spacing w:after="0"/>
        <w:rPr>
          <w:sz w:val="20"/>
          <w:szCs w:val="20"/>
          <w:color w:val="auto"/>
        </w:rPr>
      </w:pPr>
      <w:r>
        <w:rPr>
          <w:rFonts w:ascii="Arial" w:cs="Arial" w:eastAsia="Arial" w:hAnsi="Arial"/>
          <w:sz w:val="14"/>
          <w:szCs w:val="14"/>
          <w:color w:val="auto"/>
        </w:rPr>
        <w:t>I, Xia Liu, certify that:</w:t>
      </w:r>
    </w:p>
    <w:p>
      <w:pPr>
        <w:spacing w:after="0" w:line="184" w:lineRule="exact"/>
        <w:rPr>
          <w:sz w:val="20"/>
          <w:szCs w:val="20"/>
          <w:color w:val="auto"/>
        </w:rPr>
      </w:pPr>
    </w:p>
    <w:p>
      <w:pPr>
        <w:ind w:left="1020" w:hanging="497"/>
        <w:spacing w:after="0"/>
        <w:tabs>
          <w:tab w:leader="none" w:pos="1020" w:val="left"/>
        </w:tabs>
        <w:numPr>
          <w:ilvl w:val="0"/>
          <w:numId w:val="112"/>
        </w:numPr>
        <w:rPr>
          <w:rFonts w:ascii="Arial" w:cs="Arial" w:eastAsia="Arial" w:hAnsi="Arial"/>
          <w:sz w:val="14"/>
          <w:szCs w:val="14"/>
          <w:color w:val="auto"/>
        </w:rPr>
      </w:pPr>
      <w:r>
        <w:rPr>
          <w:rFonts w:ascii="Arial" w:cs="Arial" w:eastAsia="Arial" w:hAnsi="Arial"/>
          <w:sz w:val="14"/>
          <w:szCs w:val="14"/>
          <w:color w:val="auto"/>
        </w:rPr>
        <w:t>I have reviewed this quarterly report on Form 10-Q of CenterPoint Energy Resources Corp.;</w:t>
      </w:r>
    </w:p>
    <w:p>
      <w:pPr>
        <w:spacing w:after="0" w:line="183" w:lineRule="exact"/>
        <w:rPr>
          <w:rFonts w:ascii="Arial" w:cs="Arial" w:eastAsia="Arial" w:hAnsi="Arial"/>
          <w:sz w:val="14"/>
          <w:szCs w:val="14"/>
          <w:color w:val="auto"/>
        </w:rPr>
      </w:pPr>
    </w:p>
    <w:p>
      <w:pPr>
        <w:ind w:right="240" w:firstLine="523"/>
        <w:spacing w:after="0" w:line="288" w:lineRule="auto"/>
        <w:tabs>
          <w:tab w:leader="none" w:pos="1020" w:val="left"/>
        </w:tabs>
        <w:numPr>
          <w:ilvl w:val="0"/>
          <w:numId w:val="112"/>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0" w:lineRule="exact"/>
        <w:rPr>
          <w:rFonts w:ascii="Arial" w:cs="Arial" w:eastAsia="Arial" w:hAnsi="Arial"/>
          <w:sz w:val="14"/>
          <w:szCs w:val="14"/>
          <w:color w:val="auto"/>
        </w:rPr>
      </w:pPr>
    </w:p>
    <w:p>
      <w:pPr>
        <w:ind w:right="340" w:firstLine="523"/>
        <w:spacing w:after="0" w:line="288" w:lineRule="auto"/>
        <w:tabs>
          <w:tab w:leader="none" w:pos="1020" w:val="left"/>
        </w:tabs>
        <w:numPr>
          <w:ilvl w:val="0"/>
          <w:numId w:val="112"/>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0" w:lineRule="exact"/>
        <w:rPr>
          <w:rFonts w:ascii="Arial" w:cs="Arial" w:eastAsia="Arial" w:hAnsi="Arial"/>
          <w:sz w:val="14"/>
          <w:szCs w:val="14"/>
          <w:color w:val="auto"/>
        </w:rPr>
      </w:pPr>
    </w:p>
    <w:p>
      <w:pPr>
        <w:ind w:left="1020" w:hanging="497"/>
        <w:spacing w:after="0"/>
        <w:tabs>
          <w:tab w:leader="none" w:pos="1020" w:val="left"/>
        </w:tabs>
        <w:numPr>
          <w:ilvl w:val="0"/>
          <w:numId w:val="112"/>
        </w:numPr>
        <w:rPr>
          <w:rFonts w:ascii="Arial" w:cs="Arial" w:eastAsia="Arial" w:hAnsi="Arial"/>
          <w:sz w:val="13"/>
          <w:szCs w:val="13"/>
          <w:color w:val="auto"/>
        </w:rPr>
      </w:pPr>
      <w:r>
        <w:rPr>
          <w:rFonts w:ascii="Arial" w:cs="Arial" w:eastAsia="Arial" w:hAnsi="Arial"/>
          <w:sz w:val="13"/>
          <w:szCs w:val="13"/>
          <w:color w:val="auto"/>
        </w:rPr>
        <w:t>The registrant's other certifying officer(s) and I are responsible for establishing and maintaining disclosure controls and procedures (as defined in Exchange Act Rules 13a-15(e) and</w:t>
      </w:r>
    </w:p>
    <w:p>
      <w:pPr>
        <w:spacing w:after="0" w:line="32"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4"/>
          <w:szCs w:val="14"/>
          <w:color w:val="auto"/>
        </w:rPr>
        <w:t>15d-15(e)) and internal control over financial reporting (as defined in Exchange Act Rules 13a-15(f) and 15d-15(f)) for the registrant and have:</w:t>
      </w:r>
    </w:p>
    <w:p>
      <w:pPr>
        <w:spacing w:after="0" w:line="174" w:lineRule="exact"/>
        <w:rPr>
          <w:sz w:val="20"/>
          <w:szCs w:val="20"/>
          <w:color w:val="auto"/>
        </w:rPr>
      </w:pPr>
    </w:p>
    <w:p>
      <w:pPr>
        <w:jc w:val="both"/>
        <w:ind w:left="1040" w:right="360" w:hanging="517"/>
        <w:spacing w:after="0" w:line="272" w:lineRule="auto"/>
        <w:tabs>
          <w:tab w:leader="none" w:pos="1040" w:val="left"/>
        </w:tabs>
        <w:numPr>
          <w:ilvl w:val="0"/>
          <w:numId w:val="113"/>
        </w:numPr>
        <w:rPr>
          <w:rFonts w:ascii="Arial" w:cs="Arial" w:eastAsia="Arial" w:hAnsi="Arial"/>
          <w:sz w:val="14"/>
          <w:szCs w:val="14"/>
          <w:color w:val="auto"/>
        </w:rPr>
      </w:pPr>
      <w:r>
        <w:rPr>
          <w:rFonts w:ascii="Arial" w:cs="Arial" w:eastAsia="Arial" w:hAnsi="Arial"/>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2" w:lineRule="exact"/>
        <w:rPr>
          <w:rFonts w:ascii="Arial" w:cs="Arial" w:eastAsia="Arial" w:hAnsi="Arial"/>
          <w:sz w:val="14"/>
          <w:szCs w:val="14"/>
          <w:color w:val="auto"/>
        </w:rPr>
      </w:pPr>
    </w:p>
    <w:p>
      <w:pPr>
        <w:jc w:val="both"/>
        <w:ind w:left="1040" w:right="580" w:hanging="517"/>
        <w:spacing w:after="0" w:line="272" w:lineRule="auto"/>
        <w:tabs>
          <w:tab w:leader="none" w:pos="1040" w:val="left"/>
        </w:tabs>
        <w:numPr>
          <w:ilvl w:val="0"/>
          <w:numId w:val="113"/>
        </w:numPr>
        <w:rPr>
          <w:rFonts w:ascii="Arial" w:cs="Arial" w:eastAsia="Arial" w:hAnsi="Arial"/>
          <w:sz w:val="14"/>
          <w:szCs w:val="14"/>
          <w:color w:val="auto"/>
        </w:rPr>
      </w:pPr>
      <w:r>
        <w:rPr>
          <w:rFonts w:ascii="Arial" w:cs="Arial" w:eastAsia="Arial" w:hAnsi="Arial"/>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2" w:lineRule="exact"/>
        <w:rPr>
          <w:rFonts w:ascii="Arial" w:cs="Arial" w:eastAsia="Arial" w:hAnsi="Arial"/>
          <w:sz w:val="14"/>
          <w:szCs w:val="14"/>
          <w:color w:val="auto"/>
        </w:rPr>
      </w:pPr>
    </w:p>
    <w:p>
      <w:pPr>
        <w:ind w:left="1040" w:right="180" w:hanging="517"/>
        <w:spacing w:after="0" w:line="288" w:lineRule="auto"/>
        <w:tabs>
          <w:tab w:leader="none" w:pos="1040" w:val="left"/>
        </w:tabs>
        <w:numPr>
          <w:ilvl w:val="0"/>
          <w:numId w:val="113"/>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0" w:lineRule="exact"/>
        <w:rPr>
          <w:rFonts w:ascii="Arial" w:cs="Arial" w:eastAsia="Arial" w:hAnsi="Arial"/>
          <w:sz w:val="14"/>
          <w:szCs w:val="14"/>
          <w:color w:val="auto"/>
        </w:rPr>
      </w:pPr>
    </w:p>
    <w:p>
      <w:pPr>
        <w:ind w:left="1040" w:right="200" w:hanging="517"/>
        <w:spacing w:after="0" w:line="328" w:lineRule="auto"/>
        <w:tabs>
          <w:tab w:leader="none" w:pos="1040" w:val="left"/>
        </w:tabs>
        <w:numPr>
          <w:ilvl w:val="0"/>
          <w:numId w:val="113"/>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9" w:lineRule="exact"/>
        <w:rPr>
          <w:sz w:val="20"/>
          <w:szCs w:val="20"/>
          <w:color w:val="auto"/>
        </w:rPr>
      </w:pPr>
    </w:p>
    <w:p>
      <w:pPr>
        <w:ind w:right="240" w:firstLine="523"/>
        <w:spacing w:after="0" w:line="288" w:lineRule="auto"/>
        <w:tabs>
          <w:tab w:leader="none" w:pos="1017" w:val="left"/>
        </w:tabs>
        <w:numPr>
          <w:ilvl w:val="0"/>
          <w:numId w:val="114"/>
        </w:numPr>
        <w:rPr>
          <w:rFonts w:ascii="Arial" w:cs="Arial" w:eastAsia="Arial" w:hAnsi="Arial"/>
          <w:sz w:val="14"/>
          <w:szCs w:val="14"/>
          <w:color w:val="auto"/>
        </w:rPr>
      </w:pPr>
      <w:r>
        <w:rPr>
          <w:rFonts w:ascii="Arial" w:cs="Arial" w:eastAsia="Arial" w:hAnsi="Arial"/>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1" w:lineRule="exact"/>
        <w:rPr>
          <w:sz w:val="20"/>
          <w:szCs w:val="20"/>
          <w:color w:val="auto"/>
        </w:rPr>
      </w:pPr>
    </w:p>
    <w:p>
      <w:pPr>
        <w:ind w:left="1040" w:right="520" w:hanging="517"/>
        <w:spacing w:after="0" w:line="288" w:lineRule="auto"/>
        <w:tabs>
          <w:tab w:leader="none" w:pos="1040" w:val="left"/>
        </w:tabs>
        <w:numPr>
          <w:ilvl w:val="0"/>
          <w:numId w:val="115"/>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0" w:lineRule="exact"/>
        <w:rPr>
          <w:rFonts w:ascii="Arial" w:cs="Arial" w:eastAsia="Arial" w:hAnsi="Arial"/>
          <w:sz w:val="14"/>
          <w:szCs w:val="14"/>
          <w:color w:val="auto"/>
        </w:rPr>
      </w:pPr>
    </w:p>
    <w:p>
      <w:pPr>
        <w:ind w:right="740" w:firstLine="523"/>
        <w:spacing w:after="0" w:line="545" w:lineRule="auto"/>
        <w:tabs>
          <w:tab w:leader="none" w:pos="1035" w:val="left"/>
        </w:tabs>
        <w:numPr>
          <w:ilvl w:val="0"/>
          <w:numId w:val="115"/>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 Date: November 7, 2019</w:t>
      </w:r>
    </w:p>
    <w:p>
      <w:pPr>
        <w:spacing w:after="0" w:line="88" w:lineRule="exact"/>
        <w:rPr>
          <w:sz w:val="20"/>
          <w:szCs w:val="20"/>
          <w:color w:val="auto"/>
        </w:rPr>
      </w:pPr>
    </w:p>
    <w:p>
      <w:pPr>
        <w:ind w:left="7900"/>
        <w:spacing w:after="0"/>
        <w:rPr>
          <w:sz w:val="20"/>
          <w:szCs w:val="20"/>
          <w:color w:val="auto"/>
        </w:rPr>
      </w:pPr>
      <w:r>
        <w:rPr>
          <w:rFonts w:ascii="Arial" w:cs="Arial" w:eastAsia="Arial" w:hAnsi="Arial"/>
          <w:sz w:val="14"/>
          <w:szCs w:val="14"/>
          <w:color w:val="auto"/>
        </w:rPr>
        <w:t>/s/ Xia Liu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4999355</wp:posOffset>
            </wp:positionH>
            <wp:positionV relativeFrom="paragraph">
              <wp:posOffset>27940</wp:posOffset>
            </wp:positionV>
            <wp:extent cx="2279015" cy="698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92">
                      <a:extLst>
                        <a:ext uri="{28A0092B-C50C-407E-A947-70E740481C1C}"/>
                      </a:extLst>
                    </a:blip>
                    <a:srcRect/>
                    <a:stretch>
                      <a:fillRect/>
                    </a:stretch>
                  </pic:blipFill>
                  <pic:spPr bwMode="auto">
                    <a:xfrm>
                      <a:off x="0" y="0"/>
                      <a:ext cx="2279015" cy="6985"/>
                    </a:xfrm>
                    <a:prstGeom prst="rect">
                      <a:avLst/>
                    </a:prstGeom>
                    <a:noFill/>
                  </pic:spPr>
                </pic:pic>
              </a:graphicData>
            </a:graphic>
          </wp:anchor>
        </w:drawing>
      </w:r>
    </w:p>
    <w:p>
      <w:pPr>
        <w:spacing w:after="0" w:line="45" w:lineRule="exact"/>
        <w:rPr>
          <w:sz w:val="20"/>
          <w:szCs w:val="20"/>
          <w:color w:val="auto"/>
        </w:rPr>
      </w:pPr>
    </w:p>
    <w:p>
      <w:pPr>
        <w:ind w:left="7900"/>
        <w:spacing w:after="0"/>
        <w:rPr>
          <w:sz w:val="20"/>
          <w:szCs w:val="20"/>
          <w:color w:val="auto"/>
        </w:rPr>
      </w:pPr>
      <w:r>
        <w:rPr>
          <w:rFonts w:ascii="Arial" w:cs="Arial" w:eastAsia="Arial" w:hAnsi="Arial"/>
          <w:sz w:val="14"/>
          <w:szCs w:val="14"/>
          <w:color w:val="auto"/>
        </w:rPr>
        <w:t>Xia Liu</w:t>
      </w:r>
    </w:p>
    <w:p>
      <w:pPr>
        <w:spacing w:after="0" w:line="55" w:lineRule="exact"/>
        <w:rPr>
          <w:sz w:val="20"/>
          <w:szCs w:val="20"/>
          <w:color w:val="auto"/>
        </w:rPr>
      </w:pPr>
    </w:p>
    <w:p>
      <w:pPr>
        <w:ind w:left="7900"/>
        <w:spacing w:after="0"/>
        <w:rPr>
          <w:sz w:val="20"/>
          <w:szCs w:val="20"/>
          <w:color w:val="auto"/>
        </w:rPr>
      </w:pPr>
      <w:r>
        <w:rPr>
          <w:rFonts w:ascii="Arial" w:cs="Arial" w:eastAsia="Arial" w:hAnsi="Arial"/>
          <w:sz w:val="14"/>
          <w:szCs w:val="14"/>
          <w:color w:val="auto"/>
        </w:rPr>
        <w:t>Executive Vice President and Chief Financial Officer</w:t>
      </w:r>
    </w:p>
    <w:p>
      <w:pPr>
        <w:sectPr>
          <w:pgSz w:w="11900" w:h="16838" w:orient="portrait"/>
          <w:cols w:equalWidth="0" w:num="1">
            <w:col w:w="11460"/>
          </w:cols>
          <w:pgMar w:left="220" w:top="495" w:right="219" w:bottom="1440" w:gutter="0" w:footer="0" w:header="0"/>
        </w:sectPr>
      </w:pPr>
    </w:p>
    <w:bookmarkStart w:id="158" w:name="page159"/>
    <w:bookmarkEnd w:id="158"/>
    <w:p>
      <w:pPr>
        <w:jc w:val="right"/>
        <w:spacing w:after="0"/>
        <w:rPr>
          <w:sz w:val="20"/>
          <w:szCs w:val="20"/>
          <w:color w:val="auto"/>
        </w:rPr>
      </w:pPr>
      <w:r>
        <w:rPr>
          <w:rFonts w:ascii="Arial" w:cs="Arial" w:eastAsia="Arial" w:hAnsi="Arial"/>
          <w:sz w:val="14"/>
          <w:szCs w:val="14"/>
          <w:color w:val="auto"/>
        </w:rPr>
        <w:t>Exhibit 32.1.1</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 U.S.C. SECTION 1350,</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AS ADOPTED PURSUANT TO SECTION 906</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OF THE SARBANES-OXLEY ACT OF 2002</w:t>
      </w:r>
    </w:p>
    <w:p>
      <w:pPr>
        <w:spacing w:after="0" w:line="174" w:lineRule="exact"/>
        <w:rPr>
          <w:sz w:val="20"/>
          <w:szCs w:val="20"/>
          <w:color w:val="auto"/>
        </w:rPr>
      </w:pPr>
    </w:p>
    <w:p>
      <w:pPr>
        <w:jc w:val="both"/>
        <w:spacing w:after="0" w:line="272" w:lineRule="auto"/>
        <w:rPr>
          <w:sz w:val="20"/>
          <w:szCs w:val="20"/>
          <w:color w:val="auto"/>
        </w:rPr>
      </w:pPr>
      <w:r>
        <w:rPr>
          <w:rFonts w:ascii="Arial" w:cs="Arial" w:eastAsia="Arial" w:hAnsi="Arial"/>
          <w:sz w:val="14"/>
          <w:szCs w:val="14"/>
          <w:color w:val="auto"/>
        </w:rPr>
        <w:t>In connection with the Quarterly Report of CenterPoint Energy, Inc. (the “Company”) on Form 10-Q for the quarter ended September 30, 2019 (the “Report”), as filed with the Securities and Exchange Commission on the date hereof, I, Scott M. Prochazka, Chief Executive Officer, certify, pursuant to 18 U.S.C. Section 1350, as adopted pursuant to Section 906 of the Sarbanes-Oxley Act of 2002, to the best of my knowledge, that:</w:t>
      </w:r>
    </w:p>
    <w:p>
      <w:pPr>
        <w:spacing w:after="0" w:line="164" w:lineRule="exact"/>
        <w:rPr>
          <w:sz w:val="20"/>
          <w:szCs w:val="20"/>
          <w:color w:val="auto"/>
        </w:rPr>
      </w:pPr>
    </w:p>
    <w:p>
      <w:pPr>
        <w:ind w:left="640" w:hanging="634"/>
        <w:spacing w:after="0"/>
        <w:tabs>
          <w:tab w:leader="none" w:pos="640" w:val="left"/>
        </w:tabs>
        <w:numPr>
          <w:ilvl w:val="0"/>
          <w:numId w:val="116"/>
        </w:numPr>
        <w:rPr>
          <w:rFonts w:ascii="Arial" w:cs="Arial" w:eastAsia="Arial" w:hAnsi="Arial"/>
          <w:sz w:val="14"/>
          <w:szCs w:val="14"/>
          <w:color w:val="auto"/>
        </w:rPr>
      </w:pPr>
      <w:r>
        <w:rPr>
          <w:rFonts w:ascii="Arial" w:cs="Arial" w:eastAsia="Arial" w:hAnsi="Arial"/>
          <w:sz w:val="14"/>
          <w:szCs w:val="14"/>
          <w:color w:val="auto"/>
        </w:rPr>
        <w:t>The Report fully complies with the requirements of section 13(a) or 15(d) of the Securities Exchange Act of 1934, as amended; and</w:t>
      </w:r>
    </w:p>
    <w:p>
      <w:pPr>
        <w:spacing w:after="0" w:line="216" w:lineRule="exact"/>
        <w:rPr>
          <w:rFonts w:ascii="Arial" w:cs="Arial" w:eastAsia="Arial" w:hAnsi="Arial"/>
          <w:sz w:val="14"/>
          <w:szCs w:val="14"/>
          <w:color w:val="auto"/>
        </w:rPr>
      </w:pPr>
    </w:p>
    <w:p>
      <w:pPr>
        <w:ind w:left="640" w:hanging="634"/>
        <w:spacing w:after="0"/>
        <w:tabs>
          <w:tab w:leader="none" w:pos="640" w:val="left"/>
        </w:tabs>
        <w:numPr>
          <w:ilvl w:val="0"/>
          <w:numId w:val="116"/>
        </w:numPr>
        <w:rPr>
          <w:rFonts w:ascii="Arial" w:cs="Arial" w:eastAsia="Arial" w:hAnsi="Arial"/>
          <w:sz w:val="14"/>
          <w:szCs w:val="14"/>
          <w:color w:val="auto"/>
        </w:rPr>
      </w:pPr>
      <w:r>
        <w:rPr>
          <w:rFonts w:ascii="Arial" w:cs="Arial" w:eastAsia="Arial" w:hAnsi="Arial"/>
          <w:sz w:val="14"/>
          <w:szCs w:val="14"/>
          <w:color w:val="auto"/>
        </w:rPr>
        <w:t>The information contained in the Report fairly presents, in all material respects, the financial condition and results of operations of the Company.</w:t>
      </w:r>
    </w:p>
    <w:p>
      <w:pPr>
        <w:spacing w:after="0" w:line="324" w:lineRule="exact"/>
        <w:rPr>
          <w:sz w:val="20"/>
          <w:szCs w:val="20"/>
          <w:color w:val="auto"/>
        </w:rPr>
      </w:pPr>
    </w:p>
    <w:p>
      <w:pPr>
        <w:ind w:left="20"/>
        <w:spacing w:after="0"/>
        <w:rPr>
          <w:sz w:val="20"/>
          <w:szCs w:val="20"/>
          <w:color w:val="auto"/>
        </w:rPr>
      </w:pPr>
      <w:r>
        <w:rPr>
          <w:rFonts w:ascii="Arial" w:cs="Arial" w:eastAsia="Arial" w:hAnsi="Arial"/>
          <w:sz w:val="14"/>
          <w:szCs w:val="14"/>
          <w:color w:val="auto"/>
        </w:rPr>
        <w:t>/s/ Scott M. Prochazka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27940</wp:posOffset>
            </wp:positionV>
            <wp:extent cx="3640455" cy="698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93">
                      <a:extLst>
                        <a:ext uri="{28A0092B-C50C-407E-A947-70E740481C1C}"/>
                      </a:extLst>
                    </a:blip>
                    <a:srcRect/>
                    <a:stretch>
                      <a:fillRect/>
                    </a:stretch>
                  </pic:blipFill>
                  <pic:spPr bwMode="auto">
                    <a:xfrm>
                      <a:off x="0" y="0"/>
                      <a:ext cx="3640455" cy="6985"/>
                    </a:xfrm>
                    <a:prstGeom prst="rect">
                      <a:avLst/>
                    </a:prstGeom>
                    <a:noFill/>
                  </pic:spPr>
                </pic:pic>
              </a:graphicData>
            </a:graphic>
          </wp:anchor>
        </w:drawing>
      </w:r>
    </w:p>
    <w:p>
      <w:pPr>
        <w:spacing w:after="0" w:line="45" w:lineRule="exact"/>
        <w:rPr>
          <w:sz w:val="20"/>
          <w:szCs w:val="20"/>
          <w:color w:val="auto"/>
        </w:rPr>
      </w:pPr>
    </w:p>
    <w:p>
      <w:pPr>
        <w:ind w:left="20"/>
        <w:spacing w:after="0"/>
        <w:rPr>
          <w:sz w:val="20"/>
          <w:szCs w:val="20"/>
          <w:color w:val="auto"/>
        </w:rPr>
      </w:pPr>
      <w:r>
        <w:rPr>
          <w:rFonts w:ascii="Arial" w:cs="Arial" w:eastAsia="Arial" w:hAnsi="Arial"/>
          <w:sz w:val="14"/>
          <w:szCs w:val="14"/>
          <w:color w:val="auto"/>
        </w:rPr>
        <w:t>Scott M. Prochazka</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President and Chief Executive Officer</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November 7, 2019</w:t>
      </w:r>
    </w:p>
    <w:p>
      <w:pPr>
        <w:sectPr>
          <w:pgSz w:w="11900" w:h="16838" w:orient="portrait"/>
          <w:cols w:equalWidth="0" w:num="1">
            <w:col w:w="11460"/>
          </w:cols>
          <w:pgMar w:left="220" w:top="495" w:right="219" w:bottom="1440" w:gutter="0" w:footer="0" w:header="0"/>
        </w:sectPr>
      </w:pPr>
    </w:p>
    <w:bookmarkStart w:id="159" w:name="page160"/>
    <w:bookmarkEnd w:id="159"/>
    <w:p>
      <w:pPr>
        <w:jc w:val="right"/>
        <w:spacing w:after="0"/>
        <w:rPr>
          <w:sz w:val="20"/>
          <w:szCs w:val="20"/>
          <w:color w:val="auto"/>
        </w:rPr>
      </w:pPr>
      <w:r>
        <w:rPr>
          <w:rFonts w:ascii="Arial" w:cs="Arial" w:eastAsia="Arial" w:hAnsi="Arial"/>
          <w:sz w:val="14"/>
          <w:szCs w:val="14"/>
          <w:color w:val="auto"/>
        </w:rPr>
        <w:t>Exhibit 32.1.2</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 U.S.C. SECTION 1350,</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AS ADOPTED PURSUANT TO SECTION 906</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OF THE SARBANES-OXLEY ACT OF 2002</w:t>
      </w:r>
    </w:p>
    <w:p>
      <w:pPr>
        <w:spacing w:after="0" w:line="347" w:lineRule="exact"/>
        <w:rPr>
          <w:sz w:val="20"/>
          <w:szCs w:val="20"/>
          <w:color w:val="auto"/>
        </w:rPr>
      </w:pPr>
    </w:p>
    <w:p>
      <w:pPr>
        <w:jc w:val="both"/>
        <w:spacing w:after="0" w:line="272" w:lineRule="auto"/>
        <w:rPr>
          <w:sz w:val="20"/>
          <w:szCs w:val="20"/>
          <w:color w:val="auto"/>
        </w:rPr>
      </w:pPr>
      <w:r>
        <w:rPr>
          <w:rFonts w:ascii="Arial" w:cs="Arial" w:eastAsia="Arial" w:hAnsi="Arial"/>
          <w:sz w:val="14"/>
          <w:szCs w:val="14"/>
          <w:color w:val="auto"/>
        </w:rPr>
        <w:t>In connection with the Quarterly Report of CenterPoint Energy Houston Electric, LLC (the “Company”) on Form 10-Q for the three months ended September 30, 2019 (the “Report”), as filed with the Securities and Exchange Commission on the date hereof, I, Scott M. Prochazka, Chairman (Principal Executive Officer), certify, pursuant to 18 U.S.C. Section 1350, as adopted pursuant to Section 906 of the Sarbanes-Oxley Act of 2002, to the best of my knowledge, that:</w:t>
      </w:r>
    </w:p>
    <w:p>
      <w:pPr>
        <w:spacing w:after="0" w:line="164" w:lineRule="exact"/>
        <w:rPr>
          <w:sz w:val="20"/>
          <w:szCs w:val="20"/>
          <w:color w:val="auto"/>
        </w:rPr>
      </w:pPr>
    </w:p>
    <w:p>
      <w:pPr>
        <w:ind w:left="640" w:hanging="634"/>
        <w:spacing w:after="0"/>
        <w:tabs>
          <w:tab w:leader="none" w:pos="640" w:val="left"/>
        </w:tabs>
        <w:numPr>
          <w:ilvl w:val="0"/>
          <w:numId w:val="117"/>
        </w:numPr>
        <w:rPr>
          <w:rFonts w:ascii="Arial" w:cs="Arial" w:eastAsia="Arial" w:hAnsi="Arial"/>
          <w:sz w:val="14"/>
          <w:szCs w:val="14"/>
          <w:color w:val="auto"/>
        </w:rPr>
      </w:pPr>
      <w:r>
        <w:rPr>
          <w:rFonts w:ascii="Arial" w:cs="Arial" w:eastAsia="Arial" w:hAnsi="Arial"/>
          <w:sz w:val="14"/>
          <w:szCs w:val="14"/>
          <w:color w:val="auto"/>
        </w:rPr>
        <w:t>The Report fully complies with the requirements of section 13(a) or 15(d) of the Securities Exchange Act of 1934, as amended; and</w:t>
      </w:r>
    </w:p>
    <w:p>
      <w:pPr>
        <w:spacing w:after="0" w:line="216" w:lineRule="exact"/>
        <w:rPr>
          <w:rFonts w:ascii="Arial" w:cs="Arial" w:eastAsia="Arial" w:hAnsi="Arial"/>
          <w:sz w:val="14"/>
          <w:szCs w:val="14"/>
          <w:color w:val="auto"/>
        </w:rPr>
      </w:pPr>
    </w:p>
    <w:p>
      <w:pPr>
        <w:ind w:left="640" w:hanging="634"/>
        <w:spacing w:after="0"/>
        <w:tabs>
          <w:tab w:leader="none" w:pos="640" w:val="left"/>
        </w:tabs>
        <w:numPr>
          <w:ilvl w:val="0"/>
          <w:numId w:val="117"/>
        </w:numPr>
        <w:rPr>
          <w:rFonts w:ascii="Arial" w:cs="Arial" w:eastAsia="Arial" w:hAnsi="Arial"/>
          <w:sz w:val="14"/>
          <w:szCs w:val="14"/>
          <w:color w:val="auto"/>
        </w:rPr>
      </w:pPr>
      <w:r>
        <w:rPr>
          <w:rFonts w:ascii="Arial" w:cs="Arial" w:eastAsia="Arial" w:hAnsi="Arial"/>
          <w:sz w:val="14"/>
          <w:szCs w:val="14"/>
          <w:color w:val="auto"/>
        </w:rPr>
        <w:t>The information contained in the Report fairly presents, in all material respects, the financial condition and results of operations of the Company.</w:t>
      </w:r>
    </w:p>
    <w:p>
      <w:pPr>
        <w:spacing w:after="0" w:line="324" w:lineRule="exact"/>
        <w:rPr>
          <w:sz w:val="20"/>
          <w:szCs w:val="20"/>
          <w:color w:val="auto"/>
        </w:rPr>
      </w:pPr>
    </w:p>
    <w:p>
      <w:pPr>
        <w:ind w:left="20"/>
        <w:spacing w:after="0"/>
        <w:rPr>
          <w:sz w:val="20"/>
          <w:szCs w:val="20"/>
          <w:color w:val="auto"/>
        </w:rPr>
      </w:pPr>
      <w:r>
        <w:rPr>
          <w:rFonts w:ascii="Arial" w:cs="Arial" w:eastAsia="Arial" w:hAnsi="Arial"/>
          <w:sz w:val="14"/>
          <w:szCs w:val="14"/>
          <w:color w:val="auto"/>
        </w:rPr>
        <w:t>/s/ Scott M. Prochazka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27940</wp:posOffset>
            </wp:positionV>
            <wp:extent cx="3640455" cy="698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94">
                      <a:extLst>
                        <a:ext uri="{28A0092B-C50C-407E-A947-70E740481C1C}"/>
                      </a:extLst>
                    </a:blip>
                    <a:srcRect/>
                    <a:stretch>
                      <a:fillRect/>
                    </a:stretch>
                  </pic:blipFill>
                  <pic:spPr bwMode="auto">
                    <a:xfrm>
                      <a:off x="0" y="0"/>
                      <a:ext cx="3640455" cy="6985"/>
                    </a:xfrm>
                    <a:prstGeom prst="rect">
                      <a:avLst/>
                    </a:prstGeom>
                    <a:noFill/>
                  </pic:spPr>
                </pic:pic>
              </a:graphicData>
            </a:graphic>
          </wp:anchor>
        </w:drawing>
      </w:r>
    </w:p>
    <w:p>
      <w:pPr>
        <w:spacing w:after="0" w:line="45" w:lineRule="exact"/>
        <w:rPr>
          <w:sz w:val="20"/>
          <w:szCs w:val="20"/>
          <w:color w:val="auto"/>
        </w:rPr>
      </w:pPr>
    </w:p>
    <w:p>
      <w:pPr>
        <w:ind w:left="20"/>
        <w:spacing w:after="0"/>
        <w:rPr>
          <w:sz w:val="20"/>
          <w:szCs w:val="20"/>
          <w:color w:val="auto"/>
        </w:rPr>
      </w:pPr>
      <w:r>
        <w:rPr>
          <w:rFonts w:ascii="Arial" w:cs="Arial" w:eastAsia="Arial" w:hAnsi="Arial"/>
          <w:sz w:val="14"/>
          <w:szCs w:val="14"/>
          <w:color w:val="auto"/>
        </w:rPr>
        <w:t>Scott M. Prochazka</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Chairman (Principal Executive Officer)</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November 7, 2019</w:t>
      </w:r>
    </w:p>
    <w:p>
      <w:pPr>
        <w:sectPr>
          <w:pgSz w:w="11900" w:h="16838" w:orient="portrait"/>
          <w:cols w:equalWidth="0" w:num="1">
            <w:col w:w="11460"/>
          </w:cols>
          <w:pgMar w:left="220" w:top="495" w:right="219" w:bottom="1440" w:gutter="0" w:footer="0" w:header="0"/>
        </w:sectPr>
      </w:pPr>
    </w:p>
    <w:bookmarkStart w:id="160" w:name="page161"/>
    <w:bookmarkEnd w:id="160"/>
    <w:p>
      <w:pPr>
        <w:jc w:val="right"/>
        <w:spacing w:after="0"/>
        <w:rPr>
          <w:sz w:val="20"/>
          <w:szCs w:val="20"/>
          <w:color w:val="auto"/>
        </w:rPr>
      </w:pPr>
      <w:r>
        <w:rPr>
          <w:rFonts w:ascii="Arial" w:cs="Arial" w:eastAsia="Arial" w:hAnsi="Arial"/>
          <w:sz w:val="14"/>
          <w:szCs w:val="14"/>
          <w:color w:val="auto"/>
        </w:rPr>
        <w:t>Exhibit 32.1.3</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 U.S.C. SECTION 1350,</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AS ADOPTED PURSUANT TO SECTION 906</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OF THE SARBANES-OXLEY ACT OF 2002</w:t>
      </w:r>
    </w:p>
    <w:p>
      <w:pPr>
        <w:spacing w:after="0" w:line="174" w:lineRule="exact"/>
        <w:rPr>
          <w:sz w:val="20"/>
          <w:szCs w:val="20"/>
          <w:color w:val="auto"/>
        </w:rPr>
      </w:pPr>
    </w:p>
    <w:p>
      <w:pPr>
        <w:ind w:right="340"/>
        <w:spacing w:after="0" w:line="272" w:lineRule="auto"/>
        <w:rPr>
          <w:sz w:val="20"/>
          <w:szCs w:val="20"/>
          <w:color w:val="auto"/>
        </w:rPr>
      </w:pPr>
      <w:r>
        <w:rPr>
          <w:rFonts w:ascii="Arial" w:cs="Arial" w:eastAsia="Arial" w:hAnsi="Arial"/>
          <w:sz w:val="14"/>
          <w:szCs w:val="14"/>
          <w:color w:val="auto"/>
        </w:rPr>
        <w:t>In connection with the Quarterly Report of CenterPoint Energy Resources Corp. (the “Company”) on Form 10-Q for the three months ended September 30, 2019 (the “Report”), as filed with the Securities and Exchange Commission on the date hereof, I, Scott M. Prochazka, Chief Executive Officer, certify, pursuant to 18 U.S.C. Section 1350, as adopted pursuant to Section 906 of the Sarbanes-Oxley Act of 2002, to the best of my knowledge, that:</w:t>
      </w:r>
    </w:p>
    <w:p>
      <w:pPr>
        <w:spacing w:after="0" w:line="142" w:lineRule="exact"/>
        <w:rPr>
          <w:sz w:val="20"/>
          <w:szCs w:val="20"/>
          <w:color w:val="auto"/>
        </w:rPr>
      </w:pPr>
    </w:p>
    <w:p>
      <w:pPr>
        <w:ind w:left="500" w:hanging="494"/>
        <w:spacing w:after="0"/>
        <w:tabs>
          <w:tab w:leader="none" w:pos="500" w:val="left"/>
        </w:tabs>
        <w:numPr>
          <w:ilvl w:val="0"/>
          <w:numId w:val="118"/>
        </w:numPr>
        <w:rPr>
          <w:rFonts w:ascii="Arial" w:cs="Arial" w:eastAsia="Arial" w:hAnsi="Arial"/>
          <w:sz w:val="14"/>
          <w:szCs w:val="14"/>
          <w:color w:val="auto"/>
        </w:rPr>
      </w:pPr>
      <w:r>
        <w:rPr>
          <w:rFonts w:ascii="Arial" w:cs="Arial" w:eastAsia="Arial" w:hAnsi="Arial"/>
          <w:sz w:val="14"/>
          <w:szCs w:val="14"/>
          <w:color w:val="auto"/>
        </w:rPr>
        <w:t>The Report fully complies with the requirements of section 13(a) or 15(d) of the Securities Exchange Act of 1934, as amended; and</w:t>
      </w:r>
    </w:p>
    <w:p>
      <w:pPr>
        <w:spacing w:after="0" w:line="183" w:lineRule="exact"/>
        <w:rPr>
          <w:rFonts w:ascii="Arial" w:cs="Arial" w:eastAsia="Arial" w:hAnsi="Arial"/>
          <w:sz w:val="14"/>
          <w:szCs w:val="14"/>
          <w:color w:val="auto"/>
        </w:rPr>
      </w:pPr>
    </w:p>
    <w:p>
      <w:pPr>
        <w:ind w:left="500" w:hanging="494"/>
        <w:spacing w:after="0"/>
        <w:tabs>
          <w:tab w:leader="none" w:pos="500" w:val="left"/>
        </w:tabs>
        <w:numPr>
          <w:ilvl w:val="0"/>
          <w:numId w:val="118"/>
        </w:numPr>
        <w:rPr>
          <w:rFonts w:ascii="Arial" w:cs="Arial" w:eastAsia="Arial" w:hAnsi="Arial"/>
          <w:sz w:val="14"/>
          <w:szCs w:val="14"/>
          <w:color w:val="auto"/>
        </w:rPr>
      </w:pPr>
      <w:r>
        <w:rPr>
          <w:rFonts w:ascii="Arial" w:cs="Arial" w:eastAsia="Arial" w:hAnsi="Arial"/>
          <w:sz w:val="14"/>
          <w:szCs w:val="14"/>
          <w:color w:val="auto"/>
        </w:rPr>
        <w:t>The information contained in the Report fairly presents, in all material respects, the financial condition and results of operations of the Company.</w:t>
      </w:r>
    </w:p>
    <w:p>
      <w:pPr>
        <w:spacing w:after="0" w:line="313" w:lineRule="exact"/>
        <w:rPr>
          <w:sz w:val="20"/>
          <w:szCs w:val="20"/>
          <w:color w:val="auto"/>
        </w:rPr>
      </w:pPr>
    </w:p>
    <w:p>
      <w:pPr>
        <w:ind w:left="20"/>
        <w:spacing w:after="0"/>
        <w:rPr>
          <w:sz w:val="20"/>
          <w:szCs w:val="20"/>
          <w:color w:val="auto"/>
        </w:rPr>
      </w:pPr>
      <w:r>
        <w:rPr>
          <w:rFonts w:ascii="Arial" w:cs="Arial" w:eastAsia="Arial" w:hAnsi="Arial"/>
          <w:sz w:val="14"/>
          <w:szCs w:val="14"/>
          <w:color w:val="auto"/>
        </w:rPr>
        <w:t>/s/ Scott M. Prochazka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27940</wp:posOffset>
            </wp:positionV>
            <wp:extent cx="3195955" cy="698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95">
                      <a:extLst>
                        <a:ext uri="{28A0092B-C50C-407E-A947-70E740481C1C}"/>
                      </a:extLst>
                    </a:blip>
                    <a:srcRect/>
                    <a:stretch>
                      <a:fillRect/>
                    </a:stretch>
                  </pic:blipFill>
                  <pic:spPr bwMode="auto">
                    <a:xfrm>
                      <a:off x="0" y="0"/>
                      <a:ext cx="3195955" cy="6985"/>
                    </a:xfrm>
                    <a:prstGeom prst="rect">
                      <a:avLst/>
                    </a:prstGeom>
                    <a:noFill/>
                  </pic:spPr>
                </pic:pic>
              </a:graphicData>
            </a:graphic>
          </wp:anchor>
        </w:drawing>
      </w:r>
    </w:p>
    <w:p>
      <w:pPr>
        <w:spacing w:after="0" w:line="45" w:lineRule="exact"/>
        <w:rPr>
          <w:sz w:val="20"/>
          <w:szCs w:val="20"/>
          <w:color w:val="auto"/>
        </w:rPr>
      </w:pPr>
    </w:p>
    <w:p>
      <w:pPr>
        <w:ind w:left="20"/>
        <w:spacing w:after="0"/>
        <w:rPr>
          <w:sz w:val="20"/>
          <w:szCs w:val="20"/>
          <w:color w:val="auto"/>
        </w:rPr>
      </w:pPr>
      <w:r>
        <w:rPr>
          <w:rFonts w:ascii="Arial" w:cs="Arial" w:eastAsia="Arial" w:hAnsi="Arial"/>
          <w:sz w:val="14"/>
          <w:szCs w:val="14"/>
          <w:color w:val="auto"/>
        </w:rPr>
        <w:t>Scott M. Prochazka</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President and Chief Executive Officer</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November 7, 2019</w:t>
      </w:r>
    </w:p>
    <w:p>
      <w:pPr>
        <w:sectPr>
          <w:pgSz w:w="11900" w:h="16838" w:orient="portrait"/>
          <w:cols w:equalWidth="0" w:num="1">
            <w:col w:w="11460"/>
          </w:cols>
          <w:pgMar w:left="220" w:top="495" w:right="219" w:bottom="1440" w:gutter="0" w:footer="0" w:header="0"/>
        </w:sectPr>
      </w:pPr>
    </w:p>
    <w:bookmarkStart w:id="161" w:name="page162"/>
    <w:bookmarkEnd w:id="161"/>
    <w:p>
      <w:pPr>
        <w:jc w:val="right"/>
        <w:spacing w:after="0"/>
        <w:rPr>
          <w:sz w:val="20"/>
          <w:szCs w:val="20"/>
          <w:color w:val="auto"/>
        </w:rPr>
      </w:pPr>
      <w:r>
        <w:rPr>
          <w:rFonts w:ascii="Arial" w:cs="Arial" w:eastAsia="Arial" w:hAnsi="Arial"/>
          <w:sz w:val="14"/>
          <w:szCs w:val="14"/>
          <w:color w:val="auto"/>
        </w:rPr>
        <w:t>Exhibit 32.2.1</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 U.S.C. SECTION 1350,</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AS ADOPTED PURSUANT TO SECTION 906</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OF THE SARBANES-OXLEY ACT OF 2002</w:t>
      </w:r>
    </w:p>
    <w:p>
      <w:pPr>
        <w:spacing w:after="0" w:line="174" w:lineRule="exact"/>
        <w:rPr>
          <w:sz w:val="20"/>
          <w:szCs w:val="20"/>
          <w:color w:val="auto"/>
        </w:rPr>
      </w:pPr>
    </w:p>
    <w:p>
      <w:pPr>
        <w:jc w:val="both"/>
        <w:spacing w:after="0" w:line="272" w:lineRule="auto"/>
        <w:rPr>
          <w:sz w:val="20"/>
          <w:szCs w:val="20"/>
          <w:color w:val="auto"/>
        </w:rPr>
      </w:pPr>
      <w:r>
        <w:rPr>
          <w:rFonts w:ascii="Arial" w:cs="Arial" w:eastAsia="Arial" w:hAnsi="Arial"/>
          <w:sz w:val="14"/>
          <w:szCs w:val="14"/>
          <w:color w:val="auto"/>
        </w:rPr>
        <w:t>In connection with the Quarterly Report of CenterPoint Energy, Inc. (the “Company”) on Form 10-Q for the quarter ended September 30, 2019 (the “Report”), as filed with the Securities and Exchange Commission on the date hereof, I, Xia Liu, Chief Financial Officer, certify, pursuant to 18 U.S.C. Section 1350, as adopted pursuant to Section 906 of the Sarbanes-Oxley Act of 2002, to the best of my knowledge, that:</w:t>
      </w:r>
    </w:p>
    <w:p>
      <w:pPr>
        <w:spacing w:after="0" w:line="164" w:lineRule="exact"/>
        <w:rPr>
          <w:sz w:val="20"/>
          <w:szCs w:val="20"/>
          <w:color w:val="auto"/>
        </w:rPr>
      </w:pPr>
    </w:p>
    <w:p>
      <w:pPr>
        <w:ind w:left="640" w:hanging="634"/>
        <w:spacing w:after="0"/>
        <w:tabs>
          <w:tab w:leader="none" w:pos="640" w:val="left"/>
        </w:tabs>
        <w:numPr>
          <w:ilvl w:val="0"/>
          <w:numId w:val="119"/>
        </w:numPr>
        <w:rPr>
          <w:rFonts w:ascii="Arial" w:cs="Arial" w:eastAsia="Arial" w:hAnsi="Arial"/>
          <w:sz w:val="14"/>
          <w:szCs w:val="14"/>
          <w:color w:val="auto"/>
        </w:rPr>
      </w:pPr>
      <w:r>
        <w:rPr>
          <w:rFonts w:ascii="Arial" w:cs="Arial" w:eastAsia="Arial" w:hAnsi="Arial"/>
          <w:sz w:val="14"/>
          <w:szCs w:val="14"/>
          <w:color w:val="auto"/>
        </w:rPr>
        <w:t>The Report fully complies with the requirements of section 13(a) or 15(d) of the Securities Exchange Act of 1934, as amended; and</w:t>
      </w:r>
    </w:p>
    <w:p>
      <w:pPr>
        <w:spacing w:after="0" w:line="216" w:lineRule="exact"/>
        <w:rPr>
          <w:rFonts w:ascii="Arial" w:cs="Arial" w:eastAsia="Arial" w:hAnsi="Arial"/>
          <w:sz w:val="14"/>
          <w:szCs w:val="14"/>
          <w:color w:val="auto"/>
        </w:rPr>
      </w:pPr>
    </w:p>
    <w:p>
      <w:pPr>
        <w:ind w:left="640" w:hanging="634"/>
        <w:spacing w:after="0"/>
        <w:tabs>
          <w:tab w:leader="none" w:pos="640" w:val="left"/>
        </w:tabs>
        <w:numPr>
          <w:ilvl w:val="0"/>
          <w:numId w:val="119"/>
        </w:numPr>
        <w:rPr>
          <w:rFonts w:ascii="Arial" w:cs="Arial" w:eastAsia="Arial" w:hAnsi="Arial"/>
          <w:sz w:val="14"/>
          <w:szCs w:val="14"/>
          <w:color w:val="auto"/>
        </w:rPr>
      </w:pPr>
      <w:r>
        <w:rPr>
          <w:rFonts w:ascii="Arial" w:cs="Arial" w:eastAsia="Arial" w:hAnsi="Arial"/>
          <w:sz w:val="14"/>
          <w:szCs w:val="14"/>
          <w:color w:val="auto"/>
        </w:rPr>
        <w:t>The information contained in the Report fairly presents, in all material respects, the financial condition and results of operations of the Company.</w:t>
      </w:r>
    </w:p>
    <w:p>
      <w:pPr>
        <w:spacing w:after="0" w:line="324" w:lineRule="exact"/>
        <w:rPr>
          <w:sz w:val="20"/>
          <w:szCs w:val="20"/>
          <w:color w:val="auto"/>
        </w:rPr>
      </w:pPr>
    </w:p>
    <w:p>
      <w:pPr>
        <w:ind w:left="20"/>
        <w:spacing w:after="0"/>
        <w:rPr>
          <w:sz w:val="20"/>
          <w:szCs w:val="20"/>
          <w:color w:val="auto"/>
        </w:rPr>
      </w:pPr>
      <w:r>
        <w:rPr>
          <w:rFonts w:ascii="Arial" w:cs="Arial" w:eastAsia="Arial" w:hAnsi="Arial"/>
          <w:sz w:val="14"/>
          <w:szCs w:val="14"/>
          <w:color w:val="auto"/>
        </w:rPr>
        <w:t>/s/ Xia Liu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27940</wp:posOffset>
            </wp:positionV>
            <wp:extent cx="3640455" cy="698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96">
                      <a:extLst>
                        <a:ext uri="{28A0092B-C50C-407E-A947-70E740481C1C}"/>
                      </a:extLst>
                    </a:blip>
                    <a:srcRect/>
                    <a:stretch>
                      <a:fillRect/>
                    </a:stretch>
                  </pic:blipFill>
                  <pic:spPr bwMode="auto">
                    <a:xfrm>
                      <a:off x="0" y="0"/>
                      <a:ext cx="3640455" cy="6985"/>
                    </a:xfrm>
                    <a:prstGeom prst="rect">
                      <a:avLst/>
                    </a:prstGeom>
                    <a:noFill/>
                  </pic:spPr>
                </pic:pic>
              </a:graphicData>
            </a:graphic>
          </wp:anchor>
        </w:drawing>
      </w:r>
    </w:p>
    <w:p>
      <w:pPr>
        <w:spacing w:after="0" w:line="45" w:lineRule="exact"/>
        <w:rPr>
          <w:sz w:val="20"/>
          <w:szCs w:val="20"/>
          <w:color w:val="auto"/>
        </w:rPr>
      </w:pPr>
    </w:p>
    <w:p>
      <w:pPr>
        <w:ind w:left="20"/>
        <w:spacing w:after="0"/>
        <w:rPr>
          <w:sz w:val="20"/>
          <w:szCs w:val="20"/>
          <w:color w:val="auto"/>
        </w:rPr>
      </w:pPr>
      <w:r>
        <w:rPr>
          <w:rFonts w:ascii="Arial" w:cs="Arial" w:eastAsia="Arial" w:hAnsi="Arial"/>
          <w:sz w:val="14"/>
          <w:szCs w:val="14"/>
          <w:color w:val="auto"/>
        </w:rPr>
        <w:t>Xia Liu</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Executive Vice President and Chief Financial Officer</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November 7, 2019</w:t>
      </w:r>
    </w:p>
    <w:p>
      <w:pPr>
        <w:sectPr>
          <w:pgSz w:w="11900" w:h="16838" w:orient="portrait"/>
          <w:cols w:equalWidth="0" w:num="1">
            <w:col w:w="11460"/>
          </w:cols>
          <w:pgMar w:left="220" w:top="495" w:right="219" w:bottom="1440" w:gutter="0" w:footer="0" w:header="0"/>
        </w:sectPr>
      </w:pPr>
    </w:p>
    <w:bookmarkStart w:id="162" w:name="page163"/>
    <w:bookmarkEnd w:id="162"/>
    <w:p>
      <w:pPr>
        <w:jc w:val="right"/>
        <w:spacing w:after="0"/>
        <w:rPr>
          <w:sz w:val="20"/>
          <w:szCs w:val="20"/>
          <w:color w:val="auto"/>
        </w:rPr>
      </w:pPr>
      <w:r>
        <w:rPr>
          <w:rFonts w:ascii="Arial" w:cs="Arial" w:eastAsia="Arial" w:hAnsi="Arial"/>
          <w:sz w:val="14"/>
          <w:szCs w:val="14"/>
          <w:color w:val="auto"/>
        </w:rPr>
        <w:t>Exhibit 32.2.2</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 U.S.C. SECTION 1350,</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AS ADOPTED PURSUANT TO SECTION 906</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OF THE SARBANES-OXLEY ACT OF 2002</w:t>
      </w:r>
    </w:p>
    <w:p>
      <w:pPr>
        <w:spacing w:after="0" w:line="347" w:lineRule="exact"/>
        <w:rPr>
          <w:sz w:val="20"/>
          <w:szCs w:val="20"/>
          <w:color w:val="auto"/>
        </w:rPr>
      </w:pPr>
    </w:p>
    <w:p>
      <w:pPr>
        <w:jc w:val="both"/>
        <w:spacing w:after="0" w:line="272" w:lineRule="auto"/>
        <w:rPr>
          <w:sz w:val="20"/>
          <w:szCs w:val="20"/>
          <w:color w:val="auto"/>
        </w:rPr>
      </w:pPr>
      <w:r>
        <w:rPr>
          <w:rFonts w:ascii="Arial" w:cs="Arial" w:eastAsia="Arial" w:hAnsi="Arial"/>
          <w:sz w:val="14"/>
          <w:szCs w:val="14"/>
          <w:color w:val="auto"/>
        </w:rPr>
        <w:t>In connection with the Quarterly Report of CenterPoint Energy Houston Electric, LLC (the “Company”) on Form 10-Q for the three months ended September 30, 2019 (the “Report”), as filed with the Securities and Exchange Commission on the date hereof, I, Xia Liu, Chief Financial Officer, certify, pursuant to 18 U.S.C. Section 1350, as adopted pursuant to Section 906 of the Sarbanes-Oxley Act of 2002, to the best of my knowledge, that:</w:t>
      </w:r>
    </w:p>
    <w:p>
      <w:pPr>
        <w:spacing w:after="0" w:line="164" w:lineRule="exact"/>
        <w:rPr>
          <w:sz w:val="20"/>
          <w:szCs w:val="20"/>
          <w:color w:val="auto"/>
        </w:rPr>
      </w:pPr>
    </w:p>
    <w:p>
      <w:pPr>
        <w:ind w:left="640" w:hanging="634"/>
        <w:spacing w:after="0"/>
        <w:tabs>
          <w:tab w:leader="none" w:pos="640" w:val="left"/>
        </w:tabs>
        <w:numPr>
          <w:ilvl w:val="0"/>
          <w:numId w:val="120"/>
        </w:numPr>
        <w:rPr>
          <w:rFonts w:ascii="Arial" w:cs="Arial" w:eastAsia="Arial" w:hAnsi="Arial"/>
          <w:sz w:val="14"/>
          <w:szCs w:val="14"/>
          <w:color w:val="auto"/>
        </w:rPr>
      </w:pPr>
      <w:r>
        <w:rPr>
          <w:rFonts w:ascii="Arial" w:cs="Arial" w:eastAsia="Arial" w:hAnsi="Arial"/>
          <w:sz w:val="14"/>
          <w:szCs w:val="14"/>
          <w:color w:val="auto"/>
        </w:rPr>
        <w:t>The Report fully complies with the requirements of section 13(a) or 15(d) of the Securities Exchange Act of 1934, as amended; and</w:t>
      </w:r>
    </w:p>
    <w:p>
      <w:pPr>
        <w:spacing w:after="0" w:line="216" w:lineRule="exact"/>
        <w:rPr>
          <w:rFonts w:ascii="Arial" w:cs="Arial" w:eastAsia="Arial" w:hAnsi="Arial"/>
          <w:sz w:val="14"/>
          <w:szCs w:val="14"/>
          <w:color w:val="auto"/>
        </w:rPr>
      </w:pPr>
    </w:p>
    <w:p>
      <w:pPr>
        <w:ind w:left="640" w:hanging="634"/>
        <w:spacing w:after="0"/>
        <w:tabs>
          <w:tab w:leader="none" w:pos="640" w:val="left"/>
        </w:tabs>
        <w:numPr>
          <w:ilvl w:val="0"/>
          <w:numId w:val="120"/>
        </w:numPr>
        <w:rPr>
          <w:rFonts w:ascii="Arial" w:cs="Arial" w:eastAsia="Arial" w:hAnsi="Arial"/>
          <w:sz w:val="14"/>
          <w:szCs w:val="14"/>
          <w:color w:val="auto"/>
        </w:rPr>
      </w:pPr>
      <w:r>
        <w:rPr>
          <w:rFonts w:ascii="Arial" w:cs="Arial" w:eastAsia="Arial" w:hAnsi="Arial"/>
          <w:sz w:val="14"/>
          <w:szCs w:val="14"/>
          <w:color w:val="auto"/>
        </w:rPr>
        <w:t>The information contained in the Report fairly presents, in all material respects, the financial condition and results of operations of the Company.</w:t>
      </w:r>
    </w:p>
    <w:p>
      <w:pPr>
        <w:spacing w:after="0" w:line="324" w:lineRule="exact"/>
        <w:rPr>
          <w:sz w:val="20"/>
          <w:szCs w:val="20"/>
          <w:color w:val="auto"/>
        </w:rPr>
      </w:pPr>
    </w:p>
    <w:p>
      <w:pPr>
        <w:ind w:left="20"/>
        <w:spacing w:after="0"/>
        <w:rPr>
          <w:sz w:val="20"/>
          <w:szCs w:val="20"/>
          <w:color w:val="auto"/>
        </w:rPr>
      </w:pPr>
      <w:r>
        <w:rPr>
          <w:rFonts w:ascii="Arial" w:cs="Arial" w:eastAsia="Arial" w:hAnsi="Arial"/>
          <w:sz w:val="14"/>
          <w:szCs w:val="14"/>
          <w:color w:val="auto"/>
        </w:rPr>
        <w:t>/s/ Xia Liu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27940</wp:posOffset>
            </wp:positionV>
            <wp:extent cx="3640455" cy="698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97">
                      <a:extLst>
                        <a:ext uri="{28A0092B-C50C-407E-A947-70E740481C1C}"/>
                      </a:extLst>
                    </a:blip>
                    <a:srcRect/>
                    <a:stretch>
                      <a:fillRect/>
                    </a:stretch>
                  </pic:blipFill>
                  <pic:spPr bwMode="auto">
                    <a:xfrm>
                      <a:off x="0" y="0"/>
                      <a:ext cx="3640455" cy="6985"/>
                    </a:xfrm>
                    <a:prstGeom prst="rect">
                      <a:avLst/>
                    </a:prstGeom>
                    <a:noFill/>
                  </pic:spPr>
                </pic:pic>
              </a:graphicData>
            </a:graphic>
          </wp:anchor>
        </w:drawing>
      </w:r>
    </w:p>
    <w:p>
      <w:pPr>
        <w:spacing w:after="0" w:line="45" w:lineRule="exact"/>
        <w:rPr>
          <w:sz w:val="20"/>
          <w:szCs w:val="20"/>
          <w:color w:val="auto"/>
        </w:rPr>
      </w:pPr>
    </w:p>
    <w:p>
      <w:pPr>
        <w:ind w:left="20"/>
        <w:spacing w:after="0"/>
        <w:rPr>
          <w:sz w:val="20"/>
          <w:szCs w:val="20"/>
          <w:color w:val="auto"/>
        </w:rPr>
      </w:pPr>
      <w:r>
        <w:rPr>
          <w:rFonts w:ascii="Arial" w:cs="Arial" w:eastAsia="Arial" w:hAnsi="Arial"/>
          <w:sz w:val="14"/>
          <w:szCs w:val="14"/>
          <w:color w:val="auto"/>
        </w:rPr>
        <w:t>Xia Liu</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Executive Vice President and Chief Financial Officer</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November 7, 2019</w:t>
      </w:r>
    </w:p>
    <w:p>
      <w:pPr>
        <w:sectPr>
          <w:pgSz w:w="11900" w:h="16838" w:orient="portrait"/>
          <w:cols w:equalWidth="0" w:num="1">
            <w:col w:w="11460"/>
          </w:cols>
          <w:pgMar w:left="220" w:top="495" w:right="219" w:bottom="1440" w:gutter="0" w:footer="0" w:header="0"/>
        </w:sectPr>
      </w:pPr>
    </w:p>
    <w:bookmarkStart w:id="163" w:name="page164"/>
    <w:bookmarkEnd w:id="163"/>
    <w:p>
      <w:pPr>
        <w:jc w:val="right"/>
        <w:spacing w:after="0"/>
        <w:rPr>
          <w:sz w:val="20"/>
          <w:szCs w:val="20"/>
          <w:color w:val="auto"/>
        </w:rPr>
      </w:pPr>
      <w:r>
        <w:rPr>
          <w:rFonts w:ascii="Arial" w:cs="Arial" w:eastAsia="Arial" w:hAnsi="Arial"/>
          <w:sz w:val="14"/>
          <w:szCs w:val="14"/>
          <w:color w:val="auto"/>
        </w:rPr>
        <w:t>Exhibit 32.2.3</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 U.S.C. SECTION 1350,</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AS ADOPTED PURSUANT TO SECTION 906</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OF THE SARBANES-OXLEY ACT OF 2002</w:t>
      </w:r>
    </w:p>
    <w:p>
      <w:pPr>
        <w:spacing w:after="0" w:line="174" w:lineRule="exact"/>
        <w:rPr>
          <w:sz w:val="20"/>
          <w:szCs w:val="20"/>
          <w:color w:val="auto"/>
        </w:rPr>
      </w:pPr>
    </w:p>
    <w:p>
      <w:pPr>
        <w:ind w:right="240"/>
        <w:spacing w:after="0" w:line="272" w:lineRule="auto"/>
        <w:rPr>
          <w:sz w:val="20"/>
          <w:szCs w:val="20"/>
          <w:color w:val="auto"/>
        </w:rPr>
      </w:pPr>
      <w:r>
        <w:rPr>
          <w:rFonts w:ascii="Arial" w:cs="Arial" w:eastAsia="Arial" w:hAnsi="Arial"/>
          <w:sz w:val="14"/>
          <w:szCs w:val="14"/>
          <w:color w:val="auto"/>
        </w:rPr>
        <w:t>In connection with the Quarterly Report of CenterPoint Energy Resources Corp. (the “Company”) on Form 10-Q for the three months ended September 30, 2019 (the “Report”), as filed with the Securities and Exchange Commission on the date hereof, I, Xia Liu, Chief Financial Officer, certify, pursuant to 18 U.S.C. Section 1350, as adopted pursuant to Section 906 of the Sarbanes-Oxley Act of 2002, to the best of my knowledge, that:</w:t>
      </w:r>
    </w:p>
    <w:p>
      <w:pPr>
        <w:spacing w:after="0" w:line="142" w:lineRule="exact"/>
        <w:rPr>
          <w:sz w:val="20"/>
          <w:szCs w:val="20"/>
          <w:color w:val="auto"/>
        </w:rPr>
      </w:pPr>
    </w:p>
    <w:p>
      <w:pPr>
        <w:ind w:left="500" w:hanging="494"/>
        <w:spacing w:after="0"/>
        <w:tabs>
          <w:tab w:leader="none" w:pos="500" w:val="left"/>
        </w:tabs>
        <w:numPr>
          <w:ilvl w:val="0"/>
          <w:numId w:val="121"/>
        </w:numPr>
        <w:rPr>
          <w:rFonts w:ascii="Arial" w:cs="Arial" w:eastAsia="Arial" w:hAnsi="Arial"/>
          <w:sz w:val="14"/>
          <w:szCs w:val="14"/>
          <w:color w:val="auto"/>
        </w:rPr>
      </w:pPr>
      <w:r>
        <w:rPr>
          <w:rFonts w:ascii="Arial" w:cs="Arial" w:eastAsia="Arial" w:hAnsi="Arial"/>
          <w:sz w:val="14"/>
          <w:szCs w:val="14"/>
          <w:color w:val="auto"/>
        </w:rPr>
        <w:t>The Report fully complies with the requirements of section 13(a) or 15(d) of the Securities Exchange Act of 1934, as amended; and</w:t>
      </w:r>
    </w:p>
    <w:p>
      <w:pPr>
        <w:spacing w:after="0" w:line="183" w:lineRule="exact"/>
        <w:rPr>
          <w:rFonts w:ascii="Arial" w:cs="Arial" w:eastAsia="Arial" w:hAnsi="Arial"/>
          <w:sz w:val="14"/>
          <w:szCs w:val="14"/>
          <w:color w:val="auto"/>
        </w:rPr>
      </w:pPr>
    </w:p>
    <w:p>
      <w:pPr>
        <w:ind w:left="500" w:hanging="494"/>
        <w:spacing w:after="0"/>
        <w:tabs>
          <w:tab w:leader="none" w:pos="500" w:val="left"/>
        </w:tabs>
        <w:numPr>
          <w:ilvl w:val="0"/>
          <w:numId w:val="121"/>
        </w:numPr>
        <w:rPr>
          <w:rFonts w:ascii="Arial" w:cs="Arial" w:eastAsia="Arial" w:hAnsi="Arial"/>
          <w:sz w:val="14"/>
          <w:szCs w:val="14"/>
          <w:color w:val="auto"/>
        </w:rPr>
      </w:pPr>
      <w:r>
        <w:rPr>
          <w:rFonts w:ascii="Arial" w:cs="Arial" w:eastAsia="Arial" w:hAnsi="Arial"/>
          <w:sz w:val="14"/>
          <w:szCs w:val="14"/>
          <w:color w:val="auto"/>
        </w:rPr>
        <w:t>The information contained in the Report fairly presents, in all material respects, the financial condition and results of operations of the Company.</w:t>
      </w:r>
    </w:p>
    <w:p>
      <w:pPr>
        <w:spacing w:after="0" w:line="313" w:lineRule="exact"/>
        <w:rPr>
          <w:sz w:val="20"/>
          <w:szCs w:val="20"/>
          <w:color w:val="auto"/>
        </w:rPr>
      </w:pPr>
    </w:p>
    <w:p>
      <w:pPr>
        <w:ind w:left="20"/>
        <w:spacing w:after="0"/>
        <w:rPr>
          <w:sz w:val="20"/>
          <w:szCs w:val="20"/>
          <w:color w:val="auto"/>
        </w:rPr>
      </w:pPr>
      <w:r>
        <w:rPr>
          <w:rFonts w:ascii="Arial" w:cs="Arial" w:eastAsia="Arial" w:hAnsi="Arial"/>
          <w:sz w:val="14"/>
          <w:szCs w:val="14"/>
          <w:color w:val="auto"/>
        </w:rPr>
        <w:t>/s/ Xia Liu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27940</wp:posOffset>
            </wp:positionV>
            <wp:extent cx="3195955" cy="698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98">
                      <a:extLst>
                        <a:ext uri="{28A0092B-C50C-407E-A947-70E740481C1C}"/>
                      </a:extLst>
                    </a:blip>
                    <a:srcRect/>
                    <a:stretch>
                      <a:fillRect/>
                    </a:stretch>
                  </pic:blipFill>
                  <pic:spPr bwMode="auto">
                    <a:xfrm>
                      <a:off x="0" y="0"/>
                      <a:ext cx="3195955" cy="6985"/>
                    </a:xfrm>
                    <a:prstGeom prst="rect">
                      <a:avLst/>
                    </a:prstGeom>
                    <a:noFill/>
                  </pic:spPr>
                </pic:pic>
              </a:graphicData>
            </a:graphic>
          </wp:anchor>
        </w:drawing>
      </w:r>
    </w:p>
    <w:p>
      <w:pPr>
        <w:spacing w:after="0" w:line="45" w:lineRule="exact"/>
        <w:rPr>
          <w:sz w:val="20"/>
          <w:szCs w:val="20"/>
          <w:color w:val="auto"/>
        </w:rPr>
      </w:pPr>
    </w:p>
    <w:p>
      <w:pPr>
        <w:ind w:left="20"/>
        <w:spacing w:after="0"/>
        <w:rPr>
          <w:sz w:val="20"/>
          <w:szCs w:val="20"/>
          <w:color w:val="auto"/>
        </w:rPr>
      </w:pPr>
      <w:r>
        <w:rPr>
          <w:rFonts w:ascii="Arial" w:cs="Arial" w:eastAsia="Arial" w:hAnsi="Arial"/>
          <w:sz w:val="14"/>
          <w:szCs w:val="14"/>
          <w:color w:val="auto"/>
        </w:rPr>
        <w:t>Xia Liu</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Executive Vice President and Chief Financial Officer</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November 7, 2019</w:t>
      </w:r>
    </w:p>
    <w:sectPr>
      <w:pgSz w:w="11900" w:h="16838" w:orient="portrait"/>
      <w:cols w:equalWidth="0" w:num="1">
        <w:col w:w="11460"/>
      </w:cols>
      <w:pgMar w:left="220" w:top="668"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233C99"/>
    <w:multiLevelType w:val="hybridMultilevel"/>
    <w:lvl w:ilvl="0">
      <w:lvlJc w:val="left"/>
      <w:lvlText w:val="☑"/>
      <w:numFmt w:val="bullet"/>
      <w:start w:val="1"/>
    </w:lvl>
  </w:abstractNum>
  <w:abstractNum w:abstractNumId="1">
    <w:nsid w:val="3F6AB60F"/>
    <w:multiLevelType w:val="hybridMultilevel"/>
    <w:lvl w:ilvl="0">
      <w:lvlJc w:val="left"/>
      <w:lvlText w:val="☐"/>
      <w:numFmt w:val="bullet"/>
      <w:start w:val="1"/>
    </w:lvl>
  </w:abstractNum>
  <w:abstractNum w:abstractNumId="2">
    <w:nsid w:val="61574095"/>
    <w:multiLevelType w:val="hybridMultilevel"/>
    <w:lvl w:ilvl="0">
      <w:lvlJc w:val="left"/>
      <w:lvlText w:val="•"/>
      <w:numFmt w:val="bullet"/>
      <w:start w:val="1"/>
    </w:lvl>
    <w:lvl w:ilvl="1">
      <w:lvlJc w:val="left"/>
      <w:lvlText w:val="◦"/>
      <w:numFmt w:val="bullet"/>
      <w:start w:val="1"/>
    </w:lvl>
  </w:abstractNum>
  <w:abstractNum w:abstractNumId="3">
    <w:nsid w:val="7E0C57B1"/>
    <w:multiLevelType w:val="hybridMultilevel"/>
    <w:lvl w:ilvl="0">
      <w:lvlJc w:val="left"/>
      <w:lvlText w:val="•"/>
      <w:numFmt w:val="bullet"/>
      <w:start w:val="1"/>
    </w:lvl>
  </w:abstractNum>
  <w:abstractNum w:abstractNumId="4">
    <w:nsid w:val="77AE35EB"/>
    <w:multiLevelType w:val="hybridMultilevel"/>
    <w:lvl w:ilvl="0">
      <w:lvlJc w:val="left"/>
      <w:lvlText w:val="•"/>
      <w:numFmt w:val="bullet"/>
      <w:start w:val="1"/>
    </w:lvl>
  </w:abstractNum>
  <w:abstractNum w:abstractNumId="5">
    <w:nsid w:val="579BE4F1"/>
    <w:multiLevelType w:val="hybridMultilevel"/>
    <w:lvl w:ilvl="0">
      <w:lvlJc w:val="left"/>
      <w:lvlText w:val="•"/>
      <w:numFmt w:val="bullet"/>
      <w:start w:val="1"/>
    </w:lvl>
    <w:lvl w:ilvl="1">
      <w:lvlJc w:val="left"/>
      <w:lvlText w:val="•"/>
      <w:numFmt w:val="bullet"/>
      <w:start w:val="1"/>
    </w:lvl>
  </w:abstractNum>
  <w:abstractNum w:abstractNumId="6">
    <w:nsid w:val="310C50B3"/>
    <w:multiLevelType w:val="hybridMultilevel"/>
    <w:lvl w:ilvl="0">
      <w:lvlJc w:val="left"/>
      <w:lvlText w:val="(%1)"/>
      <w:numFmt w:val="decimal"/>
      <w:start w:val="2"/>
    </w:lvl>
  </w:abstractNum>
  <w:abstractNum w:abstractNumId="7">
    <w:nsid w:val="5FF87E05"/>
    <w:multiLevelType w:val="hybridMultilevel"/>
    <w:lvl w:ilvl="0">
      <w:lvlJc w:val="left"/>
      <w:lvlText w:val="(%1)"/>
      <w:numFmt w:val="decimal"/>
      <w:start w:val="1"/>
    </w:lvl>
  </w:abstractNum>
  <w:abstractNum w:abstractNumId="8">
    <w:nsid w:val="2F305DEF"/>
    <w:multiLevelType w:val="hybridMultilevel"/>
    <w:lvl w:ilvl="0">
      <w:lvlJc w:val="left"/>
      <w:lvlText w:val="(%1)"/>
      <w:numFmt w:val="decimal"/>
      <w:start w:val="1"/>
    </w:lvl>
  </w:abstractNum>
  <w:abstractNum w:abstractNumId="9">
    <w:nsid w:val="25A70BF7"/>
    <w:multiLevelType w:val="hybridMultilevel"/>
    <w:lvl w:ilvl="0">
      <w:lvlJc w:val="left"/>
      <w:lvlText w:val="(%1)"/>
      <w:numFmt w:val="decimal"/>
      <w:start w:val="1"/>
    </w:lvl>
  </w:abstractNum>
  <w:abstractNum w:abstractNumId="10">
    <w:nsid w:val="1DBABF00"/>
    <w:multiLevelType w:val="hybridMultilevel"/>
    <w:lvl w:ilvl="0">
      <w:lvlJc w:val="left"/>
      <w:lvlText w:val="(%1)"/>
      <w:numFmt w:val="decimal"/>
      <w:start w:val="1"/>
    </w:lvl>
  </w:abstractNum>
  <w:abstractNum w:abstractNumId="11">
    <w:nsid w:val="4AD084E9"/>
    <w:multiLevelType w:val="hybridMultilevel"/>
    <w:lvl w:ilvl="0">
      <w:lvlJc w:val="left"/>
      <w:lvlText w:val="(%1)"/>
      <w:numFmt w:val="decimal"/>
      <w:start w:val="1"/>
    </w:lvl>
  </w:abstractNum>
  <w:abstractNum w:abstractNumId="12">
    <w:nsid w:val="1F48EAA1"/>
    <w:multiLevelType w:val="hybridMultilevel"/>
    <w:lvl w:ilvl="0">
      <w:lvlJc w:val="left"/>
      <w:lvlText w:val="(%1)"/>
      <w:numFmt w:val="decimal"/>
      <w:start w:val="1"/>
    </w:lvl>
  </w:abstractNum>
  <w:abstractNum w:abstractNumId="13">
    <w:nsid w:val="1381823A"/>
    <w:multiLevelType w:val="hybridMultilevel"/>
    <w:lvl w:ilvl="0">
      <w:lvlJc w:val="left"/>
      <w:lvlText w:val="(%1)"/>
      <w:numFmt w:val="decimal"/>
      <w:start w:val="1"/>
    </w:lvl>
  </w:abstractNum>
  <w:abstractNum w:abstractNumId="14">
    <w:nsid w:val="5DB70AE5"/>
    <w:multiLevelType w:val="hybridMultilevel"/>
    <w:lvl w:ilvl="0">
      <w:lvlJc w:val="left"/>
      <w:lvlText w:val="(%1)"/>
      <w:numFmt w:val="decimal"/>
      <w:start w:val="3"/>
    </w:lvl>
  </w:abstractNum>
  <w:abstractNum w:abstractNumId="15">
    <w:nsid w:val="100F8FCA"/>
    <w:multiLevelType w:val="hybridMultilevel"/>
    <w:lvl w:ilvl="0">
      <w:lvlJc w:val="left"/>
      <w:lvlText w:val="•"/>
      <w:numFmt w:val="bullet"/>
      <w:start w:val="1"/>
    </w:lvl>
  </w:abstractNum>
  <w:abstractNum w:abstractNumId="16">
    <w:nsid w:val="6590700B"/>
    <w:multiLevelType w:val="hybridMultilevel"/>
    <w:lvl w:ilvl="0">
      <w:lvlJc w:val="left"/>
      <w:lvlText w:val="(%1)"/>
      <w:numFmt w:val="decimal"/>
      <w:start w:val="1"/>
    </w:lvl>
  </w:abstractNum>
  <w:abstractNum w:abstractNumId="17">
    <w:nsid w:val="15014ACB"/>
    <w:multiLevelType w:val="hybridMultilevel"/>
    <w:lvl w:ilvl="0">
      <w:lvlJc w:val="left"/>
      <w:lvlText w:val="(%1)"/>
      <w:numFmt w:val="decimal"/>
      <w:start w:val="1"/>
    </w:lvl>
  </w:abstractNum>
  <w:abstractNum w:abstractNumId="18">
    <w:nsid w:val="5F5E7FD0"/>
    <w:multiLevelType w:val="hybridMultilevel"/>
    <w:lvl w:ilvl="0">
      <w:lvlJc w:val="left"/>
      <w:lvlText w:val="(%1)"/>
      <w:numFmt w:val="decimal"/>
      <w:start w:val="1"/>
    </w:lvl>
  </w:abstractNum>
  <w:abstractNum w:abstractNumId="19">
    <w:nsid w:val="98A3148"/>
    <w:multiLevelType w:val="hybridMultilevel"/>
    <w:lvl w:ilvl="0">
      <w:lvlJc w:val="left"/>
      <w:lvlText w:val="(%1)"/>
      <w:numFmt w:val="decimal"/>
      <w:start w:val="1"/>
    </w:lvl>
  </w:abstractNum>
  <w:abstractNum w:abstractNumId="20">
    <w:nsid w:val="799D0247"/>
    <w:multiLevelType w:val="hybridMultilevel"/>
    <w:lvl w:ilvl="0">
      <w:lvlJc w:val="left"/>
      <w:lvlText w:val="(%1)"/>
      <w:numFmt w:val="decimal"/>
      <w:start w:val="1"/>
    </w:lvl>
  </w:abstractNum>
  <w:abstractNum w:abstractNumId="21">
    <w:nsid w:val="6B94764"/>
    <w:multiLevelType w:val="hybridMultilevel"/>
    <w:lvl w:ilvl="0">
      <w:lvlJc w:val="left"/>
      <w:lvlText w:val="(%1)"/>
      <w:numFmt w:val="decimal"/>
      <w:start w:val="2"/>
    </w:lvl>
  </w:abstractNum>
  <w:abstractNum w:abstractNumId="22">
    <w:nsid w:val="42C296BD"/>
    <w:multiLevelType w:val="hybridMultilevel"/>
    <w:lvl w:ilvl="0">
      <w:lvlJc w:val="left"/>
      <w:lvlText w:val="%1"/>
      <w:numFmt w:val="decimal"/>
      <w:start w:val="1"/>
    </w:lvl>
    <w:lvl w:ilvl="1">
      <w:lvlJc w:val="left"/>
      <w:lvlText w:val="(%2)"/>
      <w:numFmt w:val="decimal"/>
      <w:start w:val="1"/>
    </w:lvl>
  </w:abstractNum>
  <w:abstractNum w:abstractNumId="23">
    <w:nsid w:val="168E121F"/>
    <w:multiLevelType w:val="hybridMultilevel"/>
    <w:lvl w:ilvl="0">
      <w:lvlJc w:val="left"/>
      <w:lvlText w:val="(%1)"/>
      <w:numFmt w:val="decimal"/>
      <w:start w:val="9"/>
    </w:lvl>
    <w:lvl w:ilvl="1">
      <w:lvlJc w:val="left"/>
      <w:lvlText w:val="%2"/>
      <w:numFmt w:val="decimal"/>
      <w:start w:val="1"/>
    </w:lvl>
  </w:abstractNum>
  <w:abstractNum w:abstractNumId="24">
    <w:nsid w:val="1EBA5D23"/>
    <w:multiLevelType w:val="hybridMultilevel"/>
    <w:lvl w:ilvl="0">
      <w:lvlJc w:val="left"/>
      <w:lvlText w:val="(%1)"/>
      <w:numFmt w:val="decimal"/>
      <w:start w:val="1"/>
    </w:lvl>
  </w:abstractNum>
  <w:abstractNum w:abstractNumId="25">
    <w:nsid w:val="661E3F1E"/>
    <w:multiLevelType w:val="hybridMultilevel"/>
    <w:lvl w:ilvl="0">
      <w:lvlJc w:val="left"/>
      <w:lvlText w:val="(%1)"/>
      <w:numFmt w:val="decimal"/>
      <w:start w:val="2"/>
    </w:lvl>
  </w:abstractNum>
  <w:abstractNum w:abstractNumId="26">
    <w:nsid w:val="5DC79EA8"/>
    <w:multiLevelType w:val="hybridMultilevel"/>
    <w:lvl w:ilvl="0">
      <w:lvlJc w:val="left"/>
      <w:lvlText w:val="(%1)"/>
      <w:numFmt w:val="decimal"/>
      <w:start w:val="1"/>
    </w:lvl>
  </w:abstractNum>
  <w:abstractNum w:abstractNumId="27">
    <w:nsid w:val="540A471C"/>
    <w:multiLevelType w:val="hybridMultilevel"/>
    <w:lvl w:ilvl="0">
      <w:lvlJc w:val="left"/>
      <w:lvlText w:val="(%1)"/>
      <w:numFmt w:val="decimal"/>
      <w:start w:val="1"/>
    </w:lvl>
  </w:abstractNum>
  <w:abstractNum w:abstractNumId="28">
    <w:nsid w:val="7BD3EE7B"/>
    <w:multiLevelType w:val="hybridMultilevel"/>
    <w:lvl w:ilvl="0">
      <w:lvlJc w:val="left"/>
      <w:lvlText w:val="(%1)"/>
      <w:numFmt w:val="decimal"/>
      <w:start w:val="1"/>
    </w:lvl>
  </w:abstractNum>
  <w:abstractNum w:abstractNumId="29">
    <w:nsid w:val="51D9C564"/>
    <w:multiLevelType w:val="hybridMultilevel"/>
    <w:lvl w:ilvl="0">
      <w:lvlJc w:val="left"/>
      <w:lvlText w:val="(%1)"/>
      <w:numFmt w:val="decimal"/>
      <w:start w:val="10"/>
    </w:lvl>
  </w:abstractNum>
  <w:abstractNum w:abstractNumId="30">
    <w:nsid w:val="613EFDC5"/>
    <w:multiLevelType w:val="hybridMultilevel"/>
    <w:lvl w:ilvl="0">
      <w:lvlJc w:val="left"/>
      <w:lvlText w:val="(%1)"/>
      <w:numFmt w:val="decimal"/>
      <w:start w:val="1"/>
    </w:lvl>
  </w:abstractNum>
  <w:abstractNum w:abstractNumId="31">
    <w:nsid w:val="BF72B14"/>
    <w:multiLevelType w:val="hybridMultilevel"/>
    <w:lvl w:ilvl="0">
      <w:lvlJc w:val="left"/>
      <w:lvlText w:val="(%1)"/>
      <w:numFmt w:val="decimal"/>
      <w:start w:val="1"/>
    </w:lvl>
  </w:abstractNum>
  <w:abstractNum w:abstractNumId="32">
    <w:nsid w:val="11447B73"/>
    <w:multiLevelType w:val="hybridMultilevel"/>
    <w:lvl w:ilvl="0">
      <w:lvlJc w:val="left"/>
      <w:lvlText w:val="(%1)"/>
      <w:numFmt w:val="decimal"/>
      <w:start w:val="1"/>
    </w:lvl>
  </w:abstractNum>
  <w:abstractNum w:abstractNumId="33">
    <w:nsid w:val="42963E5A"/>
    <w:multiLevelType w:val="hybridMultilevel"/>
    <w:lvl w:ilvl="0">
      <w:lvlJc w:val="left"/>
      <w:lvlText w:val="(%1)"/>
      <w:numFmt w:val="decimal"/>
      <w:start w:val="2"/>
    </w:lvl>
  </w:abstractNum>
  <w:abstractNum w:abstractNumId="34">
    <w:nsid w:val="A0382C5"/>
    <w:multiLevelType w:val="hybridMultilevel"/>
    <w:lvl w:ilvl="0">
      <w:lvlJc w:val="left"/>
      <w:lvlText w:val="(%1)"/>
      <w:numFmt w:val="decimal"/>
      <w:start w:val="11"/>
    </w:lvl>
    <w:lvl w:ilvl="1">
      <w:lvlJc w:val="left"/>
      <w:lvlText w:val="(%2)"/>
      <w:numFmt w:val="lowerLetter"/>
      <w:start w:val="1"/>
    </w:lvl>
  </w:abstractNum>
  <w:abstractNum w:abstractNumId="35">
    <w:nsid w:val="8F2B15E"/>
    <w:multiLevelType w:val="hybridMultilevel"/>
    <w:lvl w:ilvl="0">
      <w:lvlJc w:val="left"/>
      <w:lvlText w:val="(%1)"/>
      <w:numFmt w:val="decimal"/>
      <w:start w:val="12"/>
    </w:lvl>
    <w:lvl w:ilvl="1">
      <w:lvlJc w:val="left"/>
      <w:lvlText w:val="(%2)"/>
      <w:numFmt w:val="lowerLetter"/>
      <w:start w:val="1"/>
    </w:lvl>
  </w:abstractNum>
  <w:abstractNum w:abstractNumId="36">
    <w:nsid w:val="1A32234B"/>
    <w:multiLevelType w:val="hybridMultilevel"/>
    <w:lvl w:ilvl="0">
      <w:lvlJc w:val="left"/>
      <w:lvlText w:val="(%1)"/>
      <w:numFmt w:val="decimal"/>
      <w:start w:val="1"/>
    </w:lvl>
  </w:abstractNum>
  <w:abstractNum w:abstractNumId="37">
    <w:nsid w:val="3B0FD379"/>
    <w:multiLevelType w:val="hybridMultilevel"/>
    <w:lvl w:ilvl="0">
      <w:lvlJc w:val="left"/>
      <w:lvlText w:val="(%1)"/>
      <w:numFmt w:val="decimal"/>
      <w:start w:val="1"/>
    </w:lvl>
  </w:abstractNum>
  <w:abstractNum w:abstractNumId="38">
    <w:nsid w:val="68EB2F63"/>
    <w:multiLevelType w:val="hybridMultilevel"/>
    <w:lvl w:ilvl="0">
      <w:lvlJc w:val="left"/>
      <w:lvlText w:val="(%1)"/>
      <w:numFmt w:val="decimal"/>
      <w:start w:val="1"/>
    </w:lvl>
  </w:abstractNum>
  <w:abstractNum w:abstractNumId="39">
    <w:nsid w:val="4962813B"/>
    <w:multiLevelType w:val="hybridMultilevel"/>
    <w:lvl w:ilvl="0">
      <w:lvlJc w:val="left"/>
      <w:lvlText w:val="(%1)"/>
      <w:numFmt w:val="decimal"/>
      <w:start w:val="1"/>
    </w:lvl>
  </w:abstractNum>
  <w:abstractNum w:abstractNumId="40">
    <w:nsid w:val="60B6DF70"/>
    <w:multiLevelType w:val="hybridMultilevel"/>
    <w:lvl w:ilvl="0">
      <w:lvlJc w:val="left"/>
      <w:lvlText w:val="(%1)"/>
      <w:numFmt w:val="decimal"/>
      <w:start w:val="14"/>
    </w:lvl>
    <w:lvl w:ilvl="1">
      <w:lvlJc w:val="left"/>
      <w:lvlText w:val="(%2)"/>
      <w:numFmt w:val="lowerLetter"/>
      <w:start w:val="1"/>
    </w:lvl>
  </w:abstractNum>
  <w:abstractNum w:abstractNumId="41">
    <w:nsid w:val="6A5EE64"/>
    <w:multiLevelType w:val="hybridMultilevel"/>
    <w:lvl w:ilvl="0">
      <w:lvlJc w:val="left"/>
      <w:lvlText w:val="(%1)"/>
      <w:numFmt w:val="lowerLetter"/>
      <w:start w:val="3"/>
    </w:lvl>
  </w:abstractNum>
  <w:abstractNum w:abstractNumId="42">
    <w:nsid w:val="14330624"/>
    <w:multiLevelType w:val="hybridMultilevel"/>
    <w:lvl w:ilvl="0">
      <w:lvlJc w:val="left"/>
      <w:lvlText w:val="(%1)"/>
      <w:numFmt w:val="lowerRoman"/>
      <w:start w:val="1"/>
    </w:lvl>
  </w:abstractNum>
  <w:abstractNum w:abstractNumId="43">
    <w:nsid w:val="7FFFCA11"/>
    <w:multiLevelType w:val="hybridMultilevel"/>
    <w:lvl w:ilvl="0">
      <w:lvlJc w:val="left"/>
      <w:lvlText w:val="%1"/>
      <w:numFmt w:val="decimal"/>
      <w:start w:val="1"/>
    </w:lvl>
    <w:lvl w:ilvl="1">
      <w:lvlJc w:val="left"/>
      <w:lvlText w:val="(%2)"/>
      <w:numFmt w:val="decimal"/>
      <w:start w:val="1"/>
    </w:lvl>
  </w:abstractNum>
  <w:abstractNum w:abstractNumId="44">
    <w:nsid w:val="1A27709E"/>
    <w:multiLevelType w:val="hybridMultilevel"/>
    <w:lvl w:ilvl="0">
      <w:lvlJc w:val="left"/>
      <w:lvlText w:val="(%1)"/>
      <w:numFmt w:val="decimal"/>
      <w:start w:val="16"/>
    </w:lvl>
    <w:lvl w:ilvl="1">
      <w:lvlJc w:val="left"/>
      <w:lvlText w:val="%2"/>
      <w:numFmt w:val="decimal"/>
      <w:start w:val="1"/>
    </w:lvl>
  </w:abstractNum>
  <w:abstractNum w:abstractNumId="45">
    <w:nsid w:val="71EA1109"/>
    <w:multiLevelType w:val="hybridMultilevel"/>
    <w:lvl w:ilvl="0">
      <w:lvlJc w:val="left"/>
      <w:lvlText w:val="•"/>
      <w:numFmt w:val="bullet"/>
      <w:start w:val="1"/>
    </w:lvl>
  </w:abstractNum>
  <w:abstractNum w:abstractNumId="46">
    <w:nsid w:val="100F59DC"/>
    <w:multiLevelType w:val="hybridMultilevel"/>
    <w:lvl w:ilvl="0">
      <w:lvlJc w:val="left"/>
      <w:lvlText w:val="•"/>
      <w:numFmt w:val="bullet"/>
      <w:start w:val="1"/>
    </w:lvl>
  </w:abstractNum>
  <w:abstractNum w:abstractNumId="47">
    <w:nsid w:val="7FB7E0AA"/>
    <w:multiLevelType w:val="hybridMultilevel"/>
    <w:lvl w:ilvl="0">
      <w:lvlJc w:val="left"/>
      <w:lvlText w:val="(%1)"/>
      <w:numFmt w:val="decimal"/>
      <w:start w:val="1"/>
    </w:lvl>
  </w:abstractNum>
  <w:abstractNum w:abstractNumId="48">
    <w:nsid w:val="6EB5BD4"/>
    <w:multiLevelType w:val="hybridMultilevel"/>
    <w:lvl w:ilvl="0">
      <w:lvlJc w:val="left"/>
      <w:lvlText w:val="(%1)"/>
      <w:numFmt w:val="decimal"/>
      <w:start w:val="17"/>
    </w:lvl>
  </w:abstractNum>
  <w:abstractNum w:abstractNumId="49">
    <w:nsid w:val="6F6DD9AC"/>
    <w:multiLevelType w:val="hybridMultilevel"/>
    <w:lvl w:ilvl="0">
      <w:lvlJc w:val="left"/>
      <w:lvlText w:val="(%1)"/>
      <w:numFmt w:val="decimal"/>
      <w:start w:val="1"/>
    </w:lvl>
  </w:abstractNum>
  <w:abstractNum w:abstractNumId="50">
    <w:nsid w:val="94211F2"/>
    <w:multiLevelType w:val="hybridMultilevel"/>
    <w:lvl w:ilvl="0">
      <w:lvlJc w:val="left"/>
      <w:lvlText w:val="(%1)"/>
      <w:numFmt w:val="decimal"/>
      <w:start w:val="1"/>
    </w:lvl>
  </w:abstractNum>
  <w:abstractNum w:abstractNumId="51">
    <w:nsid w:val="885E1B"/>
    <w:multiLevelType w:val="hybridMultilevel"/>
    <w:lvl w:ilvl="0">
      <w:lvlJc w:val="left"/>
      <w:lvlText w:val="(%1)"/>
      <w:numFmt w:val="decimal"/>
      <w:start w:val="1"/>
    </w:lvl>
  </w:abstractNum>
  <w:abstractNum w:abstractNumId="52">
    <w:nsid w:val="76272110"/>
    <w:multiLevelType w:val="hybridMultilevel"/>
    <w:lvl w:ilvl="0">
      <w:lvlJc w:val="left"/>
      <w:lvlText w:val="(%1)"/>
      <w:numFmt w:val="decimal"/>
      <w:start w:val="1"/>
    </w:lvl>
  </w:abstractNum>
  <w:abstractNum w:abstractNumId="53">
    <w:nsid w:val="4C04A8AF"/>
    <w:multiLevelType w:val="hybridMultilevel"/>
    <w:lvl w:ilvl="0">
      <w:lvlJc w:val="left"/>
      <w:lvlText w:val="%1"/>
      <w:numFmt w:val="decimal"/>
      <w:start w:val="1"/>
    </w:lvl>
    <w:lvl w:ilvl="1">
      <w:lvlJc w:val="left"/>
      <w:lvlText w:val="(%2)"/>
      <w:numFmt w:val="decimal"/>
      <w:start w:val="1"/>
    </w:lvl>
  </w:abstractNum>
  <w:abstractNum w:abstractNumId="54">
    <w:nsid w:val="1716703B"/>
    <w:multiLevelType w:val="hybridMultilevel"/>
    <w:lvl w:ilvl="0">
      <w:lvlJc w:val="left"/>
      <w:lvlText w:val="(%1)"/>
      <w:numFmt w:val="decimal"/>
      <w:start w:val="21"/>
    </w:lvl>
    <w:lvl w:ilvl="1">
      <w:lvlJc w:val="left"/>
      <w:lvlText w:val="%2"/>
      <w:numFmt w:val="decimal"/>
      <w:start w:val="1"/>
    </w:lvl>
  </w:abstractNum>
  <w:abstractNum w:abstractNumId="55">
    <w:nsid w:val="14E17E33"/>
    <w:multiLevelType w:val="hybridMultilevel"/>
    <w:lvl w:ilvl="0">
      <w:lvlJc w:val="left"/>
      <w:lvlText w:val="•"/>
      <w:numFmt w:val="bullet"/>
      <w:start w:val="1"/>
    </w:lvl>
  </w:abstractNum>
  <w:abstractNum w:abstractNumId="56">
    <w:nsid w:val="3222E7CD"/>
    <w:multiLevelType w:val="hybridMultilevel"/>
    <w:lvl w:ilvl="0">
      <w:lvlJc w:val="left"/>
      <w:lvlText w:val="•"/>
      <w:numFmt w:val="bullet"/>
      <w:start w:val="1"/>
    </w:lvl>
  </w:abstractNum>
  <w:abstractNum w:abstractNumId="57">
    <w:nsid w:val="74DE0EE3"/>
    <w:multiLevelType w:val="hybridMultilevel"/>
    <w:lvl w:ilvl="0">
      <w:lvlJc w:val="left"/>
      <w:lvlText w:val="•"/>
      <w:numFmt w:val="bullet"/>
      <w:start w:val="1"/>
    </w:lvl>
  </w:abstractNum>
  <w:abstractNum w:abstractNumId="58">
    <w:nsid w:val="68EBC550"/>
    <w:multiLevelType w:val="hybridMultilevel"/>
    <w:lvl w:ilvl="0">
      <w:lvlJc w:val="left"/>
      <w:lvlText w:val="•"/>
      <w:numFmt w:val="bullet"/>
      <w:start w:val="1"/>
    </w:lvl>
  </w:abstractNum>
  <w:abstractNum w:abstractNumId="59">
    <w:nsid w:val="2DF6D648"/>
    <w:multiLevelType w:val="hybridMultilevel"/>
    <w:lvl w:ilvl="0">
      <w:lvlJc w:val="left"/>
      <w:lvlText w:val="(%1)"/>
      <w:numFmt w:val="decimal"/>
      <w:start w:val="1"/>
    </w:lvl>
  </w:abstractNum>
  <w:abstractNum w:abstractNumId="60">
    <w:nsid w:val="46B7D447"/>
    <w:multiLevelType w:val="hybridMultilevel"/>
    <w:lvl w:ilvl="0">
      <w:lvlJc w:val="left"/>
      <w:lvlText w:val="•"/>
      <w:numFmt w:val="bullet"/>
      <w:start w:val="1"/>
    </w:lvl>
  </w:abstractNum>
  <w:abstractNum w:abstractNumId="61">
    <w:nsid w:val="4A2AC315"/>
    <w:multiLevelType w:val="hybridMultilevel"/>
    <w:lvl w:ilvl="0">
      <w:lvlJc w:val="left"/>
      <w:lvlText w:val="•"/>
      <w:numFmt w:val="bullet"/>
      <w:start w:val="1"/>
    </w:lvl>
  </w:abstractNum>
  <w:abstractNum w:abstractNumId="62">
    <w:nsid w:val="39EE015C"/>
    <w:multiLevelType w:val="hybridMultilevel"/>
    <w:lvl w:ilvl="0">
      <w:lvlJc w:val="left"/>
      <w:lvlText w:val="•"/>
      <w:numFmt w:val="bullet"/>
      <w:start w:val="1"/>
    </w:lvl>
  </w:abstractNum>
  <w:abstractNum w:abstractNumId="63">
    <w:nsid w:val="57FC4FBB"/>
    <w:multiLevelType w:val="hybridMultilevel"/>
    <w:lvl w:ilvl="0">
      <w:lvlJc w:val="left"/>
      <w:lvlText w:val="•"/>
      <w:numFmt w:val="bullet"/>
      <w:start w:val="1"/>
    </w:lvl>
  </w:abstractNum>
  <w:abstractNum w:abstractNumId="64">
    <w:nsid w:val="CC1016F"/>
    <w:multiLevelType w:val="hybridMultilevel"/>
    <w:lvl w:ilvl="0">
      <w:lvlJc w:val="left"/>
      <w:lvlText w:val="•"/>
      <w:numFmt w:val="bullet"/>
      <w:start w:val="1"/>
    </w:lvl>
  </w:abstractNum>
  <w:abstractNum w:abstractNumId="65">
    <w:nsid w:val="43F18422"/>
    <w:multiLevelType w:val="hybridMultilevel"/>
    <w:lvl w:ilvl="0">
      <w:lvlJc w:val="left"/>
      <w:lvlText w:val="•"/>
      <w:numFmt w:val="bullet"/>
      <w:start w:val="1"/>
    </w:lvl>
  </w:abstractNum>
  <w:abstractNum w:abstractNumId="66">
    <w:nsid w:val="60EF0119"/>
    <w:multiLevelType w:val="hybridMultilevel"/>
    <w:lvl w:ilvl="0">
      <w:lvlJc w:val="left"/>
      <w:lvlText w:val="•"/>
      <w:numFmt w:val="bullet"/>
      <w:start w:val="1"/>
    </w:lvl>
  </w:abstractNum>
  <w:abstractNum w:abstractNumId="67">
    <w:nsid w:val="26F324BA"/>
    <w:multiLevelType w:val="hybridMultilevel"/>
    <w:lvl w:ilvl="0">
      <w:lvlJc w:val="left"/>
      <w:lvlText w:val="(%1)"/>
      <w:numFmt w:val="decimal"/>
      <w:start w:val="1"/>
    </w:lvl>
  </w:abstractNum>
  <w:abstractNum w:abstractNumId="68">
    <w:nsid w:val="7F01579B"/>
    <w:multiLevelType w:val="hybridMultilevel"/>
    <w:lvl w:ilvl="0">
      <w:lvlJc w:val="left"/>
      <w:lvlText w:val="•"/>
      <w:numFmt w:val="bullet"/>
      <w:start w:val="1"/>
    </w:lvl>
  </w:abstractNum>
  <w:abstractNum w:abstractNumId="69">
    <w:nsid w:val="49DA307D"/>
    <w:multiLevelType w:val="hybridMultilevel"/>
    <w:lvl w:ilvl="0">
      <w:lvlJc w:val="left"/>
      <w:lvlText w:val="•"/>
      <w:numFmt w:val="bullet"/>
      <w:start w:val="1"/>
    </w:lvl>
    <w:lvl w:ilvl="1">
      <w:lvlJc w:val="left"/>
      <w:lvlText w:val="◦"/>
      <w:numFmt w:val="bullet"/>
      <w:start w:val="1"/>
    </w:lvl>
  </w:abstractNum>
  <w:abstractNum w:abstractNumId="70">
    <w:nsid w:val="7055A5F5"/>
    <w:multiLevelType w:val="hybridMultilevel"/>
    <w:lvl w:ilvl="0">
      <w:lvlJc w:val="left"/>
      <w:lvlText w:val="•"/>
      <w:numFmt w:val="bullet"/>
      <w:start w:val="1"/>
    </w:lvl>
  </w:abstractNum>
  <w:abstractNum w:abstractNumId="71">
    <w:nsid w:val="5FB8370B"/>
    <w:multiLevelType w:val="hybridMultilevel"/>
    <w:lvl w:ilvl="0">
      <w:lvlJc w:val="left"/>
      <w:lvlText w:val="•"/>
      <w:numFmt w:val="bullet"/>
      <w:start w:val="1"/>
    </w:lvl>
  </w:abstractNum>
  <w:abstractNum w:abstractNumId="72">
    <w:nsid w:val="50801EE1"/>
    <w:multiLevelType w:val="hybridMultilevel"/>
    <w:lvl w:ilvl="0">
      <w:lvlJc w:val="left"/>
      <w:lvlText w:val="•"/>
      <w:numFmt w:val="bullet"/>
      <w:start w:val="1"/>
    </w:lvl>
  </w:abstractNum>
  <w:abstractNum w:abstractNumId="73">
    <w:nsid w:val="488AC1A"/>
    <w:multiLevelType w:val="hybridMultilevel"/>
    <w:lvl w:ilvl="0">
      <w:lvlJc w:val="left"/>
      <w:lvlText w:val="•"/>
      <w:numFmt w:val="bullet"/>
      <w:start w:val="1"/>
    </w:lvl>
  </w:abstractNum>
  <w:abstractNum w:abstractNumId="74">
    <w:nsid w:val="5FB8011C"/>
    <w:multiLevelType w:val="hybridMultilevel"/>
    <w:lvl w:ilvl="0">
      <w:lvlJc w:val="left"/>
      <w:lvlText w:val="•"/>
      <w:numFmt w:val="bullet"/>
      <w:start w:val="1"/>
    </w:lvl>
  </w:abstractNum>
  <w:abstractNum w:abstractNumId="75">
    <w:nsid w:val="6AA78F7F"/>
    <w:multiLevelType w:val="hybridMultilevel"/>
    <w:lvl w:ilvl="0">
      <w:lvlJc w:val="left"/>
      <w:lvlText w:val="•"/>
      <w:numFmt w:val="bullet"/>
      <w:start w:val="1"/>
    </w:lvl>
  </w:abstractNum>
  <w:abstractNum w:abstractNumId="76">
    <w:nsid w:val="7672BD23"/>
    <w:multiLevelType w:val="hybridMultilevel"/>
    <w:lvl w:ilvl="0">
      <w:lvlJc w:val="left"/>
      <w:lvlText w:val="•"/>
      <w:numFmt w:val="bullet"/>
      <w:start w:val="1"/>
    </w:lvl>
  </w:abstractNum>
  <w:abstractNum w:abstractNumId="77">
    <w:nsid w:val="6FC75AF8"/>
    <w:multiLevelType w:val="hybridMultilevel"/>
    <w:lvl w:ilvl="0">
      <w:lvlJc w:val="left"/>
      <w:lvlText w:val="•"/>
      <w:numFmt w:val="bullet"/>
      <w:start w:val="1"/>
    </w:lvl>
  </w:abstractNum>
  <w:abstractNum w:abstractNumId="78">
    <w:nsid w:val="6A5F7029"/>
    <w:multiLevelType w:val="hybridMultilevel"/>
    <w:lvl w:ilvl="0">
      <w:lvlJc w:val="left"/>
      <w:lvlText w:val="•"/>
      <w:numFmt w:val="bullet"/>
      <w:start w:val="1"/>
    </w:lvl>
  </w:abstractNum>
  <w:abstractNum w:abstractNumId="79">
    <w:nsid w:val="7D5E18F8"/>
    <w:multiLevelType w:val="hybridMultilevel"/>
    <w:lvl w:ilvl="0">
      <w:lvlJc w:val="left"/>
      <w:lvlText w:val="•"/>
      <w:numFmt w:val="bullet"/>
      <w:start w:val="1"/>
    </w:lvl>
  </w:abstractNum>
  <w:abstractNum w:abstractNumId="80">
    <w:nsid w:val="5F3534A4"/>
    <w:multiLevelType w:val="hybridMultilevel"/>
    <w:lvl w:ilvl="0">
      <w:lvlJc w:val="left"/>
      <w:lvlText w:val="•"/>
      <w:numFmt w:val="bullet"/>
      <w:start w:val="1"/>
    </w:lvl>
  </w:abstractNum>
  <w:abstractNum w:abstractNumId="81">
    <w:nsid w:val="73A1821B"/>
    <w:multiLevelType w:val="hybridMultilevel"/>
    <w:lvl w:ilvl="0">
      <w:lvlJc w:val="left"/>
      <w:lvlText w:val="(%1)"/>
      <w:numFmt w:val="decimal"/>
      <w:start w:val="1"/>
    </w:lvl>
  </w:abstractNum>
  <w:abstractNum w:abstractNumId="82">
    <w:nsid w:val="7DE67713"/>
    <w:multiLevelType w:val="hybridMultilevel"/>
    <w:lvl w:ilvl="0">
      <w:lvlJc w:val="left"/>
      <w:lvlText w:val="•"/>
      <w:numFmt w:val="bullet"/>
      <w:start w:val="1"/>
    </w:lvl>
  </w:abstractNum>
  <w:abstractNum w:abstractNumId="83">
    <w:nsid w:val="555C55B5"/>
    <w:multiLevelType w:val="hybridMultilevel"/>
    <w:lvl w:ilvl="0">
      <w:lvlJc w:val="left"/>
      <w:lvlText w:val="(%1)"/>
      <w:numFmt w:val="decimal"/>
      <w:start w:val="2"/>
    </w:lvl>
  </w:abstractNum>
  <w:abstractNum w:abstractNumId="84">
    <w:nsid w:val="3FA62ACA"/>
    <w:multiLevelType w:val="hybridMultilevel"/>
    <w:lvl w:ilvl="0">
      <w:lvlJc w:val="left"/>
      <w:lvlText w:val="•"/>
      <w:numFmt w:val="bullet"/>
      <w:start w:val="1"/>
    </w:lvl>
  </w:abstractNum>
  <w:abstractNum w:abstractNumId="85">
    <w:nsid w:val="14FCE74E"/>
    <w:multiLevelType w:val="hybridMultilevel"/>
    <w:lvl w:ilvl="0">
      <w:lvlJc w:val="left"/>
      <w:lvlText w:val="(%1)"/>
      <w:numFmt w:val="decimal"/>
      <w:start w:val="1"/>
    </w:lvl>
  </w:abstractNum>
  <w:abstractNum w:abstractNumId="86">
    <w:nsid w:val="6A3DD3E8"/>
    <w:multiLevelType w:val="hybridMultilevel"/>
    <w:lvl w:ilvl="0">
      <w:lvlJc w:val="left"/>
      <w:lvlText w:val="(%1)"/>
      <w:numFmt w:val="decimal"/>
      <w:start w:val="1"/>
    </w:lvl>
  </w:abstractNum>
  <w:abstractNum w:abstractNumId="87">
    <w:nsid w:val="71C91298"/>
    <w:multiLevelType w:val="hybridMultilevel"/>
    <w:lvl w:ilvl="0">
      <w:lvlJc w:val="left"/>
      <w:lvlText w:val="•"/>
      <w:numFmt w:val="bullet"/>
      <w:start w:val="1"/>
    </w:lvl>
  </w:abstractNum>
  <w:abstractNum w:abstractNumId="88">
    <w:nsid w:val="9DAF632"/>
    <w:multiLevelType w:val="hybridMultilevel"/>
    <w:lvl w:ilvl="0">
      <w:lvlJc w:val="left"/>
      <w:lvlText w:val="•"/>
      <w:numFmt w:val="bullet"/>
      <w:start w:val="1"/>
    </w:lvl>
  </w:abstractNum>
  <w:abstractNum w:abstractNumId="89">
    <w:nsid w:val="53299938"/>
    <w:multiLevelType w:val="hybridMultilevel"/>
    <w:lvl w:ilvl="0">
      <w:lvlJc w:val="left"/>
      <w:lvlText w:val="•"/>
      <w:numFmt w:val="bullet"/>
      <w:start w:val="1"/>
    </w:lvl>
  </w:abstractNum>
  <w:abstractNum w:abstractNumId="90">
    <w:nsid w:val="1FBFE8E0"/>
    <w:multiLevelType w:val="hybridMultilevel"/>
    <w:lvl w:ilvl="0">
      <w:lvlJc w:val="left"/>
      <w:lvlText w:val="*"/>
      <w:numFmt w:val="bullet"/>
      <w:start w:val="1"/>
    </w:lvl>
  </w:abstractNum>
  <w:abstractNum w:abstractNumId="91">
    <w:nsid w:val="5092CA79"/>
    <w:multiLevelType w:val="hybridMultilevel"/>
    <w:lvl w:ilvl="0">
      <w:lvlJc w:val="left"/>
      <w:lvlText w:val="%1."/>
      <w:numFmt w:val="decimal"/>
      <w:start w:val="1"/>
    </w:lvl>
  </w:abstractNum>
  <w:abstractNum w:abstractNumId="92">
    <w:nsid w:val="1D545C4D"/>
    <w:multiLevelType w:val="hybridMultilevel"/>
    <w:lvl w:ilvl="0">
      <w:lvlJc w:val="left"/>
      <w:lvlText w:val="(%1)"/>
      <w:numFmt w:val="lowerLetter"/>
      <w:start w:val="1"/>
    </w:lvl>
  </w:abstractNum>
  <w:abstractNum w:abstractNumId="93">
    <w:nsid w:val="59ADEA3D"/>
    <w:multiLevelType w:val="hybridMultilevel"/>
    <w:lvl w:ilvl="0">
      <w:lvlJc w:val="left"/>
      <w:lvlText w:val="%1."/>
      <w:numFmt w:val="decimal"/>
      <w:start w:val="5"/>
    </w:lvl>
  </w:abstractNum>
  <w:abstractNum w:abstractNumId="94">
    <w:nsid w:val="288F1A34"/>
    <w:multiLevelType w:val="hybridMultilevel"/>
    <w:lvl w:ilvl="0">
      <w:lvlJc w:val="left"/>
      <w:lvlText w:val="(%1)"/>
      <w:numFmt w:val="lowerLetter"/>
      <w:start w:val="1"/>
    </w:lvl>
  </w:abstractNum>
  <w:abstractNum w:abstractNumId="95">
    <w:nsid w:val="2A155DBC"/>
    <w:multiLevelType w:val="hybridMultilevel"/>
    <w:lvl w:ilvl="0">
      <w:lvlJc w:val="left"/>
      <w:lvlText w:val="%1."/>
      <w:numFmt w:val="decimal"/>
      <w:start w:val="1"/>
    </w:lvl>
  </w:abstractNum>
  <w:abstractNum w:abstractNumId="96">
    <w:nsid w:val="1D9F6E5F"/>
    <w:multiLevelType w:val="hybridMultilevel"/>
    <w:lvl w:ilvl="0">
      <w:lvlJc w:val="left"/>
      <w:lvlText w:val="(%1)"/>
      <w:numFmt w:val="lowerLetter"/>
      <w:start w:val="1"/>
    </w:lvl>
  </w:abstractNum>
  <w:abstractNum w:abstractNumId="97">
    <w:nsid w:val="97E1B4E"/>
    <w:multiLevelType w:val="hybridMultilevel"/>
    <w:lvl w:ilvl="0">
      <w:lvlJc w:val="left"/>
      <w:lvlText w:val="%1."/>
      <w:numFmt w:val="decimal"/>
      <w:start w:val="5"/>
    </w:lvl>
  </w:abstractNum>
  <w:abstractNum w:abstractNumId="98">
    <w:nsid w:val="51088277"/>
    <w:multiLevelType w:val="hybridMultilevel"/>
    <w:lvl w:ilvl="0">
      <w:lvlJc w:val="left"/>
      <w:lvlText w:val="(%1)"/>
      <w:numFmt w:val="lowerLetter"/>
      <w:start w:val="1"/>
    </w:lvl>
  </w:abstractNum>
  <w:abstractNum w:abstractNumId="99">
    <w:nsid w:val="1CA0C5FA"/>
    <w:multiLevelType w:val="hybridMultilevel"/>
    <w:lvl w:ilvl="0">
      <w:lvlJc w:val="left"/>
      <w:lvlText w:val="%1."/>
      <w:numFmt w:val="decimal"/>
      <w:start w:val="1"/>
    </w:lvl>
  </w:abstractNum>
  <w:abstractNum w:abstractNumId="100">
    <w:nsid w:val="53584BCB"/>
    <w:multiLevelType w:val="hybridMultilevel"/>
    <w:lvl w:ilvl="0">
      <w:lvlJc w:val="left"/>
      <w:lvlText w:val="(%1)"/>
      <w:numFmt w:val="lowerLetter"/>
      <w:start w:val="1"/>
    </w:lvl>
  </w:abstractNum>
  <w:abstractNum w:abstractNumId="101">
    <w:nsid w:val="415E286C"/>
    <w:multiLevelType w:val="hybridMultilevel"/>
    <w:lvl w:ilvl="0">
      <w:lvlJc w:val="left"/>
      <w:lvlText w:val="%1."/>
      <w:numFmt w:val="decimal"/>
      <w:start w:val="5"/>
    </w:lvl>
  </w:abstractNum>
  <w:abstractNum w:abstractNumId="102">
    <w:nsid w:val="7C58FD05"/>
    <w:multiLevelType w:val="hybridMultilevel"/>
    <w:lvl w:ilvl="0">
      <w:lvlJc w:val="left"/>
      <w:lvlText w:val="(%1)"/>
      <w:numFmt w:val="lowerLetter"/>
      <w:start w:val="1"/>
    </w:lvl>
  </w:abstractNum>
  <w:abstractNum w:abstractNumId="103">
    <w:nsid w:val="23D86AAC"/>
    <w:multiLevelType w:val="hybridMultilevel"/>
    <w:lvl w:ilvl="0">
      <w:lvlJc w:val="left"/>
      <w:lvlText w:val="%1."/>
      <w:numFmt w:val="decimal"/>
      <w:start w:val="1"/>
    </w:lvl>
  </w:abstractNum>
  <w:abstractNum w:abstractNumId="104">
    <w:nsid w:val="45E6D486"/>
    <w:multiLevelType w:val="hybridMultilevel"/>
    <w:lvl w:ilvl="0">
      <w:lvlJc w:val="left"/>
      <w:lvlText w:val="(%1)"/>
      <w:numFmt w:val="lowerLetter"/>
      <w:start w:val="1"/>
    </w:lvl>
  </w:abstractNum>
  <w:abstractNum w:abstractNumId="105">
    <w:nsid w:val="5C10FE21"/>
    <w:multiLevelType w:val="hybridMultilevel"/>
    <w:lvl w:ilvl="0">
      <w:lvlJc w:val="left"/>
      <w:lvlText w:val="%1."/>
      <w:numFmt w:val="decimal"/>
      <w:start w:val="5"/>
    </w:lvl>
  </w:abstractNum>
  <w:abstractNum w:abstractNumId="106">
    <w:nsid w:val="E7FFA2B"/>
    <w:multiLevelType w:val="hybridMultilevel"/>
    <w:lvl w:ilvl="0">
      <w:lvlJc w:val="left"/>
      <w:lvlText w:val="(%1)"/>
      <w:numFmt w:val="lowerLetter"/>
      <w:start w:val="1"/>
    </w:lvl>
  </w:abstractNum>
  <w:abstractNum w:abstractNumId="107">
    <w:nsid w:val="3C5991AA"/>
    <w:multiLevelType w:val="hybridMultilevel"/>
    <w:lvl w:ilvl="0">
      <w:lvlJc w:val="left"/>
      <w:lvlText w:val="%1."/>
      <w:numFmt w:val="decimal"/>
      <w:start w:val="1"/>
    </w:lvl>
  </w:abstractNum>
  <w:abstractNum w:abstractNumId="108">
    <w:nsid w:val="4BD8591A"/>
    <w:multiLevelType w:val="hybridMultilevel"/>
    <w:lvl w:ilvl="0">
      <w:lvlJc w:val="left"/>
      <w:lvlText w:val="(%1)"/>
      <w:numFmt w:val="lowerLetter"/>
      <w:start w:val="1"/>
    </w:lvl>
  </w:abstractNum>
  <w:abstractNum w:abstractNumId="109">
    <w:nsid w:val="78DF6A55"/>
    <w:multiLevelType w:val="hybridMultilevel"/>
    <w:lvl w:ilvl="0">
      <w:lvlJc w:val="left"/>
      <w:lvlText w:val="%1."/>
      <w:numFmt w:val="decimal"/>
      <w:start w:val="5"/>
    </w:lvl>
  </w:abstractNum>
  <w:abstractNum w:abstractNumId="110">
    <w:nsid w:val="39B7AAA2"/>
    <w:multiLevelType w:val="hybridMultilevel"/>
    <w:lvl w:ilvl="0">
      <w:lvlJc w:val="left"/>
      <w:lvlText w:val="(%1)"/>
      <w:numFmt w:val="lowerLetter"/>
      <w:start w:val="1"/>
    </w:lvl>
  </w:abstractNum>
  <w:abstractNum w:abstractNumId="111">
    <w:nsid w:val="2B0D8DBE"/>
    <w:multiLevelType w:val="hybridMultilevel"/>
    <w:lvl w:ilvl="0">
      <w:lvlJc w:val="left"/>
      <w:lvlText w:val="%1."/>
      <w:numFmt w:val="decimal"/>
      <w:start w:val="1"/>
    </w:lvl>
  </w:abstractNum>
  <w:abstractNum w:abstractNumId="112">
    <w:nsid w:val="6C80EC70"/>
    <w:multiLevelType w:val="hybridMultilevel"/>
    <w:lvl w:ilvl="0">
      <w:lvlJc w:val="left"/>
      <w:lvlText w:val="(%1)"/>
      <w:numFmt w:val="lowerLetter"/>
      <w:start w:val="1"/>
    </w:lvl>
  </w:abstractNum>
  <w:abstractNum w:abstractNumId="113">
    <w:nsid w:val="379E21B5"/>
    <w:multiLevelType w:val="hybridMultilevel"/>
    <w:lvl w:ilvl="0">
      <w:lvlJc w:val="left"/>
      <w:lvlText w:val="%1."/>
      <w:numFmt w:val="decimal"/>
      <w:start w:val="5"/>
    </w:lvl>
  </w:abstractNum>
  <w:abstractNum w:abstractNumId="114">
    <w:nsid w:val="69E373"/>
    <w:multiLevelType w:val="hybridMultilevel"/>
    <w:lvl w:ilvl="0">
      <w:lvlJc w:val="left"/>
      <w:lvlText w:val="(%1)"/>
      <w:numFmt w:val="lowerLetter"/>
      <w:start w:val="1"/>
    </w:lvl>
  </w:abstractNum>
  <w:abstractNum w:abstractNumId="115">
    <w:nsid w:val="2C27173B"/>
    <w:multiLevelType w:val="hybridMultilevel"/>
    <w:lvl w:ilvl="0">
      <w:lvlJc w:val="left"/>
      <w:lvlText w:val="%1."/>
      <w:numFmt w:val="decimal"/>
      <w:start w:val="1"/>
    </w:lvl>
  </w:abstractNum>
  <w:abstractNum w:abstractNumId="116">
    <w:nsid w:val="4C9B0904"/>
    <w:multiLevelType w:val="hybridMultilevel"/>
    <w:lvl w:ilvl="0">
      <w:lvlJc w:val="left"/>
      <w:lvlText w:val="%1."/>
      <w:numFmt w:val="decimal"/>
      <w:start w:val="1"/>
    </w:lvl>
  </w:abstractNum>
  <w:abstractNum w:abstractNumId="117">
    <w:nsid w:val="6AA7B75C"/>
    <w:multiLevelType w:val="hybridMultilevel"/>
    <w:lvl w:ilvl="0">
      <w:lvlJc w:val="left"/>
      <w:lvlText w:val="%1."/>
      <w:numFmt w:val="decimal"/>
      <w:start w:val="1"/>
    </w:lvl>
  </w:abstractNum>
  <w:abstractNum w:abstractNumId="118">
    <w:nsid w:val="1DF029D3"/>
    <w:multiLevelType w:val="hybridMultilevel"/>
    <w:lvl w:ilvl="0">
      <w:lvlJc w:val="left"/>
      <w:lvlText w:val="%1."/>
      <w:numFmt w:val="decimal"/>
      <w:start w:val="1"/>
    </w:lvl>
  </w:abstractNum>
  <w:abstractNum w:abstractNumId="119">
    <w:nsid w:val="5675FF36"/>
    <w:multiLevelType w:val="hybridMultilevel"/>
    <w:lvl w:ilvl="0">
      <w:lvlJc w:val="left"/>
      <w:lvlText w:val="%1."/>
      <w:numFmt w:val="decimal"/>
      <w:start w:val="1"/>
    </w:lvl>
  </w:abstractNum>
  <w:abstractNum w:abstractNumId="120">
    <w:nsid w:val="3DD1509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46" Type="http://schemas.openxmlformats.org/officeDocument/2006/relationships/image" Target="media/image11.png"/><Relationship Id="rId47" Type="http://schemas.openxmlformats.org/officeDocument/2006/relationships/image" Target="media/image12.png"/><Relationship Id="rId48" Type="http://schemas.openxmlformats.org/officeDocument/2006/relationships/image" Target="media/image13.png"/><Relationship Id="rId49" Type="http://schemas.openxmlformats.org/officeDocument/2006/relationships/image" Target="media/image14.png"/><Relationship Id="rId50" Type="http://schemas.openxmlformats.org/officeDocument/2006/relationships/image" Target="media/image15.png"/><Relationship Id="rId51" Type="http://schemas.openxmlformats.org/officeDocument/2006/relationships/image" Target="media/image16.png"/><Relationship Id="rId52" Type="http://schemas.openxmlformats.org/officeDocument/2006/relationships/image" Target="media/image17.png"/><Relationship Id="rId53" Type="http://schemas.openxmlformats.org/officeDocument/2006/relationships/image" Target="media/image18.png"/><Relationship Id="rId54" Type="http://schemas.openxmlformats.org/officeDocument/2006/relationships/image" Target="media/image19.png"/><Relationship Id="rId55" Type="http://schemas.openxmlformats.org/officeDocument/2006/relationships/image" Target="media/image20.png"/><Relationship Id="rId56" Type="http://schemas.openxmlformats.org/officeDocument/2006/relationships/image" Target="media/image21.png"/><Relationship Id="rId57" Type="http://schemas.openxmlformats.org/officeDocument/2006/relationships/image" Target="media/image22.png"/><Relationship Id="rId58" Type="http://schemas.openxmlformats.org/officeDocument/2006/relationships/image" Target="media/image23.png"/><Relationship Id="rId59" Type="http://schemas.openxmlformats.org/officeDocument/2006/relationships/image" Target="media/image24.png"/><Relationship Id="rId60" Type="http://schemas.openxmlformats.org/officeDocument/2006/relationships/image" Target="media/image25.png"/><Relationship Id="rId61" Type="http://schemas.openxmlformats.org/officeDocument/2006/relationships/image" Target="media/image26.png"/><Relationship Id="rId62" Type="http://schemas.openxmlformats.org/officeDocument/2006/relationships/image" Target="media/image27.png"/><Relationship Id="rId63" Type="http://schemas.openxmlformats.org/officeDocument/2006/relationships/image" Target="media/image28.png"/><Relationship Id="rId64" Type="http://schemas.openxmlformats.org/officeDocument/2006/relationships/image" Target="media/image29.png"/><Relationship Id="rId65" Type="http://schemas.openxmlformats.org/officeDocument/2006/relationships/image" Target="media/image30.png"/><Relationship Id="rId66" Type="http://schemas.openxmlformats.org/officeDocument/2006/relationships/image" Target="media/image31.png"/><Relationship Id="rId67" Type="http://schemas.openxmlformats.org/officeDocument/2006/relationships/image" Target="media/image32.png"/><Relationship Id="rId68" Type="http://schemas.openxmlformats.org/officeDocument/2006/relationships/image" Target="media/image33.png"/><Relationship Id="rId69" Type="http://schemas.openxmlformats.org/officeDocument/2006/relationships/image" Target="media/image34.png"/><Relationship Id="rId70" Type="http://schemas.openxmlformats.org/officeDocument/2006/relationships/image" Target="media/image35.png"/><Relationship Id="rId71" Type="http://schemas.openxmlformats.org/officeDocument/2006/relationships/image" Target="media/image36.png"/><Relationship Id="rId72" Type="http://schemas.openxmlformats.org/officeDocument/2006/relationships/image" Target="media/image37.png"/><Relationship Id="rId73" Type="http://schemas.openxmlformats.org/officeDocument/2006/relationships/image" Target="media/image38.png"/><Relationship Id="rId74" Type="http://schemas.openxmlformats.org/officeDocument/2006/relationships/image" Target="media/image39.png"/><Relationship Id="rId75" Type="http://schemas.openxmlformats.org/officeDocument/2006/relationships/image" Target="media/image40.png"/><Relationship Id="rId76" Type="http://schemas.openxmlformats.org/officeDocument/2006/relationships/image" Target="media/image41.png"/><Relationship Id="rId77" Type="http://schemas.openxmlformats.org/officeDocument/2006/relationships/image" Target="media/image42.png"/><Relationship Id="rId78" Type="http://schemas.openxmlformats.org/officeDocument/2006/relationships/image" Target="media/image43.png"/><Relationship Id="rId79" Type="http://schemas.openxmlformats.org/officeDocument/2006/relationships/image" Target="media/image44.png"/><Relationship Id="rId80" Type="http://schemas.openxmlformats.org/officeDocument/2006/relationships/image" Target="media/image45.png"/><Relationship Id="rId81" Type="http://schemas.openxmlformats.org/officeDocument/2006/relationships/image" Target="media/image46.png"/><Relationship Id="rId82" Type="http://schemas.openxmlformats.org/officeDocument/2006/relationships/image" Target="media/image47.png"/><Relationship Id="rId83" Type="http://schemas.openxmlformats.org/officeDocument/2006/relationships/image" Target="media/image48.png"/><Relationship Id="rId84" Type="http://schemas.openxmlformats.org/officeDocument/2006/relationships/image" Target="media/image49.png"/><Relationship Id="rId85" Type="http://schemas.openxmlformats.org/officeDocument/2006/relationships/image" Target="media/image50.png"/><Relationship Id="rId86" Type="http://schemas.openxmlformats.org/officeDocument/2006/relationships/image" Target="media/image51.png"/><Relationship Id="rId87" Type="http://schemas.openxmlformats.org/officeDocument/2006/relationships/image" Target="media/image52.png"/><Relationship Id="rId88" Type="http://schemas.openxmlformats.org/officeDocument/2006/relationships/image" Target="media/image53.png"/><Relationship Id="rId89" Type="http://schemas.openxmlformats.org/officeDocument/2006/relationships/image" Target="media/image54.png"/><Relationship Id="rId90" Type="http://schemas.openxmlformats.org/officeDocument/2006/relationships/image" Target="media/image55.png"/><Relationship Id="rId91" Type="http://schemas.openxmlformats.org/officeDocument/2006/relationships/image" Target="media/image56.png"/><Relationship Id="rId92" Type="http://schemas.openxmlformats.org/officeDocument/2006/relationships/image" Target="media/image57.png"/><Relationship Id="rId93" Type="http://schemas.openxmlformats.org/officeDocument/2006/relationships/image" Target="media/image58.png"/><Relationship Id="rId94" Type="http://schemas.openxmlformats.org/officeDocument/2006/relationships/image" Target="media/image59.png"/><Relationship Id="rId95" Type="http://schemas.openxmlformats.org/officeDocument/2006/relationships/image" Target="media/image60.png"/><Relationship Id="rId96" Type="http://schemas.openxmlformats.org/officeDocument/2006/relationships/image" Target="media/image61.png"/><Relationship Id="rId97" Type="http://schemas.openxmlformats.org/officeDocument/2006/relationships/image" Target="media/image62.png"/><Relationship Id="rId98" Type="http://schemas.openxmlformats.org/officeDocument/2006/relationships/image" Target="media/image63.png"/><Relationship Id="rId10" Type="http://schemas.openxmlformats.org/officeDocument/2006/relationships/hyperlink" Target="http://www.sec.gov/Archives/edgar/data/48732/000113031019000016/cnp_10kx12312018.htm#s837492B360C456828FD373CBD4A00B59" TargetMode="External"/><Relationship Id="rId19" Type="http://schemas.openxmlformats.org/officeDocument/2006/relationships/hyperlink" Target="http://www.sec.gov/Archives/edgar/data/48732/000113031019000016/cnp_10kx12312018.htm#s3D598A74847C5608890D48A9DBFFF48B" TargetMode="External"/><Relationship Id="rId20" Type="http://schemas.openxmlformats.org/officeDocument/2006/relationships/hyperlink" Target="http://www.sec.gov/Archives/edgar/data/48732/000113031019000016/cnp_10kx12312018.htm#s31689019CDC35665A674F81D23D70003" TargetMode="External"/><Relationship Id="rId21" Type="http://schemas.openxmlformats.org/officeDocument/2006/relationships/hyperlink" Target="http://www.sec.gov/Archives/edgar/data/1130310/000119312518125804/d561804dex21.htm" TargetMode="External"/><Relationship Id="rId22" Type="http://schemas.openxmlformats.org/officeDocument/2006/relationships/hyperlink" Target="http://www.sec.gov/Archives/edgar/data/1130310/000113031008000004/ex3-2.htm" TargetMode="External"/><Relationship Id="rId23" Type="http://schemas.openxmlformats.org/officeDocument/2006/relationships/hyperlink" Target="http://www.sec.gov/Archives/edgar/data/48732/000113031011000048/ex3-1.htm" TargetMode="External"/><Relationship Id="rId24" Type="http://schemas.openxmlformats.org/officeDocument/2006/relationships/hyperlink" Target="http://www.sec.gov/Archives/edgar/data/1130310/000119312517056500/d354129dex31.htm" TargetMode="External"/><Relationship Id="rId25" Type="http://schemas.openxmlformats.org/officeDocument/2006/relationships/hyperlink" Target="http://www.sec.gov/Archives/edgar/data/48732/000113031011000048/ex3-2.htm" TargetMode="External"/><Relationship Id="rId26" Type="http://schemas.openxmlformats.org/officeDocument/2006/relationships/hyperlink" Target="http://www.sec.gov/Archives/edgar/data/1130310/000113031012000011/exhibit3c.htm" TargetMode="External"/><Relationship Id="rId27" Type="http://schemas.openxmlformats.org/officeDocument/2006/relationships/hyperlink" Target="http://www.sec.gov/Archives/edgar/data/1130310/000119312518256372/d601681dex31.htm" TargetMode="External"/><Relationship Id="rId28" Type="http://schemas.openxmlformats.org/officeDocument/2006/relationships/hyperlink" Target="http://www.sec.gov/Archives/edgar/data/1130310/000119312518288531/d589550dex31.htm" TargetMode="External"/><Relationship Id="rId29" Type="http://schemas.openxmlformats.org/officeDocument/2006/relationships/hyperlink" Target="http://www.sec.gov/Archives/edgar/data/1130310/000095012901503771/h90625a1ex4-1.txt" TargetMode="External"/><Relationship Id="rId30" Type="http://schemas.openxmlformats.org/officeDocument/2006/relationships/hyperlink" Target="http://www.sec.gov/Archives/edgar/data/1130310/000119312518256372/d601681dex41.htm" TargetMode="External"/><Relationship Id="rId31" Type="http://schemas.openxmlformats.org/officeDocument/2006/relationships/hyperlink" Target="http://www.sec.gov/Archives/edgar/data/1130310/000119312518288531/d589550dex42.htm" TargetMode="External"/><Relationship Id="rId32" Type="http://schemas.openxmlformats.org/officeDocument/2006/relationships/hyperlink" Target="http://www.sec.gov/Archives/edgar/data/48732/000119312516496852/d113097dex41.htm" TargetMode="External"/><Relationship Id="rId33" Type="http://schemas.openxmlformats.org/officeDocument/2006/relationships/hyperlink" Target="http://www.sec.gov/Archives/edgar/data/48732/000119312516496852/d113097dex42.htm" TargetMode="External"/><Relationship Id="rId34" Type="http://schemas.openxmlformats.org/officeDocument/2006/relationships/hyperlink" Target="http://www.sec.gov/Archives/edgar/data/48732/000119312516496852/d113097dex43.htm" TargetMode="External"/><Relationship Id="rId35" Type="http://schemas.openxmlformats.org/officeDocument/2006/relationships/hyperlink" Target="http://www.sec.gov/Archives/edgar/data/48732/000119312517207142/d415215dex41.htm" TargetMode="External"/><Relationship Id="rId36" Type="http://schemas.openxmlformats.org/officeDocument/2006/relationships/hyperlink" Target="http://www.sec.gov/Archives/edgar/data/1130310/000119312518176843/d421944dex41.htm" TargetMode="External"/><Relationship Id="rId37" Type="http://schemas.openxmlformats.org/officeDocument/2006/relationships/hyperlink" Target="http://www.sec.gov/Archives/edgar/data/48732/000119312517207142/d415215dex42.htm" TargetMode="External"/><Relationship Id="rId38" Type="http://schemas.openxmlformats.org/officeDocument/2006/relationships/hyperlink" Target="http://www.sec.gov/Archives/edgar/data/48732/000119312517207142/d415215dex43.htm" TargetMode="External"/><Relationship Id="rId39" Type="http://schemas.openxmlformats.org/officeDocument/2006/relationships/hyperlink" Target="http://www.sec.gov/Archives/edgar/data/1096385/000090883417000142/vc_8k0713ex101.htm" TargetMode="External"/><Relationship Id="rId40" Type="http://schemas.openxmlformats.org/officeDocument/2006/relationships/hyperlink" Target="http://www.sec.gov/Archives/edgar/data/1096385/000090883417000142/vc_8k0713ex102.htm" TargetMode="External"/><Relationship Id="rId41" Type="http://schemas.openxmlformats.org/officeDocument/2006/relationships/hyperlink" Target="http://www.sec.gov/Archives/edgar/data/1096385/000090883418000156/vc_8k0730ex.htm" TargetMode="External"/><Relationship Id="rId42" Type="http://schemas.openxmlformats.org/officeDocument/2006/relationships/hyperlink" Target="http://www.sec.gov/Archives/edgar/data/1096385/000090883418000163/vc_8k0914ex.htm" TargetMode="External"/><Relationship Id="rId43" Type="http://schemas.openxmlformats.org/officeDocument/2006/relationships/hyperlink" Target="http://www.sec.gov/Archives/edgar/data/48732/000113031019000028/cnpexhibit417firstamen.htm" TargetMode="External"/><Relationship Id="rId44" Type="http://schemas.openxmlformats.org/officeDocument/2006/relationships/hyperlink" Target="http://www.sec.gov/Archives/edgar/data/1130310/000119312519149468/d727379dex41.htm" TargetMode="External"/><Relationship Id="rId45" Type="http://schemas.openxmlformats.org/officeDocument/2006/relationships/hyperlink" Target="http://www.sec.gov/Archives/edgar/data/1130310/000095012903003045/h06499exv4w1.txt"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2019-12-28T02:31:44Z</dcterms:created>
  <dcterms:modified xsi:type="dcterms:W3CDTF">2019-12-28T02:31:44Z</dcterms:modified>
</cp:coreProperties>
</file>