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4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24" w:right="4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84"/>
        <w:spacing w:after="0"/>
        <w:tabs>
          <w:tab w:leader="none" w:pos="6604"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20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Commission File Number 333-177662-01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CenterPoint Energy Transition Bond Company IV, LLC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CenterPoint Energy Houston Electric, LLC</w:t>
      </w:r>
    </w:p>
    <w:p>
      <w:pPr>
        <w:spacing w:after="0" w:line="3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(Exact name of depositor and sponsor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84" w:type="dxa"/>
        <w:tblCellMar>
          <w:top w:w="0" w:type="dxa"/>
          <w:left w:w="0" w:type="dxa"/>
          <w:bottom w:w="0" w:type="dxa"/>
          <w:right w:w="0" w:type="dxa"/>
        </w:tblCellMar>
      </w:tblPr>
      <w:tr>
        <w:trPr>
          <w:trHeight w:val="212"/>
        </w:trPr>
        <w:tc>
          <w:tcPr>
            <w:tcW w:w="4360" w:type="dxa"/>
            <w:vAlign w:val="bottom"/>
          </w:tcPr>
          <w:p>
            <w:pPr>
              <w:jc w:val="center"/>
              <w:ind w:right="1079"/>
              <w:spacing w:after="0"/>
              <w:rPr>
                <w:sz w:val="20"/>
                <w:szCs w:val="20"/>
                <w:color w:val="auto"/>
              </w:rPr>
            </w:pPr>
            <w:r>
              <w:rPr>
                <w:rFonts w:ascii="Arial" w:cs="Arial" w:eastAsia="Arial" w:hAnsi="Arial"/>
                <w:sz w:val="18"/>
                <w:szCs w:val="18"/>
                <w:b w:val="1"/>
                <w:bCs w:val="1"/>
                <w:color w:val="auto"/>
                <w:w w:val="91"/>
              </w:rPr>
              <w:t>Delaware</w:t>
            </w:r>
          </w:p>
        </w:tc>
        <w:tc>
          <w:tcPr>
            <w:tcW w:w="4420" w:type="dxa"/>
            <w:vAlign w:val="bottom"/>
          </w:tcPr>
          <w:p>
            <w:pPr>
              <w:jc w:val="right"/>
              <w:ind w:right="1101"/>
              <w:spacing w:after="0"/>
              <w:rPr>
                <w:sz w:val="20"/>
                <w:szCs w:val="20"/>
                <w:color w:val="auto"/>
              </w:rPr>
            </w:pPr>
            <w:r>
              <w:rPr>
                <w:rFonts w:ascii="Arial" w:cs="Arial" w:eastAsia="Arial" w:hAnsi="Arial"/>
                <w:sz w:val="18"/>
                <w:szCs w:val="18"/>
                <w:b w:val="1"/>
                <w:bCs w:val="1"/>
                <w:color w:val="auto"/>
              </w:rPr>
              <w:t>45-3687039</w:t>
            </w:r>
          </w:p>
        </w:tc>
      </w:tr>
      <w:tr>
        <w:trPr>
          <w:trHeight w:val="148"/>
        </w:trPr>
        <w:tc>
          <w:tcPr>
            <w:tcW w:w="4360" w:type="dxa"/>
            <w:vAlign w:val="bottom"/>
          </w:tcPr>
          <w:p>
            <w:pPr>
              <w:jc w:val="center"/>
              <w:ind w:right="10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20" w:type="dxa"/>
            <w:vAlign w:val="bottom"/>
          </w:tcPr>
          <w:p>
            <w:pPr>
              <w:jc w:val="center"/>
              <w:ind w:left="1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079"/>
              <w:spacing w:after="0"/>
              <w:rPr>
                <w:sz w:val="20"/>
                <w:szCs w:val="20"/>
                <w:color w:val="auto"/>
              </w:rPr>
            </w:pPr>
            <w:r>
              <w:rPr>
                <w:rFonts w:ascii="Arial" w:cs="Arial" w:eastAsia="Arial" w:hAnsi="Arial"/>
                <w:sz w:val="14"/>
                <w:szCs w:val="14"/>
                <w:b w:val="1"/>
                <w:bCs w:val="1"/>
                <w:color w:val="auto"/>
                <w:w w:val="94"/>
              </w:rPr>
              <w:t>incorporation or organization)</w:t>
            </w:r>
          </w:p>
        </w:tc>
        <w:tc>
          <w:tcPr>
            <w:tcW w:w="4420" w:type="dxa"/>
            <w:vAlign w:val="bottom"/>
          </w:tcPr>
          <w:p>
            <w:pPr>
              <w:jc w:val="center"/>
              <w:ind w:left="1101"/>
              <w:spacing w:after="0"/>
              <w:rPr>
                <w:sz w:val="20"/>
                <w:szCs w:val="20"/>
                <w:color w:val="auto"/>
              </w:rPr>
            </w:pPr>
            <w:r>
              <w:rPr>
                <w:rFonts w:ascii="Arial" w:cs="Arial" w:eastAsia="Arial" w:hAnsi="Arial"/>
                <w:sz w:val="14"/>
                <w:szCs w:val="14"/>
                <w:b w:val="1"/>
                <w:bCs w:val="1"/>
                <w:color w:val="auto"/>
                <w:w w:val="96"/>
              </w:rPr>
              <w:t>Identification Number)</w:t>
            </w:r>
          </w:p>
        </w:tc>
      </w:tr>
      <w:tr>
        <w:trPr>
          <w:trHeight w:val="304"/>
        </w:trPr>
        <w:tc>
          <w:tcPr>
            <w:tcW w:w="4360" w:type="dxa"/>
            <w:vAlign w:val="bottom"/>
          </w:tcPr>
          <w:p>
            <w:pPr>
              <w:jc w:val="center"/>
              <w:ind w:right="1099"/>
              <w:spacing w:after="0"/>
              <w:rPr>
                <w:sz w:val="20"/>
                <w:szCs w:val="20"/>
                <w:color w:val="auto"/>
              </w:rPr>
            </w:pPr>
            <w:r>
              <w:rPr>
                <w:rFonts w:ascii="Arial" w:cs="Arial" w:eastAsia="Arial" w:hAnsi="Arial"/>
                <w:sz w:val="18"/>
                <w:szCs w:val="18"/>
                <w:b w:val="1"/>
                <w:bCs w:val="1"/>
                <w:color w:val="auto"/>
                <w:w w:val="88"/>
              </w:rPr>
              <w:t>1111 Louisiana, Suite 4664B</w:t>
            </w:r>
          </w:p>
        </w:tc>
        <w:tc>
          <w:tcPr>
            <w:tcW w:w="4420" w:type="dxa"/>
            <w:vAlign w:val="bottom"/>
          </w:tcPr>
          <w:p>
            <w:pPr>
              <w:spacing w:after="0"/>
              <w:rPr>
                <w:sz w:val="24"/>
                <w:szCs w:val="24"/>
                <w:color w:val="auto"/>
              </w:rPr>
            </w:pPr>
          </w:p>
        </w:tc>
      </w:tr>
      <w:tr>
        <w:trPr>
          <w:trHeight w:val="212"/>
        </w:trPr>
        <w:tc>
          <w:tcPr>
            <w:tcW w:w="4360" w:type="dxa"/>
            <w:vAlign w:val="bottom"/>
          </w:tcPr>
          <w:p>
            <w:pPr>
              <w:jc w:val="center"/>
              <w:ind w:right="1079"/>
              <w:spacing w:after="0"/>
              <w:rPr>
                <w:sz w:val="20"/>
                <w:szCs w:val="20"/>
                <w:color w:val="auto"/>
              </w:rPr>
            </w:pPr>
            <w:r>
              <w:rPr>
                <w:rFonts w:ascii="Arial" w:cs="Arial" w:eastAsia="Arial" w:hAnsi="Arial"/>
                <w:sz w:val="18"/>
                <w:szCs w:val="18"/>
                <w:b w:val="1"/>
                <w:bCs w:val="1"/>
                <w:color w:val="auto"/>
                <w:w w:val="88"/>
              </w:rPr>
              <w:t>Houston, Texas 77002</w:t>
            </w:r>
          </w:p>
        </w:tc>
        <w:tc>
          <w:tcPr>
            <w:tcW w:w="4420" w:type="dxa"/>
            <w:vAlign w:val="bottom"/>
          </w:tcPr>
          <w:p>
            <w:pPr>
              <w:jc w:val="right"/>
              <w:ind w:right="981"/>
              <w:spacing w:after="0"/>
              <w:rPr>
                <w:sz w:val="20"/>
                <w:szCs w:val="20"/>
                <w:color w:val="auto"/>
              </w:rPr>
            </w:pPr>
            <w:r>
              <w:rPr>
                <w:rFonts w:ascii="Arial" w:cs="Arial" w:eastAsia="Arial" w:hAnsi="Arial"/>
                <w:sz w:val="18"/>
                <w:szCs w:val="18"/>
                <w:b w:val="1"/>
                <w:bCs w:val="1"/>
                <w:color w:val="auto"/>
              </w:rPr>
              <w:t>(713) 207-5776</w:t>
            </w:r>
          </w:p>
        </w:tc>
      </w:tr>
      <w:tr>
        <w:trPr>
          <w:trHeight w:val="186"/>
        </w:trPr>
        <w:tc>
          <w:tcPr>
            <w:tcW w:w="4360" w:type="dxa"/>
            <w:vAlign w:val="bottom"/>
          </w:tcPr>
          <w:p>
            <w:pPr>
              <w:jc w:val="center"/>
              <w:ind w:right="1099"/>
              <w:spacing w:after="0"/>
              <w:rPr>
                <w:sz w:val="20"/>
                <w:szCs w:val="20"/>
                <w:color w:val="auto"/>
              </w:rPr>
            </w:pPr>
            <w:r>
              <w:rPr>
                <w:rFonts w:ascii="Arial" w:cs="Arial" w:eastAsia="Arial" w:hAnsi="Arial"/>
                <w:sz w:val="14"/>
                <w:szCs w:val="14"/>
                <w:b w:val="1"/>
                <w:bCs w:val="1"/>
                <w:color w:val="auto"/>
                <w:w w:val="90"/>
              </w:rPr>
              <w:t>(Address and zip code of principal executive offices)</w:t>
            </w:r>
          </w:p>
        </w:tc>
        <w:tc>
          <w:tcPr>
            <w:tcW w:w="4420" w:type="dxa"/>
            <w:vAlign w:val="bottom"/>
          </w:tcPr>
          <w:p>
            <w:pPr>
              <w:jc w:val="center"/>
              <w:ind w:left="110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70" w:orient="portrait"/>
          <w:cols w:equalWidth="0" w:num="1">
            <w:col w:w="10984"/>
          </w:cols>
          <w:pgMar w:left="436" w:top="368" w:right="479" w:bottom="0" w:gutter="0" w:footer="0" w:header="0"/>
        </w:sectPr>
      </w:pPr>
    </w:p>
    <w:p>
      <w:pPr>
        <w:spacing w:after="0" w:line="200" w:lineRule="exact"/>
        <w:rPr>
          <w:sz w:val="24"/>
          <w:szCs w:val="24"/>
          <w:color w:val="auto"/>
        </w:rPr>
      </w:pPr>
    </w:p>
    <w:p>
      <w:pPr>
        <w:spacing w:after="0" w:line="394"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70" w:orient="portrait"/>
          <w:cols w:equalWidth="0" w:num="5">
            <w:col w:w="8884" w:space="160"/>
            <w:col w:w="260" w:space="100"/>
            <w:col w:w="160" w:space="180"/>
            <w:col w:w="220" w:space="100"/>
            <w:col w:w="920"/>
          </w:cols>
          <w:pgMar w:left="436" w:top="368" w:right="479" w:bottom="0" w:gutter="0" w:footer="0" w:header="0"/>
          <w:type w:val="continuous"/>
        </w:sectPr>
      </w:pPr>
    </w:p>
    <w:p>
      <w:pPr>
        <w:spacing w:after="0" w:line="37" w:lineRule="exact"/>
        <w:rPr>
          <w:sz w:val="24"/>
          <w:szCs w:val="24"/>
          <w:color w:val="auto"/>
        </w:rPr>
      </w:pPr>
    </w:p>
    <w:p>
      <w:pPr>
        <w:ind w:left="444"/>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70" w:orient="portrait"/>
          <w:cols w:equalWidth="0" w:num="5">
            <w:col w:w="9044" w:space="180"/>
            <w:col w:w="260" w:space="100"/>
            <w:col w:w="160" w:space="180"/>
            <w:col w:w="220" w:space="80"/>
            <w:col w:w="760"/>
          </w:cols>
          <w:pgMar w:left="436" w:top="368" w:right="479" w:bottom="0" w:gutter="0" w:footer="0" w:header="0"/>
          <w:type w:val="continuous"/>
        </w:sectPr>
      </w:pPr>
    </w:p>
    <w:p>
      <w:pPr>
        <w:spacing w:after="0" w:line="37" w:lineRule="exact"/>
        <w:rPr>
          <w:sz w:val="24"/>
          <w:szCs w:val="24"/>
          <w:color w:val="auto"/>
        </w:rPr>
      </w:pPr>
    </w:p>
    <w:p>
      <w:pPr>
        <w:ind w:left="4" w:right="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right="16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12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70" w:orient="portrait"/>
          <w:cols w:equalWidth="0" w:num="1">
            <w:col w:w="10984"/>
          </w:cols>
          <w:pgMar w:left="436" w:top="368" w:right="479" w:bottom="0" w:gutter="0" w:footer="0" w:header="0"/>
          <w:type w:val="continuous"/>
        </w:sectPr>
      </w:pPr>
    </w:p>
    <w:bookmarkStart w:id="1" w:name="page2"/>
    <w:bookmarkEnd w:id="1"/>
    <w:p>
      <w:pPr>
        <w:ind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207" w:lineRule="exact"/>
        <w:tabs>
          <w:tab w:leader="none" w:pos="8040" w:val="left"/>
          <w:tab w:leader="none" w:pos="8740" w:val="left"/>
        </w:tabs>
        <w:rPr>
          <w:sz w:val="20"/>
          <w:szCs w:val="20"/>
          <w:color w:val="auto"/>
        </w:rPr>
      </w:pPr>
      <w:r>
        <w:rPr>
          <w:rFonts w:ascii="Arial" w:cs="Arial" w:eastAsia="Arial" w:hAnsi="Arial"/>
          <w:sz w:val="17"/>
          <w:szCs w:val="17"/>
          <w:color w:val="auto"/>
        </w:rPr>
        <w:t>Indicate by check mark whether the registrant is a shell company (as defined by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market value of the member’s equity held by non-affiliates of the registrant as of June 30, 2020: None</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Documents incorporated by reference: A portion of the proxy statement relating to the 2021 Annual Meeting of Shareholders of CenterPoint Energy, Inc. is incorporated by reference in Item 11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125" w:right="679" w:bottom="1440" w:gutter="0" w:footer="0" w:header="0"/>
        </w:sectPr>
      </w:pPr>
    </w:p>
    <w:bookmarkStart w:id="2" w:name="page3"/>
    <w:bookmarkEnd w:id="2"/>
    <w:p>
      <w:pPr>
        <w:ind w:left="5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As of the date of this Annual Report on Form 10-K, CenterPoint Energy Transition Bond Company IV, LLC (the “Issuing Entity”) has five managers. For as long as necessary under applicable Rating Agency criteria (as such term is defined in the Issuing Entity’s Amended and Restated Limited Liability Company Agreement (the “LLC Agreement”)) in order to maintain a rating of “AAA” (or the equivalent thereof) for the Issuing Entity’s Series 2012 Senior Secured Transition Bonds, the Issuing Entity shall have at least two individuals who are Independent Managers (as such term is defined in the LLC Agreement). In the event that two Independent Managers are not necessary under applicable Rating Agency criteria in order to maintain such a rating, the Issuing Entity shall have at least one individual who is an Independent Manager. Currently, Messrs. Angelo and O’Connor serve as the Independent Managers of the Issuing Entity.</w:t>
      </w:r>
    </w:p>
    <w:p>
      <w:pPr>
        <w:spacing w:after="0" w:line="17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Independent Manager is defined in the LLC Agreement as a manager of the Issuing Entity who is not, and within the previous five years was not (except solely by virtue of such Person’s serving as, or affiliation with any other Person serving as, a special member or an independent director or manager, as applicable, of CenterPoint Energy Houston Electric, LLC (“Houston Electric”), the Issuing Entity or any bankruptcy remote special purpose entity that is an Affiliate of Houston Electric or the Issuing Entity), (i) a stockholder, member, partner, director, officer, employee, Affiliate, customer, supplier, creditor or independent contractor of, or any Person that has received any benefit in any form whatsoever from (other than in such Manager’s capacity as a ratepayer or customer of Houston Electric in the ordinary course of business), or any Person that has provided any service in any form whatsoever to, or any major creditor (or any Affiliate of any major creditor) of, the Issuing Entity, Houston Electric or any of their Affiliates, or (ii) any Person owning beneficially, directly or indirectly, any outstanding shares of common stock, any limited liability company interests or any partnership interests, as applicable, of the Issuing Entity, Houston Electric, or any of their Affiliates, or of any major creditor (or any Affiliate of any major creditor) of any of the foregoing, or a stockholder, member, partner, director, officer, employee, Affiliate, customer, supplier, creditor or independent contractor of, or any Person that has received any benefit in any form whatever from (other than in such Person’s capacity as a ratepayer or customer of Houston Electric in the ordinary course of business), or any Person that has provided any service in any form whatever to, such beneficial owner or any of such beneficial owner’s Affiliates, or (iii) a member of the immediate family of any person described above; provided that the indirect or beneficial ownership of stock through a mutual fund or similar diversified investment vehicle with respect to which the owner does not have discretion or control over the investments held by such diversified investment vehicle shall not preclude such owner from being an Independent Manager. For purposes of this definition, “major creditor” shall mean a natural person or business entity to which the Issuing Entity, Houston Electric or any of their Affiliates has outstanding indebtedness for borrowed money or credit on open account in a sum sufficiently large as would reasonably be expected to influence the judgment of the proposed Independent Manager adversely to the interests of the Issuing Entity when the interests of that Person are adverse to those of the Issuing Entity. Capitalized terms used in this paragraph have the meanings assigned to them in the LLC Agreement.</w:t>
      </w:r>
    </w:p>
    <w:p>
      <w:pPr>
        <w:sectPr>
          <w:pgSz w:w="11900" w:h="16838" w:orient="portrait"/>
          <w:cols w:equalWidth="0" w:num="1">
            <w:col w:w="10980"/>
          </w:cols>
          <w:pgMar w:left="440" w:top="270" w:right="47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are the managers of the Issuing Entity as of the date of this Annual Report on Form 10-K: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60" w:type="dxa"/>
            <w:vAlign w:val="bottom"/>
            <w:gridSpan w:val="2"/>
          </w:tcPr>
          <w:p>
            <w:pPr>
              <w:spacing w:after="0"/>
              <w:rPr>
                <w:sz w:val="20"/>
                <w:szCs w:val="20"/>
                <w:color w:val="auto"/>
              </w:rPr>
            </w:pPr>
            <w:r>
              <w:rPr>
                <w:rFonts w:ascii="Arial" w:cs="Arial" w:eastAsia="Arial" w:hAnsi="Arial"/>
                <w:sz w:val="14"/>
                <w:szCs w:val="14"/>
                <w:color w:val="auto"/>
              </w:rPr>
              <w:t>Name</w:t>
            </w:r>
          </w:p>
        </w:tc>
        <w:tc>
          <w:tcPr>
            <w:tcW w:w="6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auto"/>
              </w:rPr>
              <w:t>Age</w:t>
            </w:r>
          </w:p>
        </w:tc>
        <w:tc>
          <w:tcPr>
            <w:tcW w:w="7480" w:type="dxa"/>
            <w:vAlign w:val="bottom"/>
          </w:tcPr>
          <w:p>
            <w:pPr>
              <w:ind w:left="3380"/>
              <w:spacing w:after="0"/>
              <w:rPr>
                <w:sz w:val="20"/>
                <w:szCs w:val="20"/>
                <w:color w:val="auto"/>
              </w:rPr>
            </w:pPr>
            <w:r>
              <w:rPr>
                <w:rFonts w:ascii="Arial" w:cs="Arial" w:eastAsia="Arial" w:hAnsi="Arial"/>
                <w:sz w:val="14"/>
                <w:szCs w:val="14"/>
                <w:color w:val="auto"/>
              </w:rPr>
              <w:t>Background</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Jason</w:t>
            </w:r>
          </w:p>
        </w:tc>
        <w:tc>
          <w:tcPr>
            <w:tcW w:w="1720" w:type="dxa"/>
            <w:vAlign w:val="bottom"/>
          </w:tcPr>
          <w:p>
            <w:pPr>
              <w:ind w:left="100"/>
              <w:spacing w:after="0" w:line="189" w:lineRule="exact"/>
              <w:rPr>
                <w:sz w:val="20"/>
                <w:szCs w:val="20"/>
                <w:color w:val="auto"/>
              </w:rPr>
            </w:pPr>
            <w:r>
              <w:rPr>
                <w:rFonts w:ascii="Arial" w:cs="Arial" w:eastAsia="Arial" w:hAnsi="Arial"/>
                <w:sz w:val="18"/>
                <w:szCs w:val="18"/>
                <w:color w:val="auto"/>
              </w:rPr>
              <w:t>P. Wells</w:t>
            </w:r>
          </w:p>
        </w:tc>
        <w:tc>
          <w:tcPr>
            <w:tcW w:w="680" w:type="dxa"/>
            <w:vAlign w:val="bottom"/>
          </w:tcPr>
          <w:p>
            <w:pPr>
              <w:spacing w:after="0"/>
              <w:rPr>
                <w:sz w:val="16"/>
                <w:szCs w:val="16"/>
                <w:color w:val="auto"/>
              </w:rPr>
            </w:pPr>
          </w:p>
        </w:tc>
        <w:tc>
          <w:tcPr>
            <w:tcW w:w="580" w:type="dxa"/>
            <w:vAlign w:val="bottom"/>
            <w:tcBorders>
              <w:top w:val="single" w:sz="8" w:color="auto"/>
            </w:tcBorders>
          </w:tcPr>
          <w:p>
            <w:pPr>
              <w:jc w:val="right"/>
              <w:ind w:right="319"/>
              <w:spacing w:after="0" w:line="189" w:lineRule="exact"/>
              <w:rPr>
                <w:sz w:val="20"/>
                <w:szCs w:val="20"/>
                <w:color w:val="auto"/>
              </w:rPr>
            </w:pPr>
            <w:r>
              <w:rPr>
                <w:rFonts w:ascii="Arial" w:cs="Arial" w:eastAsia="Arial" w:hAnsi="Arial"/>
                <w:sz w:val="18"/>
                <w:szCs w:val="18"/>
                <w:color w:val="auto"/>
                <w:w w:val="79"/>
              </w:rPr>
              <w:t>43</w:t>
            </w:r>
          </w:p>
        </w:tc>
        <w:tc>
          <w:tcPr>
            <w:tcW w:w="220" w:type="dxa"/>
            <w:vAlign w:val="bottom"/>
          </w:tcPr>
          <w:p>
            <w:pPr>
              <w:spacing w:after="0"/>
              <w:rPr>
                <w:sz w:val="16"/>
                <w:szCs w:val="16"/>
                <w:color w:val="auto"/>
              </w:rPr>
            </w:pPr>
          </w:p>
        </w:tc>
        <w:tc>
          <w:tcPr>
            <w:tcW w:w="7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0"/>
              </w:rPr>
              <w:t>Manager and President of the Issuing Entity since September 2020. Executive Vice President and Chief</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Financial Officer of Houston Electric and CenterPoint Energy, Inc. since September 2020. Executive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Vice President and Chief Financial Officer of PG&amp;E Corporation from June 2019 to September 2020.</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Senior Vice President and Chief Financial Officer of PG&amp;E Corporation from January 2016 to June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2019. Vice President, Business Finance of Pacific Gas and Electric Company from August 2013 to</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January 2016. PG&amp;E Corporation filed Chapter 11 bankruptcy on January 29, 2019 and successfully</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emerged from bankruptcy on July 1, 2020.</w:t>
            </w:r>
          </w:p>
        </w:tc>
      </w:tr>
      <w:tr>
        <w:trPr>
          <w:trHeight w:val="323"/>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Mr. Wells is also a manager of CenterPoint Energy Restoration Bond Company, LLC (since September</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2020), a subsidiary of Houston Electric.</w:t>
            </w:r>
          </w:p>
        </w:tc>
      </w:tr>
      <w:tr>
        <w:trPr>
          <w:trHeight w:val="323"/>
        </w:trPr>
        <w:tc>
          <w:tcPr>
            <w:tcW w:w="2060" w:type="dxa"/>
            <w:vAlign w:val="bottom"/>
            <w:gridSpan w:val="2"/>
          </w:tcPr>
          <w:p>
            <w:pPr>
              <w:spacing w:after="0"/>
              <w:rPr>
                <w:sz w:val="20"/>
                <w:szCs w:val="20"/>
                <w:color w:val="auto"/>
              </w:rPr>
            </w:pPr>
            <w:r>
              <w:rPr>
                <w:rFonts w:ascii="Arial" w:cs="Arial" w:eastAsia="Arial" w:hAnsi="Arial"/>
                <w:sz w:val="18"/>
                <w:szCs w:val="18"/>
                <w:color w:val="auto"/>
              </w:rPr>
              <w:t>Kristie Colvin</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Manager and Senior Vice President and Chief Accounting Officer of the Issuing Entity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September 2014. Senior Vice President and Chief Accounting Officer of Houston Electric and</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CenterPoint Energy, Inc. since August 2015 and September 2014, respectively, and, in addition to this</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role, Interim Executive Vice President and Chief Financial Officer from April 2020 to September 2020.</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Division Vice President Finance, Regulated Operations of Houston Electric and CenterPoint Energy,</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8"/>
              </w:rPr>
              <w:t>Inc. from July 2010 until September 2014. Senior Director, Financial Planning and Performance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Measurement of CenterPoint Energy, Inc. from August 2007 through June 2010.</w:t>
            </w:r>
          </w:p>
        </w:tc>
      </w:tr>
      <w:tr>
        <w:trPr>
          <w:trHeight w:val="323"/>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Ms. Colvin is also a manager of CenterPoint Energy Restoration Bond Company, LLC (since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September 2014), a subsidiary of Houston Electric.</w:t>
            </w:r>
          </w:p>
        </w:tc>
      </w:tr>
      <w:tr>
        <w:trPr>
          <w:trHeight w:val="323"/>
        </w:trPr>
        <w:tc>
          <w:tcPr>
            <w:tcW w:w="2060" w:type="dxa"/>
            <w:vAlign w:val="bottom"/>
            <w:gridSpan w:val="2"/>
          </w:tcPr>
          <w:p>
            <w:pPr>
              <w:spacing w:after="0"/>
              <w:rPr>
                <w:sz w:val="20"/>
                <w:szCs w:val="20"/>
                <w:color w:val="auto"/>
              </w:rPr>
            </w:pPr>
            <w:r>
              <w:rPr>
                <w:rFonts w:ascii="Arial" w:cs="Arial" w:eastAsia="Arial" w:hAnsi="Arial"/>
                <w:sz w:val="18"/>
                <w:szCs w:val="18"/>
                <w:color w:val="auto"/>
              </w:rPr>
              <w:t>Stacey L. Peterson</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Manager and Vice President and Treasurer of the Issuing Entity since January 2021. Senior Vice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President, Financial Planning and Treasurer of Houston Electric and CenterPoint Energy, Inc.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January 2021. Senior Vice President, Finance, Treasurer and Head of Investor Relations of Talen</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3"/>
              </w:rPr>
              <w:t>Energy Corp. from April 2018 to September 2019. Vice President, Finance and Treasurer of Calpine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Corporation from January 2013 to March 2018.</w:t>
            </w:r>
          </w:p>
        </w:tc>
      </w:tr>
      <w:tr>
        <w:trPr>
          <w:trHeight w:val="323"/>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0"/>
              </w:rPr>
              <w:t>Ms. Peterson is also a manager of CenterPoint Energy Restoration Bond Company, LLC (since January</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2021), a subsidiary of Houston Electric.</w:t>
            </w:r>
          </w:p>
        </w:tc>
      </w:tr>
      <w:tr>
        <w:trPr>
          <w:trHeight w:val="323"/>
        </w:trPr>
        <w:tc>
          <w:tcPr>
            <w:tcW w:w="2060" w:type="dxa"/>
            <w:vAlign w:val="bottom"/>
            <w:gridSpan w:val="2"/>
          </w:tcPr>
          <w:p>
            <w:pPr>
              <w:spacing w:after="0"/>
              <w:rPr>
                <w:sz w:val="20"/>
                <w:szCs w:val="20"/>
                <w:color w:val="auto"/>
              </w:rPr>
            </w:pPr>
            <w:r>
              <w:rPr>
                <w:rFonts w:ascii="Arial" w:cs="Arial" w:eastAsia="Arial" w:hAnsi="Arial"/>
                <w:sz w:val="18"/>
                <w:szCs w:val="18"/>
                <w:color w:val="auto"/>
              </w:rPr>
              <w:t>Bernard J. Angelo</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Manager of the Issuing Entity. Senior Vice President of Global Securitization Services, LLC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April 1997. Director or manager, as the case may be, of Ameriquest Funding II Reo Subsidiary LLC</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(November 2000 - March 2009); Ameriquest Mortgage Securities Inc. (January 2000 - March 2009);</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Argent Securities Inc. (May 2002 - March 2009); Raven Funding LLC (since June 1999); ATAX TEBS</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1, LLC (since September 2010); ATAX TEBS II, LLC (since March 2014); Bay View Deposit</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Corporation (November 2004 - December 2006); BCF Funding II LLC (February 2005 - April 2013);</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Carmax Auto Funding LLC (since August 2003); CEC Funding LLC (February 2005 - April 2013);</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Daimler Trust Leasing LLC (since January 2009); Ford Credit Auto Receivables Two LLC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5"/>
              </w:rPr>
              <w:t>January 2001); Hamilton Floating Rate Fund I, LLC (October 2005 - January 2011); Hexagon ABS</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Corp. (February 2005 - November 2006); J.G. Wentworth Receivables III LLC (since September</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1997); PNC Mortgage Capital LLC, formerly known as National City Mortgage Capital LLC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7"/>
              </w:rPr>
              <w:t>August 2005); PG&amp;E Energy Recovery Funding LLC (October 2004 - December 2012); Prosper</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Funding LLC (since March 2012); RS TEBS, Inc. (May 2010 - May 2015); SunTrust Auto</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Receivables, LLC (May 2007 - November 2010); Venture Lending &amp; Leasing IV, LLC (October 2004 -</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June 2009); Venture Lending &amp; Leasing V, LLC (June 2006 - May 2009); World Omni Auto</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Receivables LLC (since March 2003); World Omni Auto Leasing LLC (since June 2008): ACREFI</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9"/>
              </w:rPr>
              <w:t>Holdings J-I, LLC (since December 2009); ACREFI Holdings J-II, LLC (since December 2009);</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4"/>
              </w:rPr>
              <w:t>Affirm ABS, LLC (since July 2020); Duke Energy Florida Project Finance LLC (since January 2016);</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8"/>
              </w:rPr>
              <w:t>Fifth Third Holdings Funding, LLC (since June 2007); Glenbridge Property Holding Corp. (since</w:t>
            </w:r>
          </w:p>
        </w:tc>
      </w:tr>
      <w:tr>
        <w:trPr>
          <w:trHeight w:val="216"/>
        </w:trPr>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December 2018); Oaks Funding LLC (since January 2015); and Oaks Funding II LLC (since April</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2016).</w:t>
            </w:r>
          </w:p>
        </w:tc>
      </w:tr>
      <w:tr>
        <w:trPr>
          <w:trHeight w:val="323"/>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Mr. Angelo is also a manager of CenterPoint Energy Restoration Bond Company, LLC (since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November 2009), a subsidiary of Houston Electric.</w:t>
            </w:r>
          </w:p>
        </w:tc>
      </w:tr>
      <w:tr>
        <w:trPr>
          <w:trHeight w:val="323"/>
        </w:trPr>
        <w:tc>
          <w:tcPr>
            <w:tcW w:w="2060" w:type="dxa"/>
            <w:vAlign w:val="bottom"/>
            <w:gridSpan w:val="2"/>
          </w:tcPr>
          <w:p>
            <w:pPr>
              <w:spacing w:after="0"/>
              <w:rPr>
                <w:sz w:val="20"/>
                <w:szCs w:val="20"/>
                <w:color w:val="auto"/>
              </w:rPr>
            </w:pPr>
            <w:r>
              <w:rPr>
                <w:rFonts w:ascii="Arial" w:cs="Arial" w:eastAsia="Arial" w:hAnsi="Arial"/>
                <w:sz w:val="18"/>
                <w:szCs w:val="18"/>
                <w:color w:val="auto"/>
              </w:rPr>
              <w:t>Timothy O’Connor</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6"/>
              </w:rPr>
              <w:t>Manager of the Issuing Entity. Senior Vice President of Global Securitization Services, LLC since</w:t>
            </w:r>
          </w:p>
        </w:tc>
      </w:tr>
      <w:tr>
        <w:trPr>
          <w:trHeight w:val="230"/>
        </w:trPr>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April 2002. Director of California Petroleum Corporation from September 2009 to June 2016).</w:t>
            </w:r>
          </w:p>
        </w:tc>
      </w:tr>
    </w:tbl>
    <w:p>
      <w:pPr>
        <w:sectPr>
          <w:pgSz w:w="11900" w:h="16838" w:orient="portrait"/>
          <w:cols w:equalWidth="0" w:num="1">
            <w:col w:w="11020"/>
          </w:cols>
          <w:pgMar w:left="440" w:top="274" w:right="4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Code of Conduct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The Issuing Entity is a wholly-owned subsidiary of Houston Electric which in turn is an indirect subsidiary of CenterPoint Energy, Inc. (“CenterPoint Energy”). CenterPoint Energy has adopted a code of ethics for its Chief Executive Officer and Senior Financial Officers, which group consists of its Chief Financial Officer, Chief Accounting Officer, Treasurer and Assistant Controller.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Arial" w:cs="Arial" w:eastAsia="Arial" w:hAnsi="Arial"/>
          <w:sz w:val="18"/>
          <w:szCs w:val="18"/>
          <w:i w:val="1"/>
          <w:iCs w:val="1"/>
          <w:color w:val="auto"/>
        </w:rPr>
        <w:t>https://investors.centerpointenergy.com/governance.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Other than the annual independent managers fee of $3,500 paid to Global Securitization Services, LLC, the Issuing Entity does not pay any compensation to its executive officers or managers.</w:t>
      </w:r>
    </w:p>
    <w:p>
      <w:pPr>
        <w:spacing w:after="0" w:line="170"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 xml:space="preserve">The information required by this item with respect to Houston Electric is incorporated herein by reference to the material under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of the definitive proxy statement of CenterPoint Energy for its 2021 annual meeting of shareholders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on March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Omitted pursuant to General Instruction J of Form 10-K.</w:t>
      </w:r>
    </w:p>
    <w:p>
      <w:pPr>
        <w:sectPr>
          <w:pgSz w:w="11900" w:h="16838" w:orient="portrait"/>
          <w:cols w:equalWidth="0" w:num="1">
            <w:col w:w="10940"/>
          </w:cols>
          <w:pgMar w:left="440" w:top="270" w:right="5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Documents filed as a part of this report:</w:t>
      </w:r>
    </w:p>
    <w:p>
      <w:pPr>
        <w:spacing w:after="0" w:line="130" w:lineRule="exact"/>
        <w:rPr>
          <w:rFonts w:ascii="Arial" w:cs="Arial" w:eastAsia="Arial" w:hAnsi="Arial"/>
          <w:sz w:val="18"/>
          <w:szCs w:val="18"/>
          <w:color w:val="auto"/>
        </w:rPr>
      </w:pPr>
    </w:p>
    <w:p>
      <w:pPr>
        <w:ind w:left="1420" w:right="8040" w:hanging="439"/>
        <w:spacing w:after="0" w:line="431" w:lineRule="auto"/>
        <w:tabs>
          <w:tab w:leader="none" w:pos="1405" w:val="left"/>
        </w:tabs>
        <w:numPr>
          <w:ilvl w:val="1"/>
          <w:numId w:val="3"/>
        </w:numPr>
        <w:rPr>
          <w:rFonts w:ascii="Arial" w:cs="Arial" w:eastAsia="Arial" w:hAnsi="Arial"/>
          <w:sz w:val="16"/>
          <w:szCs w:val="16"/>
          <w:color w:val="auto"/>
        </w:rPr>
      </w:pPr>
      <w:r>
        <w:rPr>
          <w:rFonts w:ascii="Arial" w:cs="Arial" w:eastAsia="Arial" w:hAnsi="Arial"/>
          <w:sz w:val="16"/>
          <w:szCs w:val="16"/>
          <w:color w:val="auto"/>
        </w:rPr>
        <w:t>Financial Statements. Not applicable.</w:t>
      </w:r>
    </w:p>
    <w:p>
      <w:pPr>
        <w:ind w:left="1420" w:right="7340" w:hanging="439"/>
        <w:spacing w:after="0" w:line="383" w:lineRule="auto"/>
        <w:tabs>
          <w:tab w:leader="none" w:pos="140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ind w:left="1420" w:right="40" w:hanging="439"/>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Exhibits required by Item 601 of Regulation S-K (exhibits marked with an asterisk are filed herewith and the others are incorporated by reference):</w:t>
      </w:r>
    </w:p>
    <w:p>
      <w:pPr>
        <w:spacing w:after="0" w:line="76" w:lineRule="exact"/>
        <w:rPr>
          <w:sz w:val="20"/>
          <w:szCs w:val="20"/>
          <w:color w:val="auto"/>
        </w:rPr>
      </w:pPr>
    </w:p>
    <w:p>
      <w:pPr>
        <w:ind w:left="780" w:right="16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4">
        <w:r>
          <w:rPr>
            <w:rFonts w:ascii="Arial" w:cs="Arial" w:eastAsia="Arial" w:hAnsi="Arial"/>
            <w:sz w:val="18"/>
            <w:szCs w:val="18"/>
            <w:u w:val="single" w:color="auto"/>
            <w:color w:val="0000EE"/>
          </w:rPr>
          <w:t>Certificate of Formation of CenterPoint Energy Transition Bond Company IV, LLC (the “Issuing Entity”) filed with the Delaware Secretary</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of State on October 14, 2011.</w:t>
        </w:r>
      </w:hyperlink>
    </w:p>
    <w:p>
      <w:pPr>
        <w:spacing w:after="0" w:line="62" w:lineRule="exact"/>
        <w:rPr>
          <w:sz w:val="20"/>
          <w:szCs w:val="20"/>
          <w:color w:val="auto"/>
        </w:rPr>
      </w:pPr>
    </w:p>
    <w:p>
      <w:pPr>
        <w:ind w:left="18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25">
        <w:r>
          <w:rPr>
            <w:rFonts w:ascii="Arial" w:cs="Arial" w:eastAsia="Arial" w:hAnsi="Arial"/>
            <w:sz w:val="16"/>
            <w:szCs w:val="16"/>
            <w:u w:val="single" w:color="auto"/>
            <w:color w:val="0000EE"/>
          </w:rPr>
          <w:t>Amended and Restated Limited Liability Company Agreement of the Issuing Entity dated as of January 19, 2012.</w:t>
        </w:r>
      </w:hyperlink>
    </w:p>
    <w:p>
      <w:pPr>
        <w:spacing w:after="0" w:line="117" w:lineRule="exact"/>
        <w:rPr>
          <w:sz w:val="20"/>
          <w:szCs w:val="20"/>
          <w:color w:val="auto"/>
        </w:rPr>
      </w:pPr>
    </w:p>
    <w:p>
      <w:pPr>
        <w:ind w:left="78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26">
        <w:r>
          <w:rPr>
            <w:rFonts w:ascii="Arial" w:cs="Arial" w:eastAsia="Arial" w:hAnsi="Arial"/>
            <w:sz w:val="18"/>
            <w:szCs w:val="18"/>
            <w:u w:val="single" w:color="auto"/>
            <w:color w:val="0000EE"/>
          </w:rPr>
          <w:t>Indenture dated as of January 19, 2012 between the Issuing Entity and Deutsche Bank Trust Company Americas, as trustee, providing for the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issuance of Senior Secured Transition Bonds.</w:t>
        </w:r>
      </w:hyperlink>
    </w:p>
    <w:p>
      <w:pPr>
        <w:spacing w:after="0" w:line="62" w:lineRule="exact"/>
        <w:rPr>
          <w:sz w:val="20"/>
          <w:szCs w:val="20"/>
          <w:color w:val="auto"/>
        </w:rPr>
      </w:pPr>
    </w:p>
    <w:p>
      <w:pPr>
        <w:ind w:left="780" w:right="44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27">
        <w:r>
          <w:rPr>
            <w:rFonts w:ascii="Arial" w:cs="Arial" w:eastAsia="Arial" w:hAnsi="Arial"/>
            <w:sz w:val="18"/>
            <w:szCs w:val="18"/>
            <w:u w:val="single" w:color="auto"/>
            <w:color w:val="0000EE"/>
          </w:rPr>
          <w:t>First Supplemental Indenture dated as of January 19, 2012 between the Issuing Entity and Deutsche Bank Trust Company Americas, as</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trustee, providing for the issuance of the Issuing Entity’s 2012 Senior Secured Transition Bonds.</w:t>
        </w:r>
      </w:hyperlink>
    </w:p>
    <w:p>
      <w:pPr>
        <w:spacing w:after="0" w:line="62" w:lineRule="exact"/>
        <w:rPr>
          <w:sz w:val="20"/>
          <w:szCs w:val="20"/>
          <w:color w:val="auto"/>
        </w:rPr>
      </w:pPr>
    </w:p>
    <w:p>
      <w:pPr>
        <w:ind w:left="18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7">
        <w:r>
          <w:rPr>
            <w:rFonts w:ascii="Arial" w:cs="Arial" w:eastAsia="Arial" w:hAnsi="Arial"/>
            <w:sz w:val="16"/>
            <w:szCs w:val="16"/>
            <w:u w:val="single" w:color="auto"/>
            <w:color w:val="0000EE"/>
          </w:rPr>
          <w:t>Form of 2012 Senior Secured Transition Bond (included in Exhibit 4.2).</w:t>
        </w:r>
      </w:hyperlink>
    </w:p>
    <w:p>
      <w:pPr>
        <w:spacing w:after="0" w:line="117"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1">
        <w:r>
          <w:rPr>
            <w:rFonts w:ascii="Arial" w:cs="Arial" w:eastAsia="Arial" w:hAnsi="Arial"/>
            <w:sz w:val="17"/>
            <w:szCs w:val="17"/>
            <w:u w:val="single" w:color="auto"/>
            <w:color w:val="0000EE"/>
          </w:rPr>
          <w:t>Certification.</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*33.1</w:t>
      </w:r>
      <w:r>
        <w:rPr>
          <w:sz w:val="20"/>
          <w:szCs w:val="20"/>
          <w:color w:val="auto"/>
        </w:rPr>
        <w:tab/>
      </w:r>
      <w:hyperlink w:anchor="page12">
        <w:r>
          <w:rPr>
            <w:rFonts w:ascii="Arial" w:cs="Arial" w:eastAsia="Arial" w:hAnsi="Arial"/>
            <w:sz w:val="16"/>
            <w:szCs w:val="16"/>
            <w:u w:val="single" w:color="auto"/>
            <w:color w:val="0000EE"/>
          </w:rPr>
          <w:t>Report on assessment of compliance with servicing criteria for asset-backed securities for CenterPoint Energy Houston Electric, LLC.</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*33.2</w:t>
      </w:r>
      <w:r>
        <w:rPr>
          <w:sz w:val="20"/>
          <w:szCs w:val="20"/>
          <w:color w:val="auto"/>
        </w:rPr>
        <w:tab/>
      </w:r>
      <w:hyperlink w:anchor="page17">
        <w:r>
          <w:rPr>
            <w:rFonts w:ascii="Arial" w:cs="Arial" w:eastAsia="Arial" w:hAnsi="Arial"/>
            <w:sz w:val="16"/>
            <w:szCs w:val="16"/>
            <w:u w:val="single" w:color="auto"/>
            <w:color w:val="0000EE"/>
          </w:rPr>
          <w:t>Assertion of compliance with applicable servicing criteria for Deutsche Bank Trust Company Americas.</w:t>
        </w:r>
      </w:hyperlink>
    </w:p>
    <w:p>
      <w:pPr>
        <w:spacing w:after="0" w:line="117" w:lineRule="exact"/>
        <w:rPr>
          <w:sz w:val="20"/>
          <w:szCs w:val="20"/>
          <w:color w:val="auto"/>
        </w:rPr>
      </w:pPr>
    </w:p>
    <w:p>
      <w:pPr>
        <w:ind w:left="780" w:right="40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*34.1</w:t>
      </w:r>
      <w:r>
        <w:rPr>
          <w:sz w:val="20"/>
          <w:szCs w:val="20"/>
          <w:color w:val="auto"/>
        </w:rPr>
        <w:tab/>
      </w:r>
      <w:hyperlink w:anchor="page38">
        <w:r>
          <w:rPr>
            <w:rFonts w:ascii="Arial" w:cs="Arial" w:eastAsia="Arial" w:hAnsi="Arial"/>
            <w:sz w:val="18"/>
            <w:szCs w:val="18"/>
            <w:u w:val="single" w:color="auto"/>
            <w:color w:val="0000EE"/>
          </w:rPr>
          <w:t>Attestation report on assessment of compliance with servicing criteria for asset-backed securities of Deloitte &amp; Touche LLP on behalf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CenterPoint Energy Houston Electric, LLC.</w:t>
        </w:r>
      </w:hyperlink>
    </w:p>
    <w:p>
      <w:pPr>
        <w:spacing w:after="0" w:line="62" w:lineRule="exact"/>
        <w:rPr>
          <w:sz w:val="20"/>
          <w:szCs w:val="20"/>
          <w:color w:val="auto"/>
        </w:rPr>
      </w:pPr>
    </w:p>
    <w:p>
      <w:pPr>
        <w:ind w:left="780" w:right="8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*34.2</w:t>
      </w:r>
      <w:r>
        <w:rPr>
          <w:sz w:val="20"/>
          <w:szCs w:val="20"/>
          <w:color w:val="auto"/>
        </w:rPr>
        <w:tab/>
      </w:r>
      <w:hyperlink w:anchor="page39">
        <w:r>
          <w:rPr>
            <w:rFonts w:ascii="Arial" w:cs="Arial" w:eastAsia="Arial" w:hAnsi="Arial"/>
            <w:sz w:val="18"/>
            <w:szCs w:val="18"/>
            <w:u w:val="single" w:color="auto"/>
            <w:color w:val="0000EE"/>
          </w:rPr>
          <w:t>Attestation report on assessment of compliance with servicing criteria for asset-backed securities of KPMG LLP on behalf of Deutsche Bank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Trust Company Americas.</w:t>
        </w:r>
      </w:hyperlink>
    </w:p>
    <w:p>
      <w:pPr>
        <w:spacing w:after="0" w:line="6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*35.1</w:t>
      </w:r>
      <w:r>
        <w:rPr>
          <w:sz w:val="20"/>
          <w:szCs w:val="20"/>
          <w:color w:val="auto"/>
        </w:rPr>
        <w:tab/>
      </w:r>
      <w:hyperlink w:anchor="page40">
        <w:r>
          <w:rPr>
            <w:rFonts w:ascii="Arial" w:cs="Arial" w:eastAsia="Arial" w:hAnsi="Arial"/>
            <w:sz w:val="16"/>
            <w:szCs w:val="16"/>
            <w:u w:val="single" w:color="auto"/>
            <w:color w:val="0000EE"/>
          </w:rPr>
          <w:t>Servicer compliance statement.</w:t>
        </w:r>
      </w:hyperlink>
    </w:p>
    <w:p>
      <w:pPr>
        <w:spacing w:after="0" w:line="117" w:lineRule="exact"/>
        <w:rPr>
          <w:sz w:val="20"/>
          <w:szCs w:val="20"/>
          <w:color w:val="auto"/>
        </w:rPr>
      </w:pPr>
    </w:p>
    <w:p>
      <w:pPr>
        <w:ind w:left="780" w:right="2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8">
        <w:r>
          <w:rPr>
            <w:rFonts w:ascii="Arial" w:cs="Arial" w:eastAsia="Arial" w:hAnsi="Arial"/>
            <w:sz w:val="18"/>
            <w:szCs w:val="18"/>
            <w:u w:val="single" w:color="auto"/>
            <w:color w:val="0000EE"/>
          </w:rPr>
          <w:t>Transition Property Sale Agreement dated as of January 19, 2012 between the Issuing Entity and CenterPoint Energy Houston Electric, LLC,</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as seller.</w:t>
        </w:r>
      </w:hyperlink>
    </w:p>
    <w:p>
      <w:pPr>
        <w:spacing w:after="0" w:line="62" w:lineRule="exact"/>
        <w:rPr>
          <w:sz w:val="20"/>
          <w:szCs w:val="20"/>
          <w:color w:val="auto"/>
        </w:rPr>
      </w:pPr>
    </w:p>
    <w:p>
      <w:pPr>
        <w:ind w:left="780" w:right="6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9">
        <w:r>
          <w:rPr>
            <w:rFonts w:ascii="Arial" w:cs="Arial" w:eastAsia="Arial" w:hAnsi="Arial"/>
            <w:sz w:val="18"/>
            <w:szCs w:val="18"/>
            <w:u w:val="single" w:color="auto"/>
            <w:color w:val="0000EE"/>
          </w:rPr>
          <w:t>Transition Property Servicing Agreement dated as of January 19, 2012 between the Issuing Entity and CenterPoint Energy Houston Electric,</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LLC, as servicer.</w:t>
        </w:r>
      </w:hyperlink>
    </w:p>
    <w:p>
      <w:pPr>
        <w:spacing w:after="0" w:line="62" w:lineRule="exact"/>
        <w:rPr>
          <w:sz w:val="20"/>
          <w:szCs w:val="20"/>
          <w:color w:val="auto"/>
        </w:rPr>
      </w:pPr>
    </w:p>
    <w:p>
      <w:pPr>
        <w:ind w:left="780" w:right="480" w:hanging="69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r:id="rId30">
        <w:r>
          <w:rPr>
            <w:rFonts w:ascii="Arial" w:cs="Arial" w:eastAsia="Arial" w:hAnsi="Arial"/>
            <w:sz w:val="18"/>
            <w:szCs w:val="18"/>
            <w:u w:val="single" w:color="auto"/>
            <w:color w:val="0000EE"/>
          </w:rPr>
          <w:t>Administration Agreement dated as of January 19, 2012 between the Issuing Entity and CenterPoint Energy Houston Electric, LLC, as</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administrator.</w:t>
        </w:r>
      </w:hyperlink>
    </w:p>
    <w:p>
      <w:pPr>
        <w:sectPr>
          <w:pgSz w:w="11900" w:h="16838" w:orient="portrait"/>
          <w:cols w:equalWidth="0" w:num="1">
            <w:col w:w="11000"/>
          </w:cols>
          <w:pgMar w:left="440" w:top="270" w:right="45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Exhibits required by this Form and Item 601 of Regulation S-K (exhibits marked with an asterisk are filed herewith):</w:t>
      </w:r>
    </w:p>
    <w:p>
      <w:pPr>
        <w:spacing w:after="0" w:line="131" w:lineRule="exact"/>
        <w:rPr>
          <w:sz w:val="20"/>
          <w:szCs w:val="20"/>
          <w:color w:val="auto"/>
        </w:rPr>
      </w:pPr>
    </w:p>
    <w:p>
      <w:pPr>
        <w:jc w:val="both"/>
        <w:ind w:left="780" w:right="180" w:hanging="602"/>
        <w:spacing w:after="0" w:line="263"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24">
        <w:r>
          <w:rPr>
            <w:rFonts w:ascii="Arial" w:cs="Arial" w:eastAsia="Arial" w:hAnsi="Arial"/>
            <w:sz w:val="18"/>
            <w:szCs w:val="18"/>
            <w:u w:val="single" w:color="auto"/>
            <w:color w:val="0000EE"/>
          </w:rPr>
          <w:t xml:space="preserve">Certificate of Formation of the Issuing Entity filed with the Delaware Secretary of State on October 14, 2011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3.3 included as an exhibit to the Issuing Entity’s Registration Statement on Form S-3 (Reg. No. 333-177662-01) dated November 2, 2011).</w:t>
      </w:r>
    </w:p>
    <w:p>
      <w:pPr>
        <w:spacing w:after="0" w:line="76" w:lineRule="exact"/>
        <w:rPr>
          <w:sz w:val="20"/>
          <w:szCs w:val="20"/>
          <w:color w:val="auto"/>
        </w:rPr>
      </w:pPr>
    </w:p>
    <w:p>
      <w:pPr>
        <w:ind w:left="780" w:right="120" w:hanging="60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25">
        <w:r>
          <w:rPr>
            <w:rFonts w:ascii="Arial" w:cs="Arial" w:eastAsia="Arial" w:hAnsi="Arial"/>
            <w:sz w:val="18"/>
            <w:szCs w:val="18"/>
            <w:u w:val="single" w:color="auto"/>
            <w:color w:val="0000EE"/>
          </w:rPr>
          <w:t xml:space="preserve">Amended and Restated Limited Liability Company Agreement of the Issuing Entity dated as of January 19, 2012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to exhibit 3.1 included as an exhibit to the Issuing Entity’s Current Report on Form 8-K dated January 11, 2012).</w:t>
      </w:r>
    </w:p>
    <w:p>
      <w:pPr>
        <w:spacing w:after="0" w:line="62" w:lineRule="exact"/>
        <w:rPr>
          <w:sz w:val="20"/>
          <w:szCs w:val="20"/>
          <w:color w:val="auto"/>
        </w:rPr>
      </w:pPr>
    </w:p>
    <w:p>
      <w:pPr>
        <w:ind w:left="780" w:hanging="602"/>
        <w:spacing w:after="0" w:line="263" w:lineRule="auto"/>
        <w:tabs>
          <w:tab w:leader="none" w:pos="760" w:val="left"/>
        </w:tabs>
        <w:rPr>
          <w:rFonts w:ascii="Arial" w:cs="Arial" w:eastAsia="Arial" w:hAnsi="Arial"/>
          <w:sz w:val="18"/>
          <w:szCs w:val="18"/>
          <w:color w:val="0000EE"/>
        </w:rPr>
      </w:pPr>
      <w:r>
        <w:rPr>
          <w:rFonts w:ascii="Arial" w:cs="Arial" w:eastAsia="Arial" w:hAnsi="Arial"/>
          <w:sz w:val="18"/>
          <w:szCs w:val="18"/>
          <w:color w:val="auto"/>
        </w:rPr>
        <w:t>4.1</w:t>
      </w:r>
      <w:r>
        <w:rPr>
          <w:sz w:val="20"/>
          <w:szCs w:val="20"/>
          <w:color w:val="auto"/>
        </w:rPr>
        <w:tab/>
      </w:r>
      <w:hyperlink r:id="rId26">
        <w:r>
          <w:rPr>
            <w:rFonts w:ascii="Arial" w:cs="Arial" w:eastAsia="Arial" w:hAnsi="Arial"/>
            <w:sz w:val="18"/>
            <w:szCs w:val="18"/>
            <w:u w:val="single" w:color="auto"/>
            <w:color w:val="0000EE"/>
          </w:rPr>
          <w:t>Indenture dated as of January 19, 2012 between the Issuing Entity and Deutsche Bank Trust Company Americas, as trustee, providing for the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issuance of Senior Secured Transition Bonds</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4.1 included as an exhibit to the Issuing Entity’s Current</w:t>
        </w:r>
      </w:hyperlink>
      <w:r>
        <w:rPr>
          <w:rFonts w:ascii="Arial" w:cs="Arial" w:eastAsia="Arial" w:hAnsi="Arial"/>
          <w:sz w:val="18"/>
          <w:szCs w:val="18"/>
          <w:color w:val="0000EE"/>
        </w:rPr>
        <w:t xml:space="preserve"> </w:t>
      </w:r>
      <w:r>
        <w:rPr>
          <w:rFonts w:ascii="Arial" w:cs="Arial" w:eastAsia="Arial" w:hAnsi="Arial"/>
          <w:sz w:val="18"/>
          <w:szCs w:val="18"/>
          <w:color w:val="000000"/>
        </w:rPr>
        <w:t>Report on Form 8-K dated January 11, 2012).</w:t>
      </w:r>
    </w:p>
    <w:p>
      <w:pPr>
        <w:spacing w:after="0" w:line="76" w:lineRule="exact"/>
        <w:rPr>
          <w:sz w:val="20"/>
          <w:szCs w:val="20"/>
          <w:color w:val="auto"/>
        </w:rPr>
      </w:pPr>
    </w:p>
    <w:p>
      <w:pPr>
        <w:jc w:val="both"/>
        <w:ind w:left="780" w:right="360" w:hanging="602"/>
        <w:spacing w:after="0" w:line="286" w:lineRule="auto"/>
        <w:tabs>
          <w:tab w:leader="none" w:pos="760" w:val="left"/>
        </w:tabs>
        <w:rPr>
          <w:rFonts w:ascii="Arial" w:cs="Arial" w:eastAsia="Arial" w:hAnsi="Arial"/>
          <w:sz w:val="17"/>
          <w:szCs w:val="17"/>
          <w:color w:val="0000EE"/>
        </w:rPr>
      </w:pPr>
      <w:r>
        <w:rPr>
          <w:rFonts w:ascii="Arial" w:cs="Arial" w:eastAsia="Arial" w:hAnsi="Arial"/>
          <w:sz w:val="18"/>
          <w:szCs w:val="18"/>
          <w:color w:val="auto"/>
        </w:rPr>
        <w:t>4.2</w:t>
      </w:r>
      <w:r>
        <w:rPr>
          <w:sz w:val="20"/>
          <w:szCs w:val="20"/>
          <w:color w:val="auto"/>
        </w:rPr>
        <w:tab/>
      </w:r>
      <w:hyperlink r:id="rId27">
        <w:r>
          <w:rPr>
            <w:rFonts w:ascii="Arial" w:cs="Arial" w:eastAsia="Arial" w:hAnsi="Arial"/>
            <w:sz w:val="17"/>
            <w:szCs w:val="17"/>
            <w:u w:val="single" w:color="auto"/>
            <w:color w:val="0000EE"/>
          </w:rPr>
          <w:t>First Supplemental Indenture dated as of January 19, 2012 between the Issuing Entity and Deutsche Bank Trust Company Americas, as</w:t>
        </w:r>
      </w:hyperlink>
      <w:r>
        <w:rPr>
          <w:rFonts w:ascii="Arial" w:cs="Arial" w:eastAsia="Arial" w:hAnsi="Arial"/>
          <w:sz w:val="17"/>
          <w:szCs w:val="17"/>
          <w:u w:val="single" w:color="auto"/>
          <w:color w:val="0000EE"/>
        </w:rPr>
        <w:t xml:space="preserve"> </w:t>
      </w:r>
      <w:hyperlink r:id="rId27">
        <w:r>
          <w:rPr>
            <w:rFonts w:ascii="Arial" w:cs="Arial" w:eastAsia="Arial" w:hAnsi="Arial"/>
            <w:sz w:val="17"/>
            <w:szCs w:val="17"/>
            <w:u w:val="single" w:color="auto"/>
            <w:color w:val="0000EE"/>
          </w:rPr>
          <w:t>trustee, providing for the issuance of the Issuing Entity’s 2012 Senior Secured Transition Bonds</w:t>
        </w:r>
        <w:r>
          <w:rPr>
            <w:rFonts w:ascii="Arial" w:cs="Arial" w:eastAsia="Arial" w:hAnsi="Arial"/>
            <w:sz w:val="17"/>
            <w:szCs w:val="17"/>
            <w:color w:val="0000EE"/>
          </w:rPr>
          <w:t xml:space="preserve"> </w:t>
        </w:r>
        <w:r>
          <w:rPr>
            <w:rFonts w:ascii="Arial" w:cs="Arial" w:eastAsia="Arial" w:hAnsi="Arial"/>
            <w:sz w:val="17"/>
            <w:szCs w:val="17"/>
            <w:color w:val="000000"/>
          </w:rPr>
          <w:t>(incorporated by reference to exhibit 4.2</w:t>
        </w:r>
      </w:hyperlink>
      <w:r>
        <w:rPr>
          <w:rFonts w:ascii="Arial" w:cs="Arial" w:eastAsia="Arial" w:hAnsi="Arial"/>
          <w:sz w:val="17"/>
          <w:szCs w:val="17"/>
          <w:color w:val="0000EE"/>
        </w:rPr>
        <w:t xml:space="preserve"> </w:t>
      </w:r>
      <w:r>
        <w:rPr>
          <w:rFonts w:ascii="Arial" w:cs="Arial" w:eastAsia="Arial" w:hAnsi="Arial"/>
          <w:sz w:val="17"/>
          <w:szCs w:val="17"/>
          <w:color w:val="000000"/>
        </w:rPr>
        <w:t>included as an exhibit to the Issuing Entity’s Current Report on Form 8-K dated January 11, 2012).</w:t>
      </w:r>
    </w:p>
    <w:p>
      <w:pPr>
        <w:spacing w:after="0" w:line="57" w:lineRule="exact"/>
        <w:rPr>
          <w:sz w:val="20"/>
          <w:szCs w:val="20"/>
          <w:color w:val="auto"/>
        </w:rPr>
      </w:pPr>
    </w:p>
    <w:p>
      <w:pPr>
        <w:ind w:left="780" w:right="40" w:hanging="602"/>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7">
        <w:r>
          <w:rPr>
            <w:rFonts w:ascii="Arial" w:cs="Arial" w:eastAsia="Arial" w:hAnsi="Arial"/>
            <w:sz w:val="16"/>
            <w:szCs w:val="16"/>
            <w:u w:val="single" w:color="auto"/>
            <w:color w:val="0000EE"/>
          </w:rPr>
          <w:t xml:space="preserve">Form of 2012 Senior Secured Transition Bond (included as Exhibit A to the First Supplement Indenture filed as Exhibit 4.2) </w:t>
        </w:r>
      </w:hyperlink>
      <w:r>
        <w:rPr>
          <w:rFonts w:ascii="Arial" w:cs="Arial" w:eastAsia="Arial" w:hAnsi="Arial"/>
          <w:sz w:val="16"/>
          <w:szCs w:val="16"/>
          <w:color w:val="000000"/>
        </w:rPr>
        <w:t>(incorporated</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by</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reference to exhibit 4.2 included as an exhibit to the Issuing Entity’s Current Report on Form 8-K dated January 11, 2012).</w:t>
      </w:r>
    </w:p>
    <w:p>
      <w:pPr>
        <w:spacing w:after="0" w:line="16" w:lineRule="exact"/>
        <w:rPr>
          <w:sz w:val="20"/>
          <w:szCs w:val="20"/>
          <w:color w:val="auto"/>
        </w:rPr>
      </w:pPr>
    </w:p>
    <w:p>
      <w:pPr>
        <w:spacing w:after="0"/>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*31.1</w:t>
      </w:r>
      <w:r>
        <w:rPr>
          <w:sz w:val="20"/>
          <w:szCs w:val="20"/>
          <w:color w:val="auto"/>
        </w:rPr>
        <w:tab/>
      </w:r>
      <w:hyperlink w:anchor="page11">
        <w:r>
          <w:rPr>
            <w:rFonts w:ascii="Arial" w:cs="Arial" w:eastAsia="Arial" w:hAnsi="Arial"/>
            <w:sz w:val="17"/>
            <w:szCs w:val="17"/>
            <w:u w:val="single" w:color="auto"/>
            <w:color w:val="0000EE"/>
          </w:rPr>
          <w:t>Certification.</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*33.1</w:t>
      </w:r>
      <w:r>
        <w:rPr>
          <w:sz w:val="20"/>
          <w:szCs w:val="20"/>
          <w:color w:val="auto"/>
        </w:rPr>
        <w:tab/>
      </w:r>
      <w:hyperlink w:anchor="page12">
        <w:r>
          <w:rPr>
            <w:rFonts w:ascii="Arial" w:cs="Arial" w:eastAsia="Arial" w:hAnsi="Arial"/>
            <w:sz w:val="16"/>
            <w:szCs w:val="16"/>
            <w:u w:val="single" w:color="auto"/>
            <w:color w:val="0000EE"/>
          </w:rPr>
          <w:t>Report on assessment of compliance with servicing criteria for asset-backed securities for CenterPoint Energy Houston Electric, LLC.</w:t>
        </w:r>
      </w:hyperlink>
    </w:p>
    <w:p>
      <w:pPr>
        <w:spacing w:after="0" w:line="117"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*33.2</w:t>
      </w:r>
      <w:r>
        <w:rPr>
          <w:sz w:val="20"/>
          <w:szCs w:val="20"/>
          <w:color w:val="auto"/>
        </w:rPr>
        <w:tab/>
      </w:r>
      <w:hyperlink w:anchor="page17">
        <w:r>
          <w:rPr>
            <w:rFonts w:ascii="Arial" w:cs="Arial" w:eastAsia="Arial" w:hAnsi="Arial"/>
            <w:sz w:val="16"/>
            <w:szCs w:val="16"/>
            <w:u w:val="single" w:color="auto"/>
            <w:color w:val="0000EE"/>
          </w:rPr>
          <w:t>Assertion of compliance with applicable servicing criteria for Deutsche Bank Trust Company Americas.</w:t>
        </w:r>
      </w:hyperlink>
    </w:p>
    <w:p>
      <w:pPr>
        <w:spacing w:after="0" w:line="117" w:lineRule="exact"/>
        <w:rPr>
          <w:sz w:val="20"/>
          <w:szCs w:val="20"/>
          <w:color w:val="auto"/>
        </w:rPr>
      </w:pPr>
    </w:p>
    <w:p>
      <w:pPr>
        <w:ind w:left="780" w:right="40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*34.1</w:t>
      </w:r>
      <w:r>
        <w:rPr>
          <w:sz w:val="20"/>
          <w:szCs w:val="20"/>
          <w:color w:val="auto"/>
        </w:rPr>
        <w:tab/>
      </w:r>
      <w:hyperlink w:anchor="page38">
        <w:r>
          <w:rPr>
            <w:rFonts w:ascii="Arial" w:cs="Arial" w:eastAsia="Arial" w:hAnsi="Arial"/>
            <w:sz w:val="18"/>
            <w:szCs w:val="18"/>
            <w:u w:val="single" w:color="auto"/>
            <w:color w:val="0000EE"/>
          </w:rPr>
          <w:t>Attestation report on assessment of compliance with servicing criteria for asset-backed securities of Deloitte &amp; Touche LLP on behalf of</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CenterPoint Energy Houston Electric, LLC.</w:t>
        </w:r>
      </w:hyperlink>
    </w:p>
    <w:p>
      <w:pPr>
        <w:spacing w:after="0" w:line="62" w:lineRule="exact"/>
        <w:rPr>
          <w:sz w:val="20"/>
          <w:szCs w:val="20"/>
          <w:color w:val="auto"/>
        </w:rPr>
      </w:pPr>
    </w:p>
    <w:p>
      <w:pPr>
        <w:ind w:left="780" w:right="80" w:hanging="782"/>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*34.2</w:t>
      </w:r>
      <w:r>
        <w:rPr>
          <w:sz w:val="20"/>
          <w:szCs w:val="20"/>
          <w:color w:val="auto"/>
        </w:rPr>
        <w:tab/>
      </w:r>
      <w:hyperlink w:anchor="page39">
        <w:r>
          <w:rPr>
            <w:rFonts w:ascii="Arial" w:cs="Arial" w:eastAsia="Arial" w:hAnsi="Arial"/>
            <w:sz w:val="18"/>
            <w:szCs w:val="18"/>
            <w:u w:val="single" w:color="auto"/>
            <w:color w:val="0000EE"/>
          </w:rPr>
          <w:t>Attestation report on assessment of compliance with servicing criteria for asset-backed securities of KPMG LLP on behalf of Deutsche Bank</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Trust Company Americas.</w:t>
        </w:r>
      </w:hyperlink>
    </w:p>
    <w:p>
      <w:pPr>
        <w:spacing w:after="0" w:line="62"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*35.1</w:t>
      </w:r>
      <w:r>
        <w:rPr>
          <w:sz w:val="20"/>
          <w:szCs w:val="20"/>
          <w:color w:val="auto"/>
        </w:rPr>
        <w:tab/>
      </w:r>
      <w:hyperlink w:anchor="page40">
        <w:r>
          <w:rPr>
            <w:rFonts w:ascii="Arial" w:cs="Arial" w:eastAsia="Arial" w:hAnsi="Arial"/>
            <w:sz w:val="16"/>
            <w:szCs w:val="16"/>
            <w:u w:val="single" w:color="auto"/>
            <w:color w:val="0000EE"/>
          </w:rPr>
          <w:t>Servicer compliance statement.</w:t>
        </w:r>
      </w:hyperlink>
    </w:p>
    <w:p>
      <w:pPr>
        <w:spacing w:after="0" w:line="117" w:lineRule="exact"/>
        <w:rPr>
          <w:sz w:val="20"/>
          <w:szCs w:val="20"/>
          <w:color w:val="auto"/>
        </w:rPr>
      </w:pPr>
    </w:p>
    <w:p>
      <w:pPr>
        <w:ind w:left="780" w:right="20" w:hanging="692"/>
        <w:spacing w:after="0" w:line="263" w:lineRule="auto"/>
        <w:tabs>
          <w:tab w:leader="none" w:pos="760" w:val="left"/>
        </w:tabs>
        <w:rPr>
          <w:rFonts w:ascii="Arial" w:cs="Arial" w:eastAsia="Arial" w:hAnsi="Arial"/>
          <w:sz w:val="18"/>
          <w:szCs w:val="18"/>
          <w:color w:val="0000EE"/>
        </w:rPr>
      </w:pPr>
      <w:r>
        <w:rPr>
          <w:rFonts w:ascii="Arial" w:cs="Arial" w:eastAsia="Arial" w:hAnsi="Arial"/>
          <w:sz w:val="18"/>
          <w:szCs w:val="18"/>
          <w:color w:val="auto"/>
        </w:rPr>
        <w:t>99.1</w:t>
      </w:r>
      <w:r>
        <w:rPr>
          <w:sz w:val="20"/>
          <w:szCs w:val="20"/>
          <w:color w:val="auto"/>
        </w:rPr>
        <w:tab/>
      </w:r>
      <w:hyperlink r:id="rId28">
        <w:r>
          <w:rPr>
            <w:rFonts w:ascii="Arial" w:cs="Arial" w:eastAsia="Arial" w:hAnsi="Arial"/>
            <w:sz w:val="18"/>
            <w:szCs w:val="18"/>
            <w:u w:val="single" w:color="auto"/>
            <w:color w:val="0000EE"/>
          </w:rPr>
          <w:t>Transition Property Sale Agreement dated as of January 19, 2012 between the Issuing Entity and CenterPoint Energy Houston Electric, LLC,</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as seller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10.1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76" w:lineRule="exact"/>
        <w:rPr>
          <w:sz w:val="20"/>
          <w:szCs w:val="20"/>
          <w:color w:val="auto"/>
        </w:rPr>
      </w:pPr>
    </w:p>
    <w:p>
      <w:pPr>
        <w:ind w:left="780" w:right="60" w:hanging="692"/>
        <w:spacing w:after="0" w:line="263" w:lineRule="auto"/>
        <w:tabs>
          <w:tab w:leader="none" w:pos="760" w:val="left"/>
        </w:tabs>
        <w:rPr>
          <w:rFonts w:ascii="Arial" w:cs="Arial" w:eastAsia="Arial" w:hAnsi="Arial"/>
          <w:sz w:val="18"/>
          <w:szCs w:val="18"/>
          <w:color w:val="0000EE"/>
        </w:rPr>
      </w:pPr>
      <w:r>
        <w:rPr>
          <w:rFonts w:ascii="Arial" w:cs="Arial" w:eastAsia="Arial" w:hAnsi="Arial"/>
          <w:sz w:val="18"/>
          <w:szCs w:val="18"/>
          <w:color w:val="auto"/>
        </w:rPr>
        <w:t>99.2</w:t>
      </w:r>
      <w:r>
        <w:rPr>
          <w:sz w:val="20"/>
          <w:szCs w:val="20"/>
          <w:color w:val="auto"/>
        </w:rPr>
        <w:tab/>
      </w:r>
      <w:hyperlink r:id="rId29">
        <w:r>
          <w:rPr>
            <w:rFonts w:ascii="Arial" w:cs="Arial" w:eastAsia="Arial" w:hAnsi="Arial"/>
            <w:sz w:val="18"/>
            <w:szCs w:val="18"/>
            <w:u w:val="single" w:color="auto"/>
            <w:color w:val="0000EE"/>
          </w:rPr>
          <w:t>Transition Property Servicing Agreement dated as of January 19, 2012 between the Issuing Entity and CenterPoint Energy Houston Electric,</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LLC, as servicer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10.2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76" w:lineRule="exact"/>
        <w:rPr>
          <w:sz w:val="20"/>
          <w:szCs w:val="20"/>
          <w:color w:val="auto"/>
        </w:rPr>
      </w:pPr>
    </w:p>
    <w:p>
      <w:pPr>
        <w:jc w:val="both"/>
        <w:ind w:left="780" w:right="440" w:hanging="692"/>
        <w:spacing w:after="0" w:line="263" w:lineRule="auto"/>
        <w:tabs>
          <w:tab w:leader="none" w:pos="760" w:val="left"/>
        </w:tabs>
        <w:rPr>
          <w:rFonts w:ascii="Arial" w:cs="Arial" w:eastAsia="Arial" w:hAnsi="Arial"/>
          <w:sz w:val="18"/>
          <w:szCs w:val="18"/>
          <w:color w:val="0000EE"/>
        </w:rPr>
      </w:pPr>
      <w:r>
        <w:rPr>
          <w:rFonts w:ascii="Arial" w:cs="Arial" w:eastAsia="Arial" w:hAnsi="Arial"/>
          <w:sz w:val="18"/>
          <w:szCs w:val="18"/>
          <w:color w:val="auto"/>
        </w:rPr>
        <w:t>99.3</w:t>
      </w:r>
      <w:r>
        <w:rPr>
          <w:sz w:val="20"/>
          <w:szCs w:val="20"/>
          <w:color w:val="auto"/>
        </w:rPr>
        <w:tab/>
      </w:r>
      <w:hyperlink r:id="rId30">
        <w:r>
          <w:rPr>
            <w:rFonts w:ascii="Arial" w:cs="Arial" w:eastAsia="Arial" w:hAnsi="Arial"/>
            <w:sz w:val="18"/>
            <w:szCs w:val="18"/>
            <w:u w:val="single" w:color="auto"/>
            <w:color w:val="0000EE"/>
          </w:rPr>
          <w:t>Administration Agreement dated as of January 19, 2012 between the Issuing Entity and CenterPoint Energy Houston Electric, LLC, as</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administrator</w:t>
        </w:r>
        <w:r>
          <w:rPr>
            <w:rFonts w:ascii="Arial" w:cs="Arial" w:eastAsia="Arial" w:hAnsi="Arial"/>
            <w:sz w:val="18"/>
            <w:szCs w:val="18"/>
            <w:color w:val="0000EE"/>
          </w:rPr>
          <w:t xml:space="preserve"> </w:t>
        </w:r>
        <w:r>
          <w:rPr>
            <w:rFonts w:ascii="Arial" w:cs="Arial" w:eastAsia="Arial" w:hAnsi="Arial"/>
            <w:sz w:val="18"/>
            <w:szCs w:val="18"/>
            <w:color w:val="000000"/>
          </w:rPr>
          <w:t>(incorporated by reference to exhibit 10.3 included as an exhibit to the Issuing Entity’s Current Report on Form 8-K dated</w:t>
        </w:r>
      </w:hyperlink>
      <w:r>
        <w:rPr>
          <w:rFonts w:ascii="Arial" w:cs="Arial" w:eastAsia="Arial" w:hAnsi="Arial"/>
          <w:sz w:val="18"/>
          <w:szCs w:val="18"/>
          <w:color w:val="0000EE"/>
        </w:rPr>
        <w:t xml:space="preserve"> </w:t>
      </w:r>
      <w:r>
        <w:rPr>
          <w:rFonts w:ascii="Arial" w:cs="Arial" w:eastAsia="Arial" w:hAnsi="Arial"/>
          <w:sz w:val="18"/>
          <w:szCs w:val="18"/>
          <w:color w:val="000000"/>
        </w:rPr>
        <w:t>January 11, 2012).</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1112(b). Significant Obligors of Pool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1114(b)(2). Credit Enhancement and Other Support, Except for Certain Derivatives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1115(b). Certain Derivatives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1117. 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1119. Affiliations and Certain Relationships and Related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Issuing Entity is a wholly-owned subsidiary of CenterPoint Energy Houston Electric, LLC.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1122. Compliance with Applicable Servicing Criteria.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Exhibits 33.1, 33.2, 34.1 and 34.2 under Item 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1123. Servicer Compliance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35.1 under Item 15.</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Houston, the State of Texas, on the 25th day of March, 2021.</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CENTERPOINT ENERGY TRANSITION BOND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IV, LLC, as Issuing Entity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CENTERPOINT ENERGY HOUSTON ELECTRIC,</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LLC, as servicer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Stacey 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Stacey L. Peterson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6"/>
          <w:szCs w:val="16"/>
          <w:color w:val="auto"/>
        </w:rPr>
        <w:t>Title:</w:t>
        <w:tab/>
        <w:t>Senior Vice President, Financial Planning and</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(Senior officer in charge of the servicing</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function of the servicer)</w:t>
      </w:r>
    </w:p>
    <w:p>
      <w:pPr>
        <w:spacing w:after="0" w:line="22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66"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sectPr>
          <w:pgSz w:w="11900" w:h="16838" w:orient="portrait"/>
          <w:cols w:equalWidth="0" w:num="1">
            <w:col w:w="10980"/>
          </w:cols>
          <w:pgMar w:left="440" w:top="270"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Stacey L. Peterson, certify that:</w:t>
      </w:r>
    </w:p>
    <w:p>
      <w:pPr>
        <w:spacing w:after="0" w:line="117" w:lineRule="exact"/>
        <w:rPr>
          <w:sz w:val="20"/>
          <w:szCs w:val="20"/>
          <w:color w:val="auto"/>
        </w:rPr>
      </w:pPr>
    </w:p>
    <w:p>
      <w:pPr>
        <w:ind w:right="280" w:firstLine="436"/>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10-K and all reports on Form 10-D required to be filed in respect of the period covered by this report on Form 10-K of CenterPoint Energy Transition Bond Company IV, LLC (the “Exchange Act periodic reports”);</w:t>
      </w:r>
    </w:p>
    <w:p>
      <w:pPr>
        <w:spacing w:after="0" w:line="62" w:lineRule="exact"/>
        <w:rPr>
          <w:rFonts w:ascii="Arial" w:cs="Arial" w:eastAsia="Arial" w:hAnsi="Arial"/>
          <w:sz w:val="18"/>
          <w:szCs w:val="18"/>
          <w:color w:val="auto"/>
        </w:rPr>
      </w:pPr>
    </w:p>
    <w:p>
      <w:pPr>
        <w:jc w:val="both"/>
        <w:ind w:right="120" w:firstLine="436"/>
        <w:spacing w:after="0" w:line="26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600" w:firstLine="436"/>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all of the distribution, servicing and other information required to be provided under Form 10-D for the period covered by this report is included in the Exchange Act periodic reports;</w:t>
      </w:r>
    </w:p>
    <w:p>
      <w:pPr>
        <w:spacing w:after="0" w:line="62" w:lineRule="exact"/>
        <w:rPr>
          <w:rFonts w:ascii="Arial" w:cs="Arial" w:eastAsia="Arial" w:hAnsi="Arial"/>
          <w:sz w:val="18"/>
          <w:szCs w:val="18"/>
          <w:color w:val="auto"/>
        </w:rPr>
      </w:pPr>
    </w:p>
    <w:p>
      <w:pPr>
        <w:ind w:right="220" w:firstLine="436"/>
        <w:spacing w:after="0" w:line="30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Transition Property Servicing Agreement dated as of January 19, 2012 between CenterPoint Energy Transition Bond Company IV, LLC, as the Issuing Entity, and the Servicer, in all material respects; and</w:t>
      </w:r>
    </w:p>
    <w:p>
      <w:pPr>
        <w:spacing w:after="0" w:line="49" w:lineRule="exact"/>
        <w:rPr>
          <w:rFonts w:ascii="Arial" w:cs="Arial" w:eastAsia="Arial" w:hAnsi="Arial"/>
          <w:sz w:val="16"/>
          <w:szCs w:val="16"/>
          <w:color w:val="auto"/>
        </w:rPr>
      </w:pPr>
    </w:p>
    <w:p>
      <w:pPr>
        <w:ind w:right="140" w:firstLine="436"/>
        <w:spacing w:after="0" w:line="27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giving the certifications above, I have reasonably relied on information provided to me by the following unaffiliated parties: Deutsche Bank Trust Company Americas, as Indenture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Stacey 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Stacey L. Peterson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 Financial Planning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Officer in Charge of Servicing Function)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CenterPoint Energy Houston Electric, LLC, as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servicer</w:t>
      </w:r>
    </w:p>
    <w:p>
      <w:pPr>
        <w:sectPr>
          <w:pgSz w:w="11900" w:h="16838" w:orient="portrait"/>
          <w:cols w:equalWidth="0" w:num="1">
            <w:col w:w="11020"/>
          </w:cols>
          <w:pgMar w:left="440" w:top="121" w:right="439" w:bottom="1440" w:gutter="0" w:footer="0" w:header="0"/>
        </w:sectPr>
      </w:pPr>
    </w:p>
    <w:bookmarkStart w:id="11" w:name="page12"/>
    <w:bookmarkEnd w:id="11"/>
    <w:p>
      <w:pPr>
        <w:ind w:left="10080"/>
        <w:spacing w:after="0"/>
        <w:rPr>
          <w:sz w:val="20"/>
          <w:szCs w:val="20"/>
          <w:color w:val="auto"/>
        </w:rPr>
      </w:pPr>
      <w:r>
        <w:rPr>
          <w:rFonts w:ascii="Arial" w:cs="Arial" w:eastAsia="Arial" w:hAnsi="Arial"/>
          <w:sz w:val="16"/>
          <w:szCs w:val="16"/>
          <w:b w:val="1"/>
          <w:bCs w:val="1"/>
          <w:color w:val="auto"/>
        </w:rPr>
        <w:t>Exhibit 33.1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REPORT ON ASSESSMENT OF COMPLIANCE WITH SERVICING CRITERIA FOR ASSET-BACKED SECURITIES FOR CENTERPOINT ENERGY HOUSTON ELECTRIC, LLC</w:t>
      </w:r>
    </w:p>
    <w:p>
      <w:pPr>
        <w:spacing w:after="0" w:line="166"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The undersigned hereby certifies that she is the duly elected and acting Senior Vice President and Treasurer of CENTERPOINT ENERGY HOUSTON ELECTRIC, LLC, as servicer (the “</w:t>
      </w:r>
      <w:r>
        <w:rPr>
          <w:rFonts w:ascii="Arial" w:cs="Arial" w:eastAsia="Arial" w:hAnsi="Arial"/>
          <w:sz w:val="18"/>
          <w:szCs w:val="18"/>
          <w:u w:val="single" w:color="auto"/>
          <w:color w:val="auto"/>
        </w:rPr>
        <w:t>Servicer</w:t>
      </w:r>
      <w:r>
        <w:rPr>
          <w:rFonts w:ascii="Arial" w:cs="Arial" w:eastAsia="Arial" w:hAnsi="Arial"/>
          <w:sz w:val="18"/>
          <w:szCs w:val="18"/>
          <w:color w:val="auto"/>
        </w:rPr>
        <w:t>” or “</w:t>
      </w:r>
      <w:r>
        <w:rPr>
          <w:rFonts w:ascii="Arial" w:cs="Arial" w:eastAsia="Arial" w:hAnsi="Arial"/>
          <w:sz w:val="18"/>
          <w:szCs w:val="18"/>
          <w:u w:val="single" w:color="auto"/>
          <w:color w:val="auto"/>
        </w:rPr>
        <w:t>Houston Electric</w:t>
      </w:r>
      <w:r>
        <w:rPr>
          <w:rFonts w:ascii="Arial" w:cs="Arial" w:eastAsia="Arial" w:hAnsi="Arial"/>
          <w:sz w:val="18"/>
          <w:szCs w:val="18"/>
          <w:color w:val="auto"/>
        </w:rPr>
        <w:t>”) under the Transition Property Servicing Agreement dated as of January 19, 2012 (the “</w:t>
      </w:r>
      <w:r>
        <w:rPr>
          <w:rFonts w:ascii="Arial" w:cs="Arial" w:eastAsia="Arial" w:hAnsi="Arial"/>
          <w:sz w:val="18"/>
          <w:szCs w:val="18"/>
          <w:u w:val="single" w:color="auto"/>
          <w:color w:val="auto"/>
        </w:rPr>
        <w:t>Servicing Agreement</w:t>
      </w:r>
      <w:r>
        <w:rPr>
          <w:rFonts w:ascii="Arial" w:cs="Arial" w:eastAsia="Arial" w:hAnsi="Arial"/>
          <w:sz w:val="18"/>
          <w:szCs w:val="18"/>
          <w:color w:val="auto"/>
        </w:rPr>
        <w:t>”) between the Servicer and CENTERPOINT ENERGY TRANSITION BOND COMPANY IV, LLC (the “</w:t>
      </w:r>
      <w:r>
        <w:rPr>
          <w:rFonts w:ascii="Arial" w:cs="Arial" w:eastAsia="Arial" w:hAnsi="Arial"/>
          <w:sz w:val="18"/>
          <w:szCs w:val="18"/>
          <w:u w:val="single" w:color="auto"/>
          <w:color w:val="auto"/>
        </w:rPr>
        <w:t>Issuer</w:t>
      </w:r>
      <w:r>
        <w:rPr>
          <w:rFonts w:ascii="Arial" w:cs="Arial" w:eastAsia="Arial" w:hAnsi="Arial"/>
          <w:sz w:val="18"/>
          <w:szCs w:val="18"/>
          <w:color w:val="auto"/>
        </w:rPr>
        <w:t>”) and further that:</w:t>
      </w:r>
    </w:p>
    <w:p>
      <w:pPr>
        <w:spacing w:after="0" w:line="79" w:lineRule="exact"/>
        <w:rPr>
          <w:sz w:val="20"/>
          <w:szCs w:val="20"/>
          <w:color w:val="auto"/>
        </w:rPr>
      </w:pPr>
    </w:p>
    <w:p>
      <w:pPr>
        <w:ind w:right="20" w:firstLine="987"/>
        <w:spacing w:after="0" w:line="277" w:lineRule="auto"/>
        <w:tabs>
          <w:tab w:leader="none" w:pos="117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is responsible for assessing the Servicer’s compliance with the servicing criteria set forth in Item 1122(d) of Regulation AB (the “</w:t>
      </w:r>
      <w:r>
        <w:rPr>
          <w:rFonts w:ascii="Arial" w:cs="Arial" w:eastAsia="Arial" w:hAnsi="Arial"/>
          <w:sz w:val="18"/>
          <w:szCs w:val="18"/>
          <w:u w:val="single" w:color="auto"/>
          <w:color w:val="auto"/>
        </w:rPr>
        <w:t>Servicing Criteria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987"/>
        <w:spacing w:after="0" w:line="286" w:lineRule="auto"/>
        <w:tabs>
          <w:tab w:leader="none" w:pos="1171" w:val="left"/>
        </w:tabs>
        <w:numPr>
          <w:ilvl w:val="0"/>
          <w:numId w:val="5"/>
        </w:numPr>
        <w:rPr>
          <w:rFonts w:ascii="Arial" w:cs="Arial" w:eastAsia="Arial" w:hAnsi="Arial"/>
          <w:sz w:val="17"/>
          <w:szCs w:val="17"/>
          <w:color w:val="auto"/>
        </w:rPr>
      </w:pPr>
      <w:r>
        <w:rPr>
          <w:rFonts w:ascii="Arial" w:cs="Arial" w:eastAsia="Arial" w:hAnsi="Arial"/>
          <w:sz w:val="17"/>
          <w:szCs w:val="17"/>
          <w:color w:val="auto"/>
        </w:rPr>
        <w:t>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2020 and covered by the Issuer’s annual report on Form 10-K (such fiscal year, the “</w:t>
      </w:r>
      <w:r>
        <w:rPr>
          <w:rFonts w:ascii="Arial" w:cs="Arial" w:eastAsia="Arial" w:hAnsi="Arial"/>
          <w:sz w:val="17"/>
          <w:szCs w:val="17"/>
          <w:u w:val="single" w:color="auto"/>
          <w:color w:val="auto"/>
        </w:rPr>
        <w:t>Assessment Period</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Servicing Criteria</w:t>
            </w:r>
          </w:p>
        </w:tc>
        <w:tc>
          <w:tcPr>
            <w:tcW w:w="0" w:type="dxa"/>
            <w:vAlign w:val="bottom"/>
          </w:tcPr>
          <w:p>
            <w:pPr>
              <w:spacing w:after="0"/>
              <w:rPr>
                <w:sz w:val="1"/>
                <w:szCs w:val="1"/>
                <w:color w:val="auto"/>
              </w:rPr>
            </w:pPr>
          </w:p>
        </w:tc>
      </w:tr>
      <w:tr>
        <w:trPr>
          <w:trHeight w:val="178"/>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4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General Servicing Considerations</w:t>
            </w:r>
          </w:p>
        </w:tc>
        <w:tc>
          <w:tcPr>
            <w:tcW w:w="0" w:type="dxa"/>
            <w:vAlign w:val="bottom"/>
          </w:tcPr>
          <w:p>
            <w:pPr>
              <w:spacing w:after="0"/>
              <w:rPr>
                <w:sz w:val="1"/>
                <w:szCs w:val="1"/>
                <w:color w:val="auto"/>
              </w:rPr>
            </w:pPr>
          </w:p>
        </w:tc>
      </w:tr>
      <w:tr>
        <w:trPr>
          <w:trHeight w:val="291"/>
        </w:trPr>
        <w:tc>
          <w:tcPr>
            <w:tcW w:w="1540" w:type="dxa"/>
            <w:vAlign w:val="bottom"/>
            <w:gridSpan w:val="2"/>
          </w:tcPr>
          <w:p>
            <w:pPr>
              <w:spacing w:after="0"/>
              <w:rPr>
                <w:sz w:val="20"/>
                <w:szCs w:val="20"/>
                <w:color w:val="auto"/>
              </w:rPr>
            </w:pPr>
            <w:r>
              <w:rPr>
                <w:rFonts w:ascii="Arial" w:cs="Arial" w:eastAsia="Arial" w:hAnsi="Arial"/>
                <w:sz w:val="18"/>
                <w:szCs w:val="18"/>
                <w:color w:val="auto"/>
              </w:rPr>
              <w:t>1122(d)(1)(i)</w:t>
            </w:r>
          </w:p>
        </w:tc>
        <w:tc>
          <w:tcPr>
            <w:tcW w:w="4540" w:type="dxa"/>
            <w:vAlign w:val="bottom"/>
          </w:tcPr>
          <w:p>
            <w:pPr>
              <w:spacing w:after="0"/>
              <w:rPr>
                <w:sz w:val="20"/>
                <w:szCs w:val="20"/>
                <w:color w:val="auto"/>
              </w:rPr>
            </w:pPr>
            <w:r>
              <w:rPr>
                <w:rFonts w:ascii="Arial" w:cs="Arial" w:eastAsia="Arial" w:hAnsi="Arial"/>
                <w:sz w:val="18"/>
                <w:szCs w:val="18"/>
                <w:color w:val="auto"/>
              </w:rPr>
              <w:t>Policies and procedures are instituted to monitor any</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performance or other triggers and events of default in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accordance with the transaction agreements.</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1122(d)(1)(ii)</w:t>
            </w:r>
          </w:p>
        </w:tc>
        <w:tc>
          <w:tcPr>
            <w:tcW w:w="4540" w:type="dxa"/>
            <w:vAlign w:val="bottom"/>
          </w:tcPr>
          <w:p>
            <w:pPr>
              <w:spacing w:after="0"/>
              <w:rPr>
                <w:sz w:val="20"/>
                <w:szCs w:val="20"/>
                <w:color w:val="auto"/>
              </w:rPr>
            </w:pPr>
            <w:r>
              <w:rPr>
                <w:rFonts w:ascii="Arial" w:cs="Arial" w:eastAsia="Arial" w:hAnsi="Arial"/>
                <w:sz w:val="18"/>
                <w:szCs w:val="18"/>
                <w:color w:val="auto"/>
              </w:rPr>
              <w:t>If any material servicing activities are outsourced to third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parties, policies and procedures are instituted to monitor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third party’s performance and compliance with such servicing</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activities.</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1122(d)(1)(iii)</w:t>
            </w:r>
          </w:p>
        </w:tc>
        <w:tc>
          <w:tcPr>
            <w:tcW w:w="4540" w:type="dxa"/>
            <w:vAlign w:val="bottom"/>
          </w:tcPr>
          <w:p>
            <w:pPr>
              <w:spacing w:after="0"/>
              <w:rPr>
                <w:sz w:val="20"/>
                <w:szCs w:val="20"/>
                <w:color w:val="auto"/>
              </w:rPr>
            </w:pPr>
            <w:r>
              <w:rPr>
                <w:rFonts w:ascii="Arial" w:cs="Arial" w:eastAsia="Arial" w:hAnsi="Arial"/>
                <w:sz w:val="18"/>
                <w:szCs w:val="18"/>
                <w:color w:val="auto"/>
                <w:w w:val="92"/>
              </w:rPr>
              <w:t>Any requirements in the transaction agreements to maintain a</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back-up servicer for pool assets are maintained.</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1122(d)(1)(iv)</w:t>
            </w:r>
          </w:p>
        </w:tc>
        <w:tc>
          <w:tcPr>
            <w:tcW w:w="4540" w:type="dxa"/>
            <w:vAlign w:val="bottom"/>
          </w:tcPr>
          <w:p>
            <w:pPr>
              <w:spacing w:after="0"/>
              <w:rPr>
                <w:sz w:val="20"/>
                <w:szCs w:val="20"/>
                <w:color w:val="auto"/>
              </w:rPr>
            </w:pPr>
            <w:r>
              <w:rPr>
                <w:rFonts w:ascii="Arial" w:cs="Arial" w:eastAsia="Arial" w:hAnsi="Arial"/>
                <w:sz w:val="18"/>
                <w:szCs w:val="18"/>
                <w:color w:val="auto"/>
                <w:w w:val="93"/>
              </w:rPr>
              <w:t>A fidelity bond and errors and omissions policy is in effect 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the party participating in the servicing function throughout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reporting period in the amount of coverage required by and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otherwise in accordance with the terms of the transaction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1122(d)(1)(v)</w:t>
            </w:r>
          </w:p>
        </w:tc>
        <w:tc>
          <w:tcPr>
            <w:tcW w:w="4540" w:type="dxa"/>
            <w:vAlign w:val="bottom"/>
          </w:tcPr>
          <w:p>
            <w:pPr>
              <w:spacing w:after="0"/>
              <w:rPr>
                <w:sz w:val="20"/>
                <w:szCs w:val="20"/>
                <w:color w:val="auto"/>
              </w:rPr>
            </w:pPr>
            <w:r>
              <w:rPr>
                <w:rFonts w:ascii="Arial" w:cs="Arial" w:eastAsia="Arial" w:hAnsi="Arial"/>
                <w:sz w:val="18"/>
                <w:szCs w:val="18"/>
                <w:color w:val="auto"/>
                <w:w w:val="95"/>
              </w:rPr>
              <w:t>Aggregation of information, as applicable, is mathematically</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accurate and the information conveyed accurately reflects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information.</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1"/>
              </w:rPr>
              <w:t>Cash Collection and Administration</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1122(d)(2)(i)</w:t>
            </w:r>
          </w:p>
        </w:tc>
        <w:tc>
          <w:tcPr>
            <w:tcW w:w="4540" w:type="dxa"/>
            <w:vAlign w:val="bottom"/>
          </w:tcPr>
          <w:p>
            <w:pPr>
              <w:spacing w:after="0"/>
              <w:rPr>
                <w:sz w:val="20"/>
                <w:szCs w:val="20"/>
                <w:color w:val="auto"/>
              </w:rPr>
            </w:pPr>
            <w:r>
              <w:rPr>
                <w:rFonts w:ascii="Arial" w:cs="Arial" w:eastAsia="Arial" w:hAnsi="Arial"/>
                <w:sz w:val="18"/>
                <w:szCs w:val="18"/>
                <w:color w:val="auto"/>
                <w:w w:val="95"/>
              </w:rPr>
              <w:t>Payments on pool assets are deposited into the appropriate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0"/>
              </w:rPr>
              <w:t>custodial bank accounts and related bank clearing accounts no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1"/>
              </w:rPr>
              <w:t>more than two business days of receipt, or such other number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of days specified in the transaction agreements.</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1122(d)(2)(ii)</w:t>
            </w:r>
          </w:p>
        </w:tc>
        <w:tc>
          <w:tcPr>
            <w:tcW w:w="4540" w:type="dxa"/>
            <w:vAlign w:val="bottom"/>
          </w:tcPr>
          <w:p>
            <w:pPr>
              <w:spacing w:after="0"/>
              <w:rPr>
                <w:sz w:val="20"/>
                <w:szCs w:val="20"/>
                <w:color w:val="auto"/>
              </w:rPr>
            </w:pPr>
            <w:r>
              <w:rPr>
                <w:rFonts w:ascii="Arial" w:cs="Arial" w:eastAsia="Arial" w:hAnsi="Arial"/>
                <w:sz w:val="18"/>
                <w:szCs w:val="18"/>
                <w:color w:val="auto"/>
                <w:w w:val="93"/>
              </w:rPr>
              <w:t>Disbursements made via wire transfer on behalf of an obligor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or to an investor are made only by authorized personnel.</w:t>
            </w:r>
          </w:p>
        </w:tc>
        <w:tc>
          <w:tcPr>
            <w:tcW w:w="0" w:type="dxa"/>
            <w:vAlign w:val="bottom"/>
          </w:tcPr>
          <w:p>
            <w:pPr>
              <w:spacing w:after="0"/>
              <w:rPr>
                <w:sz w:val="1"/>
                <w:szCs w:val="1"/>
                <w:color w:val="auto"/>
              </w:rPr>
            </w:pP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color w:val="auto"/>
              </w:rPr>
              <w:t>1122(d)(2)(iii)</w:t>
            </w:r>
          </w:p>
        </w:tc>
        <w:tc>
          <w:tcPr>
            <w:tcW w:w="4540" w:type="dxa"/>
            <w:vAlign w:val="bottom"/>
          </w:tcPr>
          <w:p>
            <w:pPr>
              <w:spacing w:after="0"/>
              <w:rPr>
                <w:sz w:val="20"/>
                <w:szCs w:val="20"/>
                <w:color w:val="auto"/>
              </w:rPr>
            </w:pPr>
            <w:r>
              <w:rPr>
                <w:rFonts w:ascii="Arial" w:cs="Arial" w:eastAsia="Arial" w:hAnsi="Arial"/>
                <w:sz w:val="18"/>
                <w:szCs w:val="18"/>
                <w:color w:val="auto"/>
                <w:w w:val="93"/>
              </w:rPr>
              <w:t>Advances of funds or guarantees regarding collections, cash</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flows or distributions, and any interest or other fees charged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for such advances, are made, reviewed and approved as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specified in the transaction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Servicing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2820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no servicing activities were outsourced.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Not applicable; documents do not provide for a back-up servicer.</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Not applicable; PUCT rules impose credit standards on retail electric providers who handle customer collections and govern performance requirements of utilities.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 applicable; no disbursements on behalf of obligors or to investors are made by Servicer by means of wire transfer.</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Applicable, but no current assessment required; no advances by the Servicer are permitted under the transaction agreements.</w:t>
      </w:r>
    </w:p>
    <w:p>
      <w:pPr>
        <w:sectPr>
          <w:pgSz w:w="11900" w:h="16838" w:orient="portrait"/>
          <w:cols w:equalWidth="0" w:num="2">
            <w:col w:w="6080" w:space="500"/>
            <w:col w:w="4440"/>
          </w:cols>
          <w:pgMar w:left="440" w:top="121" w:right="4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45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Servicing Criteria</w:t>
            </w:r>
          </w:p>
        </w:tc>
        <w:tc>
          <w:tcPr>
            <w:tcW w:w="0" w:type="dxa"/>
            <w:vAlign w:val="bottom"/>
          </w:tcPr>
          <w:p>
            <w:pPr>
              <w:spacing w:after="0"/>
              <w:rPr>
                <w:sz w:val="1"/>
                <w:szCs w:val="1"/>
                <w:color w:val="auto"/>
              </w:rPr>
            </w:pPr>
          </w:p>
        </w:tc>
      </w:t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940" w:type="dxa"/>
            <w:vAlign w:val="bottom"/>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gridSpan w:val="2"/>
          </w:tcPr>
          <w:p>
            <w:pPr>
              <w:spacing w:after="0" w:line="189" w:lineRule="exact"/>
              <w:rPr>
                <w:sz w:val="20"/>
                <w:szCs w:val="20"/>
                <w:color w:val="auto"/>
              </w:rPr>
            </w:pPr>
            <w:r>
              <w:rPr>
                <w:rFonts w:ascii="Arial" w:cs="Arial" w:eastAsia="Arial" w:hAnsi="Arial"/>
                <w:sz w:val="18"/>
                <w:szCs w:val="18"/>
                <w:color w:val="auto"/>
              </w:rPr>
              <w:t>1122(d)(2)(iv)</w:t>
            </w:r>
          </w:p>
        </w:tc>
        <w:tc>
          <w:tcPr>
            <w:tcW w:w="4540" w:type="dxa"/>
            <w:vAlign w:val="bottom"/>
          </w:tcPr>
          <w:p>
            <w:pPr>
              <w:spacing w:after="0" w:line="189" w:lineRule="exact"/>
              <w:rPr>
                <w:sz w:val="20"/>
                <w:szCs w:val="20"/>
                <w:color w:val="auto"/>
              </w:rPr>
            </w:pPr>
            <w:r>
              <w:rPr>
                <w:rFonts w:ascii="Arial" w:cs="Arial" w:eastAsia="Arial" w:hAnsi="Arial"/>
                <w:sz w:val="18"/>
                <w:szCs w:val="18"/>
                <w:color w:val="auto"/>
                <w:w w:val="90"/>
              </w:rPr>
              <w:t>The related accounts for the transaction, such as cash reserve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or accounts established as a form of</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8"/>
              </w:rPr>
              <w:t>overcollateralization, are separately maintained (e.g., with</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respect to commingling of cash) as set forth in the transaction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1122(d)(2)(v)</w:t>
            </w:r>
          </w:p>
        </w:tc>
        <w:tc>
          <w:tcPr>
            <w:tcW w:w="4540" w:type="dxa"/>
            <w:vAlign w:val="bottom"/>
          </w:tcPr>
          <w:p>
            <w:pPr>
              <w:spacing w:after="0"/>
              <w:rPr>
                <w:sz w:val="20"/>
                <w:szCs w:val="20"/>
                <w:color w:val="auto"/>
              </w:rPr>
            </w:pPr>
            <w:r>
              <w:rPr>
                <w:rFonts w:ascii="Arial" w:cs="Arial" w:eastAsia="Arial" w:hAnsi="Arial"/>
                <w:sz w:val="18"/>
                <w:szCs w:val="18"/>
                <w:color w:val="auto"/>
                <w:w w:val="96"/>
              </w:rPr>
              <w:t>Each custodial account is maintained at a federally insured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depository institution as set forth in the transaction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agreements. For purposes of this criterion, “federally insured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depository institution” with respect to a foreign financial</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institution means a foreign financial institution that meets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requirements of Rule 13k-1(b)(1) of the Exchange Act.</w:t>
            </w: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1122(d)(2)(vi)</w:t>
            </w:r>
          </w:p>
        </w:tc>
        <w:tc>
          <w:tcPr>
            <w:tcW w:w="4540" w:type="dxa"/>
            <w:vAlign w:val="bottom"/>
          </w:tcPr>
          <w:p>
            <w:pPr>
              <w:spacing w:after="0"/>
              <w:rPr>
                <w:sz w:val="20"/>
                <w:szCs w:val="20"/>
                <w:color w:val="auto"/>
              </w:rPr>
            </w:pPr>
            <w:r>
              <w:rPr>
                <w:rFonts w:ascii="Arial" w:cs="Arial" w:eastAsia="Arial" w:hAnsi="Arial"/>
                <w:sz w:val="18"/>
                <w:szCs w:val="18"/>
                <w:color w:val="auto"/>
              </w:rPr>
              <w:t>Unissued checks are safeguarded so as to prevent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unauthorized access.</w:t>
            </w: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1122(d)(2)(vii)</w:t>
            </w:r>
          </w:p>
        </w:tc>
        <w:tc>
          <w:tcPr>
            <w:tcW w:w="4540" w:type="dxa"/>
            <w:vAlign w:val="bottom"/>
          </w:tcPr>
          <w:p>
            <w:pPr>
              <w:spacing w:after="0"/>
              <w:rPr>
                <w:sz w:val="20"/>
                <w:szCs w:val="20"/>
                <w:color w:val="auto"/>
              </w:rPr>
            </w:pPr>
            <w:r>
              <w:rPr>
                <w:rFonts w:ascii="Arial" w:cs="Arial" w:eastAsia="Arial" w:hAnsi="Arial"/>
                <w:sz w:val="18"/>
                <w:szCs w:val="18"/>
                <w:color w:val="auto"/>
                <w:w w:val="92"/>
              </w:rPr>
              <w:t>Reconciliations are prepared on a monthly basis for all asset-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backed securities related bank accounts, including custodial</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and related bank clearing accounts. These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reconciliations are (A) mathematically accurate; (B) prepared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within 30 calendar days after the bank statement cutoff date,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or such other number of days specified in the transaction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5"/>
              </w:rPr>
              <w:t>agreements; (C) reviewed and approved by someone other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than the person who prepared the reconciliation; and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 contain explanations for reconciling items. These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reconciling items are resolved within 90 calendar days of their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original identification, or such other number of days specified</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 the transaction agreements.</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40" w:type="dxa"/>
            <w:vAlign w:val="bottom"/>
          </w:tcPr>
          <w:p>
            <w:pPr>
              <w:ind w:left="880"/>
              <w:spacing w:after="0"/>
              <w:rPr>
                <w:sz w:val="20"/>
                <w:szCs w:val="20"/>
                <w:color w:val="auto"/>
              </w:rPr>
            </w:pPr>
            <w:r>
              <w:rPr>
                <w:rFonts w:ascii="Arial" w:cs="Arial" w:eastAsia="Arial" w:hAnsi="Arial"/>
                <w:sz w:val="18"/>
                <w:szCs w:val="18"/>
                <w:b w:val="1"/>
                <w:bCs w:val="1"/>
                <w:color w:val="auto"/>
              </w:rPr>
              <w:t>Investor Remittances and Reporting</w:t>
            </w: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1122(d)(3)(i)</w:t>
            </w:r>
          </w:p>
        </w:tc>
        <w:tc>
          <w:tcPr>
            <w:tcW w:w="4540" w:type="dxa"/>
            <w:vAlign w:val="bottom"/>
          </w:tcPr>
          <w:p>
            <w:pPr>
              <w:spacing w:after="0"/>
              <w:rPr>
                <w:sz w:val="20"/>
                <w:szCs w:val="20"/>
                <w:color w:val="auto"/>
              </w:rPr>
            </w:pPr>
            <w:r>
              <w:rPr>
                <w:rFonts w:ascii="Arial" w:cs="Arial" w:eastAsia="Arial" w:hAnsi="Arial"/>
                <w:sz w:val="18"/>
                <w:szCs w:val="18"/>
                <w:color w:val="auto"/>
              </w:rPr>
              <w:t>Reports to investors, including those to be filed with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Commission, are maintained in accordance with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transaction agreements and applicable Commission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requirements. Specifically, such reports (A) are prepared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5"/>
              </w:rPr>
              <w:t>accordance with timeframes and other terms set forth in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3"/>
              </w:rPr>
              <w:t>transaction agreements; (B) provide information calculated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accordance with the terms specified in the transaction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2"/>
              </w:rPr>
              <w:t>agreements; (C) are filed with the Commission as required by</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its rules and regulations; and (D) agree with investors’ or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trustee’s records as to the total unpaid principal balance and</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number of pool assets serviced by the Servicer.</w:t>
            </w:r>
          </w:p>
        </w:tc>
        <w:tc>
          <w:tcPr>
            <w:tcW w:w="0" w:type="dxa"/>
            <w:vAlign w:val="bottom"/>
          </w:tcPr>
          <w:p>
            <w:pPr>
              <w:spacing w:after="0"/>
              <w:rPr>
                <w:sz w:val="1"/>
                <w:szCs w:val="1"/>
                <w:color w:val="auto"/>
              </w:rPr>
            </w:pPr>
          </w:p>
        </w:tc>
      </w:tr>
      <w:tr>
        <w:trPr>
          <w:trHeight w:val="310"/>
        </w:trPr>
        <w:tc>
          <w:tcPr>
            <w:tcW w:w="1560" w:type="dxa"/>
            <w:vAlign w:val="bottom"/>
            <w:gridSpan w:val="2"/>
          </w:tcPr>
          <w:p>
            <w:pPr>
              <w:spacing w:after="0"/>
              <w:rPr>
                <w:sz w:val="20"/>
                <w:szCs w:val="20"/>
                <w:color w:val="auto"/>
              </w:rPr>
            </w:pPr>
            <w:r>
              <w:rPr>
                <w:rFonts w:ascii="Arial" w:cs="Arial" w:eastAsia="Arial" w:hAnsi="Arial"/>
                <w:sz w:val="18"/>
                <w:szCs w:val="18"/>
                <w:color w:val="auto"/>
              </w:rPr>
              <w:t>1122(d)(3)(ii)</w:t>
            </w:r>
          </w:p>
        </w:tc>
        <w:tc>
          <w:tcPr>
            <w:tcW w:w="4540" w:type="dxa"/>
            <w:vAlign w:val="bottom"/>
          </w:tcPr>
          <w:p>
            <w:pPr>
              <w:spacing w:after="0"/>
              <w:rPr>
                <w:sz w:val="20"/>
                <w:szCs w:val="20"/>
                <w:color w:val="auto"/>
              </w:rPr>
            </w:pPr>
            <w:r>
              <w:rPr>
                <w:rFonts w:ascii="Arial" w:cs="Arial" w:eastAsia="Arial" w:hAnsi="Arial"/>
                <w:sz w:val="18"/>
                <w:szCs w:val="18"/>
                <w:color w:val="auto"/>
              </w:rPr>
              <w:t>Amounts due to investors are allocated and remitted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8"/>
              </w:rPr>
              <w:t>accordance with timeframes, distribution priority and other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terms set forth in the transaction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jc w:val="center"/>
        <w:ind w:right="-139"/>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Servicing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2802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ind w:right="80"/>
        <w:spacing w:after="0" w:line="262" w:lineRule="auto"/>
        <w:rPr>
          <w:sz w:val="20"/>
          <w:szCs w:val="20"/>
          <w:color w:val="auto"/>
        </w:rPr>
      </w:pPr>
      <w:r>
        <w:rPr>
          <w:rFonts w:ascii="Arial" w:cs="Arial" w:eastAsia="Arial" w:hAnsi="Arial"/>
          <w:sz w:val="18"/>
          <w:szCs w:val="18"/>
          <w:color w:val="auto"/>
        </w:rPr>
        <w:t>Applicable, but no current assessment is required since transaction accounts are maintained by and in the name of the Trustee.</w:t>
      </w:r>
    </w:p>
    <w:p>
      <w:pPr>
        <w:spacing w:after="0" w:line="200" w:lineRule="exact"/>
        <w:rPr>
          <w:sz w:val="20"/>
          <w:szCs w:val="20"/>
          <w:color w:val="auto"/>
        </w:rPr>
      </w:pPr>
    </w:p>
    <w:p>
      <w:pPr>
        <w:spacing w:after="0" w:line="308"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Applicable, but no current assessment required; all “custodial accounts” are maintained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all transfers made by wire transfer.</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Applicable; assessment below. Reconciliations as to REP accounts are limited to confirming that the funds in any REP’s account known to Servicer are at least in the amount required by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applicable; trustee allocates among, and remits to, investors.</w:t>
      </w:r>
    </w:p>
    <w:p>
      <w:pPr>
        <w:sectPr>
          <w:pgSz w:w="11900" w:h="16838" w:orient="portrait"/>
          <w:cols w:equalWidth="0" w:num="2">
            <w:col w:w="6100" w:space="500"/>
            <w:col w:w="4260"/>
          </w:cols>
          <w:pgMar w:left="440" w:top="253" w:right="5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240" w:type="dxa"/>
            <w:vAlign w:val="bottom"/>
          </w:tcPr>
          <w:p>
            <w:pPr>
              <w:spacing w:after="0"/>
              <w:rPr>
                <w:sz w:val="14"/>
                <w:szCs w:val="14"/>
                <w:color w:val="auto"/>
              </w:rPr>
            </w:pPr>
          </w:p>
        </w:tc>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Servicing Criteria</w:t>
            </w:r>
          </w:p>
        </w:tc>
        <w:tc>
          <w:tcPr>
            <w:tcW w:w="0" w:type="dxa"/>
            <w:vAlign w:val="bottom"/>
          </w:tcPr>
          <w:p>
            <w:pPr>
              <w:spacing w:after="0"/>
              <w:rPr>
                <w:sz w:val="1"/>
                <w:szCs w:val="1"/>
                <w:color w:val="auto"/>
              </w:rPr>
            </w:pPr>
          </w:p>
        </w:tc>
      </w:t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rPr>
              <w:t>1122(d)(3)(iii)</w:t>
            </w:r>
          </w:p>
        </w:tc>
        <w:tc>
          <w:tcPr>
            <w:tcW w:w="24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w w:val="97"/>
              </w:rPr>
              <w:t>Disbursements made to an investor are posted within two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0"/>
              </w:rPr>
              <w:t>business days to the Servicer’s investor records, or such other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number of days specified in the transaction agreements.</w:t>
            </w:r>
          </w:p>
        </w:tc>
        <w:tc>
          <w:tcPr>
            <w:tcW w:w="0" w:type="dxa"/>
            <w:vAlign w:val="bottom"/>
          </w:tcPr>
          <w:p>
            <w:pPr>
              <w:spacing w:after="0"/>
              <w:rPr>
                <w:sz w:val="1"/>
                <w:szCs w:val="1"/>
                <w:color w:val="auto"/>
              </w:rPr>
            </w:pPr>
          </w:p>
        </w:tc>
      </w:tr>
      <w:tr>
        <w:trPr>
          <w:trHeight w:val="526"/>
        </w:trPr>
        <w:tc>
          <w:tcPr>
            <w:tcW w:w="1360" w:type="dxa"/>
            <w:vAlign w:val="bottom"/>
            <w:gridSpan w:val="2"/>
          </w:tcPr>
          <w:p>
            <w:pPr>
              <w:spacing w:after="0"/>
              <w:rPr>
                <w:sz w:val="20"/>
                <w:szCs w:val="20"/>
                <w:color w:val="auto"/>
              </w:rPr>
            </w:pPr>
            <w:r>
              <w:rPr>
                <w:rFonts w:ascii="Arial" w:cs="Arial" w:eastAsia="Arial" w:hAnsi="Arial"/>
                <w:sz w:val="18"/>
                <w:szCs w:val="18"/>
                <w:color w:val="auto"/>
              </w:rPr>
              <w:t>1122(d)(3)(iv)</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3"/>
              </w:rPr>
              <w:t>Amounts remitted to investors per the investor reports agree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with cancelled checks, or other form of payment, or custodial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bank statements.</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9"/>
              </w:rPr>
              <w:t>Pool Asset Administration</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Collateral or security on pool assets is maintained as required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by the transaction agreements or related pool asset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87"/>
              </w:rPr>
              <w:t>Pool assets and related documents are safeguarded as required</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by the 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1122(d)(4)(iii)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Any additions, removals or substitutions to the asset pool are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made, reviewed and approved in accordance with any</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7"/>
              </w:rPr>
              <w:t>conditions or requirements in the 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1122(d)(4)(iv)</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8"/>
              </w:rPr>
              <w:t>Payments on pool assets, including any payoffs, made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accordance with the related pool asset documents are posted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to the Servicer’s obligor records maintained no more than two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7"/>
              </w:rPr>
              <w:t>business days after receipt, or such other number of days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9"/>
              </w:rPr>
              <w:t>specified in the transaction agreements, and allocated to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principal, interest or other items (e.g., escrow) in accordance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with the related pool asset documents.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1122(d)(4)(v)</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4"/>
              </w:rPr>
              <w:t>The Servicer’s records regarding the pool assets agree with</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9"/>
              </w:rPr>
              <w:t>the Servicer’s records with respect to an obligor’s unpaid</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principal balance.</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1122(d)(4)(vi)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6"/>
              </w:rPr>
              <w:t>Changes with respect to the terms or status of an obligor’s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5"/>
              </w:rPr>
              <w:t>pool asset (e.g., loan modifications or re-agings) are made,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89"/>
              </w:rPr>
              <w:t>reviewed and approved by authorized personnel in accordance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with the transaction agreements and related pool asset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documents.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1122(d)(4)(vii)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3"/>
              </w:rPr>
              <w:t>Loss mitigation or recovery actions (e.g., forbearance plans,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5"/>
              </w:rPr>
              <w:t>modifications and deeds in lieu of foreclosure, foreclosures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0"/>
              </w:rPr>
              <w:t>and repossessions, as applicable) are initiated, conducted and</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concluded in accordance with the timeframes or other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8"/>
              </w:rPr>
              <w:t>requirements established by the 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1122(d)(4)(viii)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Records documenting collection efforts are maintained during</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7"/>
              </w:rPr>
              <w:t>the period pool asset is delinquent in accordance with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4"/>
              </w:rPr>
              <w:t>transaction agreements. Such records are maintained on at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6"/>
              </w:rPr>
              <w:t>least a monthly basis, or such other period specified in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transaction agreements, and describe the entity’s activities 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8"/>
              </w:rPr>
              <w:t>monitoring delinquent pool assets including, for example,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phone calls, letters and payment rescheduling plans in cases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where delinquency is deemed temporary (e.g., illness or</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unemployment).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jc w:val="center"/>
        <w:ind w:right="-19"/>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Servicing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2802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18"/>
          <w:szCs w:val="18"/>
          <w:color w:val="auto"/>
        </w:rPr>
        <w:t>Not applicable; disbursements are made by Trustee and Trustee maintains investor records; for the purposes of this criteria, Servicer’s investor records are the trustee’s records of the investors.</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Applicable; assessment below, based on Semi-Annual Servicer’s Certificate.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3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Not applicable; no removals or substitutions of transition property are contemplated or allowed under the transaction documents.</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Applicable; assessment below. Payments received from REPs are posted to Servicer’s records and funds transferred to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Not applicable; because underlying obligation (transition charge) is not an interest bearing instrument</w:t>
      </w:r>
    </w:p>
    <w:p>
      <w:pPr>
        <w:spacing w:after="0" w:line="2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Applicable; assessment below. The only changes relate to true-up under the financing order.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Applicable, to the extent required by the transaction agreements; assessment below.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Applicable, but does not require assessment since no explicit documentation requirements with respect to delinquent accounts are imposed under the transactional documents due to availability of “true-up” mechanism.</w:t>
      </w:r>
    </w:p>
    <w:p>
      <w:pPr>
        <w:sectPr>
          <w:pgSz w:w="11900" w:h="16838" w:orient="portrait"/>
          <w:cols w:equalWidth="0" w:num="2">
            <w:col w:w="6100" w:space="500"/>
            <w:col w:w="4380"/>
          </w:cols>
          <w:pgMar w:left="440" w:top="253" w:right="4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Regulation AB</w:t>
            </w:r>
          </w:p>
        </w:tc>
        <w:tc>
          <w:tcPr>
            <w:tcW w:w="240" w:type="dxa"/>
            <w:vAlign w:val="bottom"/>
          </w:tcPr>
          <w:p>
            <w:pPr>
              <w:spacing w:after="0"/>
              <w:rPr>
                <w:sz w:val="14"/>
                <w:szCs w:val="14"/>
                <w:color w:val="auto"/>
              </w:rPr>
            </w:pPr>
          </w:p>
        </w:tc>
        <w:tc>
          <w:tcPr>
            <w:tcW w:w="450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Servicing Criteria</w:t>
            </w:r>
          </w:p>
        </w:tc>
        <w:tc>
          <w:tcPr>
            <w:tcW w:w="0" w:type="dxa"/>
            <w:vAlign w:val="bottom"/>
          </w:tcPr>
          <w:p>
            <w:pPr>
              <w:spacing w:after="0"/>
              <w:rPr>
                <w:sz w:val="1"/>
                <w:szCs w:val="1"/>
                <w:color w:val="auto"/>
              </w:rPr>
            </w:pPr>
          </w:p>
        </w:tc>
      </w:t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Reference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60" w:type="dxa"/>
            <w:vAlign w:val="bottom"/>
            <w:gridSpan w:val="2"/>
          </w:tcPr>
          <w:p>
            <w:pPr>
              <w:spacing w:after="0" w:line="189" w:lineRule="exact"/>
              <w:rPr>
                <w:sz w:val="20"/>
                <w:szCs w:val="20"/>
                <w:color w:val="auto"/>
              </w:rPr>
            </w:pPr>
            <w:r>
              <w:rPr>
                <w:rFonts w:ascii="Arial" w:cs="Arial" w:eastAsia="Arial" w:hAnsi="Arial"/>
                <w:sz w:val="18"/>
                <w:szCs w:val="18"/>
                <w:color w:val="auto"/>
              </w:rPr>
              <w:t>1122(d)(4)(ix)</w:t>
            </w:r>
          </w:p>
        </w:tc>
        <w:tc>
          <w:tcPr>
            <w:tcW w:w="240" w:type="dxa"/>
            <w:vAlign w:val="bottom"/>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w w:val="91"/>
              </w:rPr>
              <w:t>Adjustments to interest rates or rates of return for pool assets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5"/>
              </w:rPr>
              <w:t>with variable rates are computed based on the related pool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asset documents.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Regarding any funds held in trust for an obligor (such as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0"/>
              </w:rPr>
              <w:t>escrow accounts): (A) such funds are analyzed, in accordance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with the obligor’s pool asset documents, on at least an annual</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basis, or such other period specified in the transaction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agreements; (B) interest on such funds is paid, or credited, to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obligors in accordance with applicable pool asset documents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and state laws; and (C) such funds are returned to the obligor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4"/>
              </w:rPr>
              <w:t>within 30 calendar days of full repayment of the related pool</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assets, or such other number of days specified in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Payments made on behalf of an obligor (such as tax 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89"/>
              </w:rPr>
              <w:t>insurance payments) are made on or before the related penalty</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6"/>
              </w:rPr>
              <w:t>or expiration dates, as indicated on the appropriate bills 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6"/>
              </w:rPr>
              <w:t>notices for such payments, provided that such support has</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been received by the Servicer at least 30 calendar days prior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2"/>
              </w:rPr>
              <w:t>to these dates, or such other number of days specified in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4"/>
              </w:rPr>
              <w:t>Any late payment penalties in connection with any payment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to be made on behalf of an obligor are paid from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89"/>
              </w:rPr>
              <w:t>Servicer’s funds and not charged to the obligor, unless the late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payment was due to the obligor’s error or omission.</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1122(d)(4)(xiii)</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0"/>
              </w:rPr>
              <w:t>Disbursements made on behalf of an obligor are posted within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3"/>
              </w:rPr>
              <w:t>two business days to the obligor’s records maintained by the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Servicer, or such other number of days specified in the</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transaction 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1122(d)(4)(xiv)</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7"/>
              </w:rPr>
              <w:t>Delinquencies, charge-offs and uncollectible accounts are</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4"/>
              </w:rPr>
              <w:t>recognized and recorded in accordance with the transaction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310"/>
        </w:trPr>
        <w:tc>
          <w:tcPr>
            <w:tcW w:w="1360" w:type="dxa"/>
            <w:vAlign w:val="bottom"/>
            <w:gridSpan w:val="2"/>
          </w:tcPr>
          <w:p>
            <w:pPr>
              <w:spacing w:after="0"/>
              <w:rPr>
                <w:sz w:val="20"/>
                <w:szCs w:val="20"/>
                <w:color w:val="auto"/>
              </w:rPr>
            </w:pPr>
            <w:r>
              <w:rPr>
                <w:rFonts w:ascii="Arial" w:cs="Arial" w:eastAsia="Arial" w:hAnsi="Arial"/>
                <w:sz w:val="18"/>
                <w:szCs w:val="18"/>
                <w:color w:val="auto"/>
              </w:rPr>
              <w:t>1122(d)(4)(xv)</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w w:val="91"/>
              </w:rPr>
              <w:t>Any external enhancement or other support, identified in Item</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1114(a)(1) through (3) or Item 1115 of Regulation AB, is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maintained as set forth in the transaction agreements.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jc w:val="center"/>
        <w:ind w:right="-119"/>
        <w:spacing w:after="0"/>
        <w:rPr>
          <w:sz w:val="20"/>
          <w:szCs w:val="20"/>
          <w:color w:val="auto"/>
        </w:rPr>
      </w:pPr>
      <w:r>
        <w:rPr>
          <w:rFonts w:ascii="Arial" w:cs="Arial" w:eastAsia="Arial" w:hAnsi="Arial"/>
          <w:sz w:val="14"/>
          <w:szCs w:val="14"/>
          <w:b w:val="1"/>
          <w:bCs w:val="1"/>
          <w:color w:val="auto"/>
        </w:rPr>
        <w:t>Applicable</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Servicing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2802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ind w:right="160"/>
        <w:spacing w:after="0" w:line="274" w:lineRule="auto"/>
        <w:rPr>
          <w:sz w:val="20"/>
          <w:szCs w:val="20"/>
          <w:color w:val="auto"/>
        </w:rPr>
      </w:pPr>
      <w:r>
        <w:rPr>
          <w:rFonts w:ascii="Arial" w:cs="Arial" w:eastAsia="Arial" w:hAnsi="Arial"/>
          <w:sz w:val="18"/>
          <w:szCs w:val="18"/>
          <w:color w:val="auto"/>
        </w:rPr>
        <w:t>Not applicable; transition charges are not interest bearing instruments.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applicable; Servicer does not make payments on behalf of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Not applicable; Servicer cannot make advances of its own funds on behalf of customers under the transaction documents.</w:t>
      </w:r>
    </w:p>
    <w:p>
      <w:pPr>
        <w:spacing w:after="0" w:line="2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Not applicable; Servicer cannot make advances of its own funds on behalf of customers to pay principal or interest on the bonds.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Applicable; assessment below.</w:t>
      </w:r>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 applicable; no external enhancement is required under the transaction documents.</w:t>
      </w:r>
    </w:p>
    <w:p>
      <w:pPr>
        <w:spacing w:after="0" w:line="384" w:lineRule="exact"/>
        <w:rPr>
          <w:sz w:val="20"/>
          <w:szCs w:val="20"/>
          <w:color w:val="auto"/>
        </w:rPr>
      </w:pPr>
    </w:p>
    <w:p>
      <w:pPr>
        <w:sectPr>
          <w:pgSz w:w="11900" w:h="16838" w:orient="portrait"/>
          <w:cols w:equalWidth="0" w:num="2">
            <w:col w:w="6100" w:space="500"/>
            <w:col w:w="4280"/>
          </w:cols>
          <w:pgMar w:left="440" w:top="253" w:right="579" w:bottom="1440" w:gutter="0" w:footer="0" w:header="0"/>
        </w:sectPr>
      </w:pPr>
    </w:p>
    <w:p>
      <w:pPr>
        <w:spacing w:after="0" w:line="2" w:lineRule="exact"/>
        <w:rPr>
          <w:sz w:val="20"/>
          <w:szCs w:val="20"/>
          <w:color w:val="auto"/>
        </w:rPr>
      </w:pPr>
    </w:p>
    <w:p>
      <w:pPr>
        <w:ind w:right="360" w:firstLine="987"/>
        <w:spacing w:after="0" w:line="263" w:lineRule="auto"/>
        <w:tabs>
          <w:tab w:leader="none" w:pos="11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best of the undersigned’s knowledge, based on such review, the Servicer is in compliance in all material respects with the applicable servicing criteria set forth above as of and for the period ending the end of the fiscal year ended December 31, 2020 and covered by the Issuer’s annual report on Form 10-K.</w:t>
      </w:r>
    </w:p>
    <w:p>
      <w:pPr>
        <w:spacing w:after="0" w:line="206" w:lineRule="exact"/>
        <w:rPr>
          <w:sz w:val="20"/>
          <w:szCs w:val="20"/>
          <w:color w:val="auto"/>
        </w:rPr>
      </w:pPr>
    </w:p>
    <w:p>
      <w:pPr>
        <w:spacing w:after="0"/>
        <w:tabs>
          <w:tab w:leader="none" w:pos="8180" w:val="left"/>
        </w:tabs>
        <w:rPr>
          <w:sz w:val="20"/>
          <w:szCs w:val="20"/>
          <w:color w:val="auto"/>
        </w:rPr>
      </w:pPr>
      <w:r>
        <w:rPr>
          <w:rFonts w:ascii="Arial" w:cs="Arial" w:eastAsia="Arial" w:hAnsi="Arial"/>
          <w:sz w:val="14"/>
          <w:szCs w:val="14"/>
          <w:u w:val="single" w:color="auto"/>
          <w:color w:val="auto"/>
        </w:rPr>
        <w:t>Nature of Default</w:t>
      </w:r>
      <w:r>
        <w:rPr>
          <w:sz w:val="20"/>
          <w:szCs w:val="20"/>
          <w:color w:val="auto"/>
        </w:rPr>
        <w:tab/>
      </w:r>
      <w:r>
        <w:rPr>
          <w:rFonts w:ascii="Arial" w:cs="Arial" w:eastAsia="Arial" w:hAnsi="Arial"/>
          <w:sz w:val="11"/>
          <w:szCs w:val="1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12700</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880"/>
          </w:cols>
          <w:pgMar w:left="440" w:top="253" w:right="579" w:bottom="1440" w:gutter="0" w:footer="0" w:header="0"/>
          <w:type w:val="continuous"/>
        </w:sectPr>
      </w:pPr>
    </w:p>
    <w:bookmarkStart w:id="15" w:name="page16"/>
    <w:bookmarkEnd w:id="15"/>
    <w:p>
      <w:pPr>
        <w:jc w:val="both"/>
        <w:ind w:left="-440" w:firstLine="987"/>
        <w:spacing w:after="0" w:line="263" w:lineRule="auto"/>
        <w:tabs>
          <w:tab w:leader="none" w:pos="731"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registered independent public accounting firm has issued to us an attestation report in accordance with Section 1122(b) of Regulation AB on its assessment of compliance with the applicable servicing criteria as of and for the period ending the end of the fiscal year ended December 31, 2020 and covered by the Issuer’s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25th day of March, 2021.</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CENTERPOINT ENERGY HOUSTON ELECTRIC, LLC</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Stacey 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Stacey L. Peterson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6"/>
          <w:szCs w:val="16"/>
          <w:color w:val="auto"/>
        </w:rPr>
        <w:t>Title:</w:t>
        <w:tab/>
        <w:t>Senior Vice President, Financial Planning and</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0480"/>
          </w:cols>
          <w:pgMar w:left="880" w:top="274" w:right="5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ASSERTION OF COMPLIANCE WITH APPLICABLE SERVICING CRITERIA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ASSERTION OF COMPLIANCE</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Management of the Trust &amp; Agency Services department of Deutsche Bank National Trust Company and Deutsche Bank Trust Company Americas (collectively the “Company”) is responsible for assessing the servicing criteria set forth in Item 1122(d) of Regulation AB promulgated by the Securities and Exchange Commission to determine which criteria are applicable to the Company in respect of the servicing platform described below. Management has determined that the servicing criteria are applicable in regard to the servicing platform as of and for the period as follows:</w:t>
      </w:r>
    </w:p>
    <w:p>
      <w:pPr>
        <w:spacing w:after="0" w:line="171"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u w:val="single" w:color="auto"/>
          <w:color w:val="auto"/>
        </w:rPr>
        <w:t>Platform</w:t>
      </w:r>
      <w:r>
        <w:rPr>
          <w:rFonts w:ascii="Arial" w:cs="Arial" w:eastAsia="Arial" w:hAnsi="Arial"/>
          <w:sz w:val="17"/>
          <w:szCs w:val="17"/>
          <w:color w:val="auto"/>
        </w:rPr>
        <w:t>: Publicly-issued (</w:t>
      </w:r>
      <w:r>
        <w:rPr>
          <w:rFonts w:ascii="Arial" w:cs="Arial" w:eastAsia="Arial" w:hAnsi="Arial"/>
          <w:sz w:val="17"/>
          <w:szCs w:val="17"/>
          <w:i w:val="1"/>
          <w:iCs w:val="1"/>
          <w:color w:val="auto"/>
        </w:rPr>
        <w:t>i.e.</w:t>
      </w:r>
      <w:r>
        <w:rPr>
          <w:rFonts w:ascii="Arial" w:cs="Arial" w:eastAsia="Arial" w:hAnsi="Arial"/>
          <w:sz w:val="17"/>
          <w:szCs w:val="17"/>
          <w:color w:val="auto"/>
        </w:rPr>
        <w:t>, transaction-level reporting required under the Securities Exchange Act of 1934, as amended) and certain privately-issued (</w:t>
      </w:r>
      <w:r>
        <w:rPr>
          <w:rFonts w:ascii="Arial" w:cs="Arial" w:eastAsia="Arial" w:hAnsi="Arial"/>
          <w:sz w:val="17"/>
          <w:szCs w:val="17"/>
          <w:i w:val="1"/>
          <w:iCs w:val="1"/>
          <w:color w:val="auto"/>
        </w:rPr>
        <w:t>i.e.</w:t>
      </w:r>
      <w:r>
        <w:rPr>
          <w:rFonts w:ascii="Arial" w:cs="Arial" w:eastAsia="Arial" w:hAnsi="Arial"/>
          <w:sz w:val="17"/>
          <w:szCs w:val="17"/>
          <w:color w:val="auto"/>
        </w:rPr>
        <w:t>,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publicly-issued securities sponsored or issued by any government sponsored entity (the “Platform”) (see Appendix A).</w:t>
      </w:r>
    </w:p>
    <w:p>
      <w:pPr>
        <w:spacing w:after="0" w:line="17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u w:val="single" w:color="auto"/>
          <w:color w:val="auto"/>
        </w:rPr>
        <w:t>Applicable Servicing Criteria</w:t>
      </w:r>
      <w:r>
        <w:rPr>
          <w:rFonts w:ascii="Arial" w:cs="Arial" w:eastAsia="Arial" w:hAnsi="Arial"/>
          <w:sz w:val="18"/>
          <w:szCs w:val="18"/>
          <w:color w:val="auto"/>
        </w:rPr>
        <w:t>: All servicing criteria set forth in Item 1122(d), to the extent required by Item 1122(d) servicing criteria in regards to the activities performed by the Company with respect to the Platform as to any transaction, except for the following criteria: 1122(d)(4)(iv) – 1122(d)(4) (xiv), which management has determined are not applicable to the activities the Company performs with respect to the Platform (the “Applicable Servicing Criteria”). With respect to Applicable Servicing Criteria 1122(d)(1)(ii), 1122(d)(1)(iii), 1122(d)(2)(iii) and 1122(d)(4)(iii) there were no activities performed during the year ended December 31, 2020 with respect to the Platform, because there were no occurrences of events that would require the Company to perform such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w:t>
      </w:r>
      <w:r>
        <w:rPr>
          <w:rFonts w:ascii="Arial" w:cs="Arial" w:eastAsia="Arial" w:hAnsi="Arial"/>
          <w:sz w:val="18"/>
          <w:szCs w:val="18"/>
          <w:color w:val="auto"/>
        </w:rPr>
        <w:t>: Year ended December 31, 2020 (the “Period”).</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u w:val="single" w:color="auto"/>
          <w:color w:val="auto"/>
        </w:rPr>
        <w:t>Management’s interpretation of Applicable Servicing Criteria</w:t>
      </w:r>
      <w:r>
        <w:rPr>
          <w:rFonts w:ascii="Arial" w:cs="Arial" w:eastAsia="Arial" w:hAnsi="Arial"/>
          <w:sz w:val="17"/>
          <w:szCs w:val="17"/>
          <w:color w:val="auto"/>
        </w:rPr>
        <w:t>: The Company’s management has determined that servicing criterion 1122(d)(1)(iii) is applicable only with respect to its continuing obligation to act as, or locate a, successor servicer under the circumstances referred to in certain transaction agreements. It is management’s interpretation that the Company has no other active back-up servicing responsibilities in regards to servicing criterion 1122(d)(1)(iii) as of and for the Period. The Company’s management has determined that servicing criterion 1122(d)(1)(v) is applicable only to the activities the Company performs related to the mathematically accurate aggregation of information received from servicers and the accurate conveyance of such information within reports to investors. The Company’s management has determined that servicing criterion 1122(d)(4)(iii) is applicable to the activities the Company performs with respect to the Platform only as it relates to the Company’s obligation to report additions, removals or substitutions on reports to investors in accordance with the transaction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Platform as of and for the Period, the Company’s management provides the following assertion of compliance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 Servicing Criteria:</w:t>
      </w:r>
    </w:p>
    <w:p>
      <w:pPr>
        <w:spacing w:after="0" w:line="116"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management is responsible for assessing the Company’s compliance with the Applicable Servicing Criteria.</w:t>
      </w:r>
    </w:p>
    <w:p>
      <w:pPr>
        <w:spacing w:after="0" w:line="130" w:lineRule="exact"/>
        <w:rPr>
          <w:rFonts w:ascii="Arial" w:cs="Arial" w:eastAsia="Arial" w:hAnsi="Arial"/>
          <w:sz w:val="18"/>
          <w:szCs w:val="18"/>
          <w:color w:val="auto"/>
        </w:rPr>
      </w:pPr>
    </w:p>
    <w:p>
      <w:pPr>
        <w:ind w:left="960" w:right="360" w:hanging="424"/>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management has assessed compliance with the Applicable Servicing Criteria. In making this assessment, management used the criteria set forth by the Securities and Exchange Commission in paragraph (d) of Item 1122 of Regulation AB.</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such assessment, the Company has complied, in all material respects with the Applicable Servicing Criteria.</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with respect to management’s assertion of compliance with the Applicable Servicing Criteria as of and for the Period.</w:t>
      </w:r>
    </w:p>
    <w:p>
      <w:pPr>
        <w:sectPr>
          <w:pgSz w:w="11900" w:h="16838" w:orient="portrait"/>
          <w:cols w:equalWidth="0" w:num="1">
            <w:col w:w="11020"/>
          </w:cols>
          <w:pgMar w:left="440" w:top="121" w:right="439" w:bottom="1440" w:gutter="0" w:footer="0" w:header="0"/>
        </w:sectPr>
      </w:pPr>
    </w:p>
    <w:bookmarkStart w:id="17" w:name="page18"/>
    <w:bookmarkEnd w:id="17"/>
    <w:p>
      <w:pPr>
        <w:ind w:left="6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NATIONAL TRUST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Co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Matt Bowen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Christopher Corcoran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DEUTSCHE BANK TRUST COMPANY AMERICAS</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Co</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Christopher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Christopher Corcoran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2021</w:t>
      </w:r>
    </w:p>
    <w:p>
      <w:pPr>
        <w:sectPr>
          <w:pgSz w:w="11900" w:h="16838" w:orient="portrait"/>
          <w:cols w:equalWidth="0" w:num="1">
            <w:col w:w="10800"/>
          </w:cols>
          <w:pgMar w:left="440" w:top="270" w:right="6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Asset-Backed Transactions and Securities Constituting the Platform - MBS Deals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Deal ID</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Deal Name</w:t>
            </w:r>
          </w:p>
        </w:tc>
        <w:tc>
          <w:tcPr>
            <w:tcW w:w="656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0"/>
              </w:rPr>
              <w:t>Series</w:t>
            </w:r>
          </w:p>
        </w:tc>
        <w:tc>
          <w:tcPr>
            <w:tcW w:w="2500" w:type="dxa"/>
            <w:vAlign w:val="bottom"/>
          </w:tcPr>
          <w:p>
            <w:pPr>
              <w:spacing w:after="0"/>
              <w:rPr>
                <w:sz w:val="14"/>
                <w:szCs w:val="14"/>
                <w:color w:val="auto"/>
              </w:rPr>
            </w:pPr>
          </w:p>
        </w:tc>
      </w:tr>
      <w:tr>
        <w:trPr>
          <w:trHeight w:val="210"/>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6"/>
              </w:rPr>
              <w:t>AA0601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Aames Mortgage Investment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AB07O1</w:t>
            </w:r>
          </w:p>
        </w:tc>
        <w:tc>
          <w:tcPr>
            <w:tcW w:w="7260" w:type="dxa"/>
            <w:vAlign w:val="bottom"/>
            <w:gridSpan w:val="2"/>
          </w:tcPr>
          <w:p>
            <w:pPr>
              <w:spacing w:after="0"/>
              <w:rPr>
                <w:sz w:val="20"/>
                <w:szCs w:val="20"/>
                <w:color w:val="auto"/>
              </w:rPr>
            </w:pPr>
            <w:r>
              <w:rPr>
                <w:rFonts w:ascii="Arial" w:cs="Arial" w:eastAsia="Arial" w:hAnsi="Arial"/>
                <w:sz w:val="18"/>
                <w:szCs w:val="18"/>
                <w:color w:val="auto"/>
              </w:rPr>
              <w:t>Alliance Bancorp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2007-OA1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AC0601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Accredited Mortgage Loan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AC0602</w:t>
            </w:r>
          </w:p>
        </w:tc>
        <w:tc>
          <w:tcPr>
            <w:tcW w:w="7260" w:type="dxa"/>
            <w:vAlign w:val="bottom"/>
            <w:gridSpan w:val="2"/>
          </w:tcPr>
          <w:p>
            <w:pPr>
              <w:spacing w:after="0"/>
              <w:rPr>
                <w:sz w:val="20"/>
                <w:szCs w:val="20"/>
                <w:color w:val="auto"/>
              </w:rPr>
            </w:pPr>
            <w:r>
              <w:rPr>
                <w:rFonts w:ascii="Arial" w:cs="Arial" w:eastAsia="Arial" w:hAnsi="Arial"/>
                <w:sz w:val="18"/>
                <w:szCs w:val="18"/>
                <w:color w:val="auto"/>
              </w:rPr>
              <w:t>Accredited Mortgage Loan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AC0701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Accredited Mortgage Loan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AG0601</w:t>
            </w:r>
          </w:p>
        </w:tc>
        <w:tc>
          <w:tcPr>
            <w:tcW w:w="7260" w:type="dxa"/>
            <w:vAlign w:val="bottom"/>
            <w:gridSpan w:val="2"/>
          </w:tcPr>
          <w:p>
            <w:pPr>
              <w:spacing w:after="0"/>
              <w:rPr>
                <w:sz w:val="20"/>
                <w:szCs w:val="20"/>
                <w:color w:val="auto"/>
              </w:rPr>
            </w:pPr>
            <w:r>
              <w:rPr>
                <w:rFonts w:ascii="Arial" w:cs="Arial" w:eastAsia="Arial" w:hAnsi="Arial"/>
                <w:sz w:val="18"/>
                <w:szCs w:val="18"/>
                <w:color w:val="auto"/>
              </w:rPr>
              <w:t>Aegis Asset Backed Securities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AH0601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Investment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AH0602</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AH0603</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Investment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2006-3</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AH06A1</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AH06A2</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Assets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2006-2</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AH06A5</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Series 2006-5</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AH06A6</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2006-6</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AH0701</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Investment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AH0702</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Investment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2007-2</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AH07A1</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Assets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AH07A2</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2007-2</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AH07A3</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Assets 2007-3</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Series 2007-3</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AH07A4</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Series 2007-4</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8"/>
              </w:rPr>
              <w:t>AH07A5</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American Home Mortgage Assets</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Series 2007-5</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AQ0601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Ameriquest Mortgage Securities, Inc.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2006-R1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AQ0602</w:t>
            </w:r>
          </w:p>
        </w:tc>
        <w:tc>
          <w:tcPr>
            <w:tcW w:w="7260" w:type="dxa"/>
            <w:vAlign w:val="bottom"/>
            <w:gridSpan w:val="2"/>
          </w:tcPr>
          <w:p>
            <w:pPr>
              <w:spacing w:after="0"/>
              <w:rPr>
                <w:sz w:val="20"/>
                <w:szCs w:val="20"/>
                <w:color w:val="auto"/>
              </w:rPr>
            </w:pPr>
            <w:r>
              <w:rPr>
                <w:rFonts w:ascii="Arial" w:cs="Arial" w:eastAsia="Arial" w:hAnsi="Arial"/>
                <w:sz w:val="18"/>
                <w:szCs w:val="18"/>
                <w:color w:val="auto"/>
              </w:rPr>
              <w:t>Ameriquest Mortgage Securities, Inc.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2006-R2</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8"/>
              </w:rPr>
              <w:t>AQ06M3</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Ameriquest Mortgage Securities, Inc.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2006-M3</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AR0601</w:t>
            </w:r>
          </w:p>
        </w:tc>
        <w:tc>
          <w:tcPr>
            <w:tcW w:w="726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2006-W1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AR0602</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2006-W2</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AR0603</w:t>
            </w:r>
          </w:p>
        </w:tc>
        <w:tc>
          <w:tcPr>
            <w:tcW w:w="726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2006-W3</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AR0604</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2006-W4</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AR0605</w:t>
            </w:r>
          </w:p>
        </w:tc>
        <w:tc>
          <w:tcPr>
            <w:tcW w:w="726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2006-W5</w:t>
            </w:r>
          </w:p>
        </w:tc>
      </w:tr>
      <w:tr>
        <w:trPr>
          <w:trHeight w:val="216"/>
        </w:trPr>
        <w:tc>
          <w:tcPr>
            <w:tcW w:w="8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7"/>
              </w:rPr>
              <w:t>AR06M1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2006-M1</w:t>
            </w:r>
          </w:p>
        </w:tc>
      </w:tr>
      <w:tr>
        <w:trPr>
          <w:trHeight w:val="216"/>
        </w:trPr>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AR06M2</w:t>
            </w:r>
          </w:p>
        </w:tc>
        <w:tc>
          <w:tcPr>
            <w:tcW w:w="7260" w:type="dxa"/>
            <w:vAlign w:val="bottom"/>
            <w:gridSpan w:val="2"/>
          </w:tcPr>
          <w:p>
            <w:pPr>
              <w:spacing w:after="0"/>
              <w:rPr>
                <w:sz w:val="20"/>
                <w:szCs w:val="20"/>
                <w:color w:val="auto"/>
              </w:rPr>
            </w:pPr>
            <w:r>
              <w:rPr>
                <w:rFonts w:ascii="Arial" w:cs="Arial" w:eastAsia="Arial" w:hAnsi="Arial"/>
                <w:sz w:val="18"/>
                <w:szCs w:val="18"/>
                <w:color w:val="auto"/>
              </w:rPr>
              <w:t>Argent Securities Inc.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2006-M2</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6"/>
              </w:rPr>
              <w:t>BA15SK</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SFAVE Commercial Mortgage Securities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2015-5AVE</w:t>
            </w:r>
          </w:p>
        </w:tc>
      </w:tr>
      <w:tr>
        <w:trPr>
          <w:trHeight w:val="216"/>
        </w:trPr>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BC0601</w:t>
            </w:r>
          </w:p>
        </w:tc>
        <w:tc>
          <w:tcPr>
            <w:tcW w:w="726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2006-WM3</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BC06F4</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2006-FR4</w:t>
            </w:r>
          </w:p>
        </w:tc>
      </w:tr>
      <w:tr>
        <w:trPr>
          <w:trHeight w:val="216"/>
        </w:trPr>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BC06W4</w:t>
            </w:r>
          </w:p>
        </w:tc>
        <w:tc>
          <w:tcPr>
            <w:tcW w:w="726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2006-WM4</w:t>
            </w:r>
          </w:p>
        </w:tc>
      </w:tr>
      <w:tr>
        <w:trPr>
          <w:trHeight w:val="216"/>
        </w:trPr>
        <w:tc>
          <w:tcPr>
            <w:tcW w:w="8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BC0701</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BCAP LLC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2007-AA1</w:t>
            </w:r>
          </w:p>
        </w:tc>
      </w:tr>
      <w:tr>
        <w:trPr>
          <w:trHeight w:val="216"/>
        </w:trPr>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BC0702</w:t>
            </w:r>
          </w:p>
        </w:tc>
        <w:tc>
          <w:tcPr>
            <w:tcW w:w="726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2007-AA2</w:t>
            </w:r>
          </w:p>
        </w:tc>
      </w:tr>
      <w:tr>
        <w:trPr>
          <w:trHeight w:val="216"/>
        </w:trPr>
        <w:tc>
          <w:tcPr>
            <w:tcW w:w="8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BC0703</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BCAP LLC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2007-AA3</w:t>
            </w:r>
          </w:p>
        </w:tc>
      </w:tr>
      <w:tr>
        <w:trPr>
          <w:trHeight w:val="216"/>
        </w:trPr>
        <w:tc>
          <w:tcPr>
            <w:tcW w:w="8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BC0704</w:t>
            </w:r>
          </w:p>
        </w:tc>
        <w:tc>
          <w:tcPr>
            <w:tcW w:w="7260" w:type="dxa"/>
            <w:vAlign w:val="bottom"/>
            <w:gridSpan w:val="2"/>
          </w:tcPr>
          <w:p>
            <w:pPr>
              <w:spacing w:after="0"/>
              <w:rPr>
                <w:sz w:val="20"/>
                <w:szCs w:val="20"/>
                <w:color w:val="auto"/>
              </w:rPr>
            </w:pPr>
            <w:r>
              <w:rPr>
                <w:rFonts w:ascii="Arial" w:cs="Arial" w:eastAsia="Arial" w:hAnsi="Arial"/>
                <w:sz w:val="18"/>
                <w:szCs w:val="18"/>
                <w:color w:val="auto"/>
              </w:rPr>
              <w:t>BCAP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2007-AA4</w:t>
            </w:r>
          </w:p>
        </w:tc>
      </w:tr>
      <w:tr>
        <w:trPr>
          <w:trHeight w:val="216"/>
        </w:trPr>
        <w:tc>
          <w:tcPr>
            <w:tcW w:w="8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BC0705</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BCAP LLC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2007-AB1</w:t>
            </w:r>
          </w:p>
        </w:tc>
      </w:tr>
      <w:tr>
        <w:trPr>
          <w:trHeight w:val="216"/>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BC07B1</w:t>
            </w:r>
          </w:p>
        </w:tc>
        <w:tc>
          <w:tcPr>
            <w:tcW w:w="726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2007-BR1</w:t>
            </w:r>
          </w:p>
        </w:tc>
      </w:tr>
      <w:tr>
        <w:trPr>
          <w:trHeight w:val="216"/>
        </w:trPr>
        <w:tc>
          <w:tcPr>
            <w:tcW w:w="8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2"/>
              </w:rPr>
              <w:t>BC07B2</w:t>
            </w: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2007-BR2</w:t>
            </w:r>
          </w:p>
        </w:tc>
      </w:tr>
      <w:tr>
        <w:trPr>
          <w:trHeight w:val="230"/>
        </w:trPr>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BC07B3</w:t>
            </w:r>
          </w:p>
        </w:tc>
        <w:tc>
          <w:tcPr>
            <w:tcW w:w="7260" w:type="dxa"/>
            <w:vAlign w:val="bottom"/>
            <w:gridSpan w:val="2"/>
          </w:tcPr>
          <w:p>
            <w:pPr>
              <w:spacing w:after="0"/>
              <w:rPr>
                <w:sz w:val="20"/>
                <w:szCs w:val="20"/>
                <w:color w:val="auto"/>
              </w:rPr>
            </w:pPr>
            <w:r>
              <w:rPr>
                <w:rFonts w:ascii="Arial" w:cs="Arial" w:eastAsia="Arial" w:hAnsi="Arial"/>
                <w:sz w:val="18"/>
                <w:szCs w:val="18"/>
                <w:color w:val="auto"/>
              </w:rPr>
              <w:t>Securitized Asset Backed Receivables LLC Trust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2007-BR3</w:t>
            </w:r>
          </w:p>
        </w:tc>
      </w:tr>
    </w:tbl>
    <w:p>
      <w:pPr>
        <w:sectPr>
          <w:pgSz w:w="11900" w:h="16838" w:orient="portrait"/>
          <w:cols w:equalWidth="0" w:num="1">
            <w:col w:w="11020"/>
          </w:cols>
          <w:pgMar w:left="440" w:top="270"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BC07B4</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Securitized Asset Backed Receivables LLC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2007-BR4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BC07B5</w:t>
            </w:r>
          </w:p>
        </w:tc>
        <w:tc>
          <w:tcPr>
            <w:tcW w:w="5480" w:type="dxa"/>
            <w:vAlign w:val="bottom"/>
          </w:tcPr>
          <w:p>
            <w:pPr>
              <w:ind w:left="60"/>
              <w:spacing w:after="0"/>
              <w:rPr>
                <w:sz w:val="20"/>
                <w:szCs w:val="20"/>
                <w:color w:val="auto"/>
              </w:rPr>
            </w:pPr>
            <w:r>
              <w:rPr>
                <w:rFonts w:ascii="Arial" w:cs="Arial" w:eastAsia="Arial" w:hAnsi="Arial"/>
                <w:sz w:val="18"/>
                <w:szCs w:val="18"/>
                <w:color w:val="auto"/>
              </w:rPr>
              <w:t>Securitized Asset Backed Receivables LLC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2007-BR5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BC07C1</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Securitized Asset Backed Receivables LLC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2007-NC1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BC07C2</w:t>
            </w:r>
          </w:p>
        </w:tc>
        <w:tc>
          <w:tcPr>
            <w:tcW w:w="5480" w:type="dxa"/>
            <w:vAlign w:val="bottom"/>
          </w:tcPr>
          <w:p>
            <w:pPr>
              <w:ind w:left="60"/>
              <w:spacing w:after="0"/>
              <w:rPr>
                <w:sz w:val="20"/>
                <w:szCs w:val="20"/>
                <w:color w:val="auto"/>
              </w:rPr>
            </w:pPr>
            <w:r>
              <w:rPr>
                <w:rFonts w:ascii="Arial" w:cs="Arial" w:eastAsia="Arial" w:hAnsi="Arial"/>
                <w:sz w:val="18"/>
                <w:szCs w:val="18"/>
                <w:color w:val="auto"/>
              </w:rPr>
              <w:t>Securitized Asset Backed Receivables LLC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2007-NC2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BC07E1</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Equifirst Loan Securitization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2007-1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BC07H1</w:t>
            </w:r>
          </w:p>
        </w:tc>
        <w:tc>
          <w:tcPr>
            <w:tcW w:w="5480" w:type="dxa"/>
            <w:vAlign w:val="bottom"/>
          </w:tcPr>
          <w:p>
            <w:pPr>
              <w:ind w:left="60"/>
              <w:spacing w:after="0"/>
              <w:rPr>
                <w:sz w:val="20"/>
                <w:szCs w:val="20"/>
                <w:color w:val="auto"/>
              </w:rPr>
            </w:pPr>
            <w:r>
              <w:rPr>
                <w:rFonts w:ascii="Arial" w:cs="Arial" w:eastAsia="Arial" w:hAnsi="Arial"/>
                <w:sz w:val="18"/>
                <w:szCs w:val="18"/>
                <w:color w:val="auto"/>
              </w:rPr>
              <w:t>Securitized Asset Backed Receivables LLC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2007-HE1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CD07C5</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CD</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2007-CD5</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CI1423</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2014-GC23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CI1425</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2014-GC25</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CI14F1</w:t>
            </w:r>
          </w:p>
        </w:tc>
        <w:tc>
          <w:tcPr>
            <w:tcW w:w="5480" w:type="dxa"/>
            <w:vAlign w:val="bottom"/>
          </w:tcPr>
          <w:p>
            <w:pPr>
              <w:ind w:left="60"/>
              <w:spacing w:after="0"/>
              <w:rPr>
                <w:sz w:val="20"/>
                <w:szCs w:val="20"/>
                <w:color w:val="auto"/>
              </w:rPr>
            </w:pPr>
            <w:r>
              <w:rPr>
                <w:rFonts w:ascii="Arial" w:cs="Arial" w:eastAsia="Arial" w:hAnsi="Arial"/>
                <w:sz w:val="18"/>
                <w:szCs w:val="18"/>
                <w:color w:val="auto"/>
              </w:rPr>
              <w:t>CG-CCRE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2014-FL1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CI14F2</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CG-CCRE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2014-FL2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CI1527</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2015-GC27</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CI1529</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2015-GC29</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CI1531</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2015-GC31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CI1533</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Pass-Through Certificates</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Series 2015-GC33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CI1535</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Pass-Through Certificates</w:t>
            </w:r>
          </w:p>
        </w:tc>
        <w:tc>
          <w:tcPr>
            <w:tcW w:w="4720" w:type="dxa"/>
            <w:vAlign w:val="bottom"/>
          </w:tcPr>
          <w:p>
            <w:pPr>
              <w:ind w:left="1860"/>
              <w:spacing w:after="0"/>
              <w:rPr>
                <w:sz w:val="20"/>
                <w:szCs w:val="20"/>
                <w:color w:val="auto"/>
              </w:rPr>
            </w:pPr>
            <w:r>
              <w:rPr>
                <w:rFonts w:ascii="Arial" w:cs="Arial" w:eastAsia="Arial" w:hAnsi="Arial"/>
                <w:sz w:val="18"/>
                <w:szCs w:val="18"/>
                <w:color w:val="auto"/>
              </w:rPr>
              <w:t>Series 2015-GC35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CI15P1</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2015-P1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CI15SM</w:t>
            </w:r>
          </w:p>
        </w:tc>
        <w:tc>
          <w:tcPr>
            <w:tcW w:w="5480" w:type="dxa"/>
            <w:vAlign w:val="bottom"/>
          </w:tcPr>
          <w:p>
            <w:pPr>
              <w:ind w:left="60"/>
              <w:spacing w:after="0"/>
              <w:rPr>
                <w:sz w:val="20"/>
                <w:szCs w:val="20"/>
                <w:color w:val="auto"/>
              </w:rPr>
            </w:pPr>
            <w:r>
              <w:rPr>
                <w:rFonts w:ascii="Arial" w:cs="Arial" w:eastAsia="Arial" w:hAnsi="Arial"/>
                <w:sz w:val="18"/>
                <w:szCs w:val="18"/>
                <w:color w:val="auto"/>
              </w:rPr>
              <w:t>CGBAM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2015-SMRT</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CI1637</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2016-GC37</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CI16C1</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2016-C1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CI16C2</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2016-C2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CI16C3</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2016-C3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CI16P4</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2016-P4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9"/>
              </w:rPr>
              <w:t>CI16P5</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2016-P5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CI16P6</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2016-P6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CI17B1</w:t>
            </w:r>
          </w:p>
        </w:tc>
        <w:tc>
          <w:tcPr>
            <w:tcW w:w="5480" w:type="dxa"/>
            <w:vAlign w:val="bottom"/>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2017-B1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CI17P7</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Commercial Mortgage Trust</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2017-P7</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DB06G1</w:t>
            </w:r>
          </w:p>
        </w:tc>
        <w:tc>
          <w:tcPr>
            <w:tcW w:w="5480" w:type="dxa"/>
            <w:vAlign w:val="bottom"/>
          </w:tcPr>
          <w:p>
            <w:pPr>
              <w:ind w:left="60"/>
              <w:spacing w:after="0"/>
              <w:rPr>
                <w:sz w:val="20"/>
                <w:szCs w:val="20"/>
                <w:color w:val="auto"/>
              </w:rPr>
            </w:pPr>
            <w:r>
              <w:rPr>
                <w:rFonts w:ascii="Arial" w:cs="Arial" w:eastAsia="Arial" w:hAnsi="Arial"/>
                <w:sz w:val="18"/>
                <w:szCs w:val="18"/>
                <w:color w:val="auto"/>
              </w:rPr>
              <w:t>Ace Securities Corp. Home Equity Loan Trust</w:t>
            </w:r>
          </w:p>
        </w:tc>
        <w:tc>
          <w:tcPr>
            <w:tcW w:w="4720" w:type="dxa"/>
            <w:vAlign w:val="bottom"/>
          </w:tcPr>
          <w:p>
            <w:pPr>
              <w:ind w:left="1860"/>
              <w:spacing w:after="0"/>
              <w:rPr>
                <w:sz w:val="20"/>
                <w:szCs w:val="20"/>
                <w:color w:val="auto"/>
              </w:rPr>
            </w:pPr>
            <w:r>
              <w:rPr>
                <w:rFonts w:ascii="Arial" w:cs="Arial" w:eastAsia="Arial" w:hAnsi="Arial"/>
                <w:sz w:val="18"/>
                <w:szCs w:val="18"/>
                <w:color w:val="auto"/>
              </w:rPr>
              <w:t>2006-GP1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DB07C9</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2007-C9</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DB11L2</w:t>
            </w:r>
          </w:p>
        </w:tc>
        <w:tc>
          <w:tcPr>
            <w:tcW w:w="5480" w:type="dxa"/>
            <w:vAlign w:val="bottom"/>
          </w:tcPr>
          <w:p>
            <w:pPr>
              <w:ind w:left="60"/>
              <w:spacing w:after="0"/>
              <w:rPr>
                <w:sz w:val="20"/>
                <w:szCs w:val="20"/>
                <w:color w:val="auto"/>
              </w:rPr>
            </w:pPr>
            <w:r>
              <w:rPr>
                <w:rFonts w:ascii="Arial" w:cs="Arial" w:eastAsia="Arial" w:hAnsi="Arial"/>
                <w:sz w:val="18"/>
                <w:szCs w:val="18"/>
                <w:color w:val="auto"/>
              </w:rPr>
              <w:t>DBUBS</w:t>
            </w:r>
          </w:p>
        </w:tc>
        <w:tc>
          <w:tcPr>
            <w:tcW w:w="4720" w:type="dxa"/>
            <w:vAlign w:val="bottom"/>
          </w:tcPr>
          <w:p>
            <w:pPr>
              <w:ind w:left="1860"/>
              <w:spacing w:after="0"/>
              <w:rPr>
                <w:sz w:val="20"/>
                <w:szCs w:val="20"/>
                <w:color w:val="auto"/>
              </w:rPr>
            </w:pPr>
            <w:r>
              <w:rPr>
                <w:rFonts w:ascii="Arial" w:cs="Arial" w:eastAsia="Arial" w:hAnsi="Arial"/>
                <w:sz w:val="18"/>
                <w:szCs w:val="18"/>
                <w:color w:val="auto"/>
              </w:rPr>
              <w:t>2011-LC2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DB12C3</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2012-CCRE3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DB12L4</w:t>
            </w:r>
          </w:p>
        </w:tc>
        <w:tc>
          <w:tcPr>
            <w:tcW w:w="5480" w:type="dxa"/>
            <w:vAlign w:val="bottom"/>
          </w:tcPr>
          <w:p>
            <w:pPr>
              <w:ind w:left="60"/>
              <w:spacing w:after="0"/>
              <w:rPr>
                <w:sz w:val="20"/>
                <w:szCs w:val="20"/>
                <w:color w:val="auto"/>
              </w:rPr>
            </w:pPr>
            <w:r>
              <w:rPr>
                <w:rFonts w:ascii="Arial" w:cs="Arial" w:eastAsia="Arial" w:hAnsi="Arial"/>
                <w:sz w:val="18"/>
                <w:szCs w:val="18"/>
                <w:color w:val="auto"/>
              </w:rPr>
              <w:t>COMM</w:t>
            </w:r>
          </w:p>
        </w:tc>
        <w:tc>
          <w:tcPr>
            <w:tcW w:w="4720" w:type="dxa"/>
            <w:vAlign w:val="bottom"/>
          </w:tcPr>
          <w:p>
            <w:pPr>
              <w:ind w:left="1860"/>
              <w:spacing w:after="0"/>
              <w:rPr>
                <w:sz w:val="20"/>
                <w:szCs w:val="20"/>
                <w:color w:val="auto"/>
              </w:rPr>
            </w:pPr>
            <w:r>
              <w:rPr>
                <w:rFonts w:ascii="Arial" w:cs="Arial" w:eastAsia="Arial" w:hAnsi="Arial"/>
                <w:sz w:val="18"/>
                <w:szCs w:val="18"/>
                <w:color w:val="auto"/>
              </w:rPr>
              <w:t>2012-LC4</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DB12LT</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2012-LTRT</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DB12VT</w:t>
            </w:r>
          </w:p>
        </w:tc>
        <w:tc>
          <w:tcPr>
            <w:tcW w:w="5480" w:type="dxa"/>
            <w:vAlign w:val="bottom"/>
          </w:tcPr>
          <w:p>
            <w:pPr>
              <w:ind w:left="60"/>
              <w:spacing w:after="0"/>
              <w:rPr>
                <w:sz w:val="20"/>
                <w:szCs w:val="20"/>
                <w:color w:val="auto"/>
              </w:rPr>
            </w:pPr>
            <w:r>
              <w:rPr>
                <w:rFonts w:ascii="Arial" w:cs="Arial" w:eastAsia="Arial" w:hAnsi="Arial"/>
                <w:sz w:val="18"/>
                <w:szCs w:val="18"/>
                <w:color w:val="auto"/>
              </w:rPr>
              <w:t>VNDO</w:t>
            </w:r>
          </w:p>
        </w:tc>
        <w:tc>
          <w:tcPr>
            <w:tcW w:w="4720" w:type="dxa"/>
            <w:vAlign w:val="bottom"/>
          </w:tcPr>
          <w:p>
            <w:pPr>
              <w:ind w:left="1860"/>
              <w:spacing w:after="0"/>
              <w:rPr>
                <w:sz w:val="20"/>
                <w:szCs w:val="20"/>
                <w:color w:val="auto"/>
              </w:rPr>
            </w:pPr>
            <w:r>
              <w:rPr>
                <w:rFonts w:ascii="Arial" w:cs="Arial" w:eastAsia="Arial" w:hAnsi="Arial"/>
                <w:sz w:val="18"/>
                <w:szCs w:val="18"/>
                <w:color w:val="auto"/>
              </w:rPr>
              <w:t>2012-6AVE</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DB1311</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2013-CCRE11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DB1313</w:t>
            </w:r>
          </w:p>
        </w:tc>
        <w:tc>
          <w:tcPr>
            <w:tcW w:w="5480" w:type="dxa"/>
            <w:vAlign w:val="bottom"/>
          </w:tcPr>
          <w:p>
            <w:pPr>
              <w:ind w:left="60"/>
              <w:spacing w:after="0"/>
              <w:rPr>
                <w:sz w:val="20"/>
                <w:szCs w:val="20"/>
                <w:color w:val="auto"/>
              </w:rPr>
            </w:pPr>
            <w:r>
              <w:rPr>
                <w:rFonts w:ascii="Arial" w:cs="Arial" w:eastAsia="Arial" w:hAnsi="Arial"/>
                <w:sz w:val="18"/>
                <w:szCs w:val="18"/>
                <w:color w:val="auto"/>
              </w:rPr>
              <w:t>COMM</w:t>
            </w:r>
          </w:p>
        </w:tc>
        <w:tc>
          <w:tcPr>
            <w:tcW w:w="4720" w:type="dxa"/>
            <w:vAlign w:val="bottom"/>
          </w:tcPr>
          <w:p>
            <w:pPr>
              <w:ind w:left="1860"/>
              <w:spacing w:after="0"/>
              <w:rPr>
                <w:sz w:val="20"/>
                <w:szCs w:val="20"/>
                <w:color w:val="auto"/>
              </w:rPr>
            </w:pPr>
            <w:r>
              <w:rPr>
                <w:rFonts w:ascii="Arial" w:cs="Arial" w:eastAsia="Arial" w:hAnsi="Arial"/>
                <w:sz w:val="18"/>
                <w:szCs w:val="18"/>
                <w:color w:val="auto"/>
              </w:rPr>
              <w:t>2013-LC13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DB133P</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2013-300P</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7"/>
              </w:rPr>
              <w:t>DB13BW</w:t>
            </w:r>
          </w:p>
        </w:tc>
        <w:tc>
          <w:tcPr>
            <w:tcW w:w="5480" w:type="dxa"/>
            <w:vAlign w:val="bottom"/>
          </w:tcPr>
          <w:p>
            <w:pPr>
              <w:ind w:left="60"/>
              <w:spacing w:after="0"/>
              <w:rPr>
                <w:sz w:val="20"/>
                <w:szCs w:val="20"/>
                <w:color w:val="auto"/>
              </w:rPr>
            </w:pPr>
            <w:r>
              <w:rPr>
                <w:rFonts w:ascii="Arial" w:cs="Arial" w:eastAsia="Arial" w:hAnsi="Arial"/>
                <w:sz w:val="18"/>
                <w:szCs w:val="18"/>
                <w:color w:val="auto"/>
              </w:rPr>
              <w:t>BWAY</w:t>
            </w:r>
          </w:p>
        </w:tc>
        <w:tc>
          <w:tcPr>
            <w:tcW w:w="4720" w:type="dxa"/>
            <w:vAlign w:val="bottom"/>
          </w:tcPr>
          <w:p>
            <w:pPr>
              <w:ind w:left="1860"/>
              <w:spacing w:after="0"/>
              <w:rPr>
                <w:sz w:val="20"/>
                <w:szCs w:val="20"/>
                <w:color w:val="auto"/>
              </w:rPr>
            </w:pPr>
            <w:r>
              <w:rPr>
                <w:rFonts w:ascii="Arial" w:cs="Arial" w:eastAsia="Arial" w:hAnsi="Arial"/>
                <w:sz w:val="18"/>
                <w:szCs w:val="18"/>
                <w:color w:val="auto"/>
              </w:rPr>
              <w:t>2013-1515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DB13C6</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2013-CCRE6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DB13C8</w:t>
            </w:r>
          </w:p>
        </w:tc>
        <w:tc>
          <w:tcPr>
            <w:tcW w:w="5480" w:type="dxa"/>
            <w:vAlign w:val="bottom"/>
          </w:tcPr>
          <w:p>
            <w:pPr>
              <w:ind w:left="60"/>
              <w:spacing w:after="0"/>
              <w:rPr>
                <w:sz w:val="20"/>
                <w:szCs w:val="20"/>
                <w:color w:val="auto"/>
              </w:rPr>
            </w:pPr>
            <w:r>
              <w:rPr>
                <w:rFonts w:ascii="Arial" w:cs="Arial" w:eastAsia="Arial" w:hAnsi="Arial"/>
                <w:sz w:val="18"/>
                <w:szCs w:val="18"/>
                <w:color w:val="auto"/>
              </w:rPr>
              <w:t>COMM</w:t>
            </w:r>
          </w:p>
        </w:tc>
        <w:tc>
          <w:tcPr>
            <w:tcW w:w="4720" w:type="dxa"/>
            <w:vAlign w:val="bottom"/>
          </w:tcPr>
          <w:p>
            <w:pPr>
              <w:ind w:left="1860"/>
              <w:spacing w:after="0"/>
              <w:rPr>
                <w:sz w:val="20"/>
                <w:szCs w:val="20"/>
                <w:color w:val="auto"/>
              </w:rPr>
            </w:pPr>
            <w:r>
              <w:rPr>
                <w:rFonts w:ascii="Arial" w:cs="Arial" w:eastAsia="Arial" w:hAnsi="Arial"/>
                <w:sz w:val="18"/>
                <w:szCs w:val="18"/>
                <w:color w:val="auto"/>
              </w:rPr>
              <w:t>2013-CCRE8</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DB13C9</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2013-CCRE9</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DB13CC</w:t>
            </w:r>
          </w:p>
        </w:tc>
        <w:tc>
          <w:tcPr>
            <w:tcW w:w="5480" w:type="dxa"/>
            <w:vAlign w:val="bottom"/>
          </w:tcPr>
          <w:p>
            <w:pPr>
              <w:ind w:left="60"/>
              <w:spacing w:after="0"/>
              <w:rPr>
                <w:sz w:val="20"/>
                <w:szCs w:val="20"/>
                <w:color w:val="auto"/>
              </w:rPr>
            </w:pPr>
            <w:r>
              <w:rPr>
                <w:rFonts w:ascii="Arial" w:cs="Arial" w:eastAsia="Arial" w:hAnsi="Arial"/>
                <w:sz w:val="18"/>
                <w:szCs w:val="18"/>
                <w:color w:val="auto"/>
              </w:rPr>
              <w:t>COMM</w:t>
            </w:r>
          </w:p>
        </w:tc>
        <w:tc>
          <w:tcPr>
            <w:tcW w:w="4720" w:type="dxa"/>
            <w:vAlign w:val="bottom"/>
          </w:tcPr>
          <w:p>
            <w:pPr>
              <w:ind w:left="1860"/>
              <w:spacing w:after="0"/>
              <w:rPr>
                <w:sz w:val="20"/>
                <w:szCs w:val="20"/>
                <w:color w:val="auto"/>
              </w:rPr>
            </w:pPr>
            <w:r>
              <w:rPr>
                <w:rFonts w:ascii="Arial" w:cs="Arial" w:eastAsia="Arial" w:hAnsi="Arial"/>
                <w:sz w:val="18"/>
                <w:szCs w:val="18"/>
                <w:color w:val="auto"/>
              </w:rPr>
              <w:t>2013-CCRE13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DB13SF</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2013-SFS</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DB1414</w:t>
            </w:r>
          </w:p>
        </w:tc>
        <w:tc>
          <w:tcPr>
            <w:tcW w:w="5480" w:type="dxa"/>
            <w:vAlign w:val="bottom"/>
          </w:tcPr>
          <w:p>
            <w:pPr>
              <w:ind w:left="60"/>
              <w:spacing w:after="0"/>
              <w:rPr>
                <w:sz w:val="20"/>
                <w:szCs w:val="20"/>
                <w:color w:val="auto"/>
              </w:rPr>
            </w:pPr>
            <w:r>
              <w:rPr>
                <w:rFonts w:ascii="Arial" w:cs="Arial" w:eastAsia="Arial" w:hAnsi="Arial"/>
                <w:sz w:val="18"/>
                <w:szCs w:val="18"/>
                <w:color w:val="auto"/>
              </w:rPr>
              <w:t>COMM</w:t>
            </w:r>
          </w:p>
        </w:tc>
        <w:tc>
          <w:tcPr>
            <w:tcW w:w="4720" w:type="dxa"/>
            <w:vAlign w:val="bottom"/>
          </w:tcPr>
          <w:p>
            <w:pPr>
              <w:ind w:left="1860"/>
              <w:spacing w:after="0"/>
              <w:rPr>
                <w:sz w:val="20"/>
                <w:szCs w:val="20"/>
                <w:color w:val="auto"/>
              </w:rPr>
            </w:pPr>
            <w:r>
              <w:rPr>
                <w:rFonts w:ascii="Arial" w:cs="Arial" w:eastAsia="Arial" w:hAnsi="Arial"/>
                <w:sz w:val="18"/>
                <w:szCs w:val="18"/>
                <w:color w:val="auto"/>
              </w:rPr>
              <w:t>2014-CCRE14</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DB1417</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2014-CCRE17</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7"/>
              </w:rPr>
              <w:t>DB14AR</w:t>
            </w:r>
          </w:p>
        </w:tc>
        <w:tc>
          <w:tcPr>
            <w:tcW w:w="5480" w:type="dxa"/>
            <w:vAlign w:val="bottom"/>
          </w:tcPr>
          <w:p>
            <w:pPr>
              <w:ind w:left="60"/>
              <w:spacing w:after="0"/>
              <w:rPr>
                <w:sz w:val="20"/>
                <w:szCs w:val="20"/>
                <w:color w:val="auto"/>
              </w:rPr>
            </w:pPr>
            <w:r>
              <w:rPr>
                <w:rFonts w:ascii="Arial" w:cs="Arial" w:eastAsia="Arial" w:hAnsi="Arial"/>
                <w:sz w:val="18"/>
                <w:szCs w:val="18"/>
                <w:color w:val="auto"/>
              </w:rPr>
              <w:t>DBCCRE</w:t>
            </w:r>
          </w:p>
        </w:tc>
        <w:tc>
          <w:tcPr>
            <w:tcW w:w="4720" w:type="dxa"/>
            <w:vAlign w:val="bottom"/>
          </w:tcPr>
          <w:p>
            <w:pPr>
              <w:ind w:left="1860"/>
              <w:spacing w:after="0"/>
              <w:rPr>
                <w:sz w:val="20"/>
                <w:szCs w:val="20"/>
                <w:color w:val="auto"/>
              </w:rPr>
            </w:pPr>
            <w:r>
              <w:rPr>
                <w:rFonts w:ascii="Arial" w:cs="Arial" w:eastAsia="Arial" w:hAnsi="Arial"/>
                <w:sz w:val="18"/>
                <w:szCs w:val="18"/>
                <w:color w:val="auto"/>
              </w:rPr>
              <w:t>2014-ARCP</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DB14U2</w:t>
            </w:r>
          </w:p>
        </w:tc>
        <w:tc>
          <w:tcPr>
            <w:tcW w:w="5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w:t>
            </w:r>
          </w:p>
        </w:tc>
        <w:tc>
          <w:tcPr>
            <w:tcW w:w="47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2014-UBS2 Mortgage Trust</w:t>
            </w:r>
          </w:p>
        </w:tc>
      </w:tr>
    </w:tbl>
    <w:p>
      <w:pPr>
        <w:sectPr>
          <w:pgSz w:w="11900" w:h="16838" w:orient="portrait"/>
          <w:cols w:equalWidth="0" w:num="1">
            <w:col w:w="11020"/>
          </w:cols>
          <w:pgMar w:left="440" w:top="288"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DB14U4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2014-UBS4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DB1521</w:t>
            </w:r>
          </w:p>
        </w:tc>
        <w:tc>
          <w:tcPr>
            <w:tcW w:w="5280" w:type="dxa"/>
            <w:vAlign w:val="bottom"/>
          </w:tcPr>
          <w:p>
            <w:pPr>
              <w:ind w:left="80"/>
              <w:spacing w:after="0"/>
              <w:rPr>
                <w:sz w:val="20"/>
                <w:szCs w:val="20"/>
                <w:color w:val="auto"/>
              </w:rPr>
            </w:pPr>
            <w:r>
              <w:rPr>
                <w:rFonts w:ascii="Arial" w:cs="Arial" w:eastAsia="Arial" w:hAnsi="Arial"/>
                <w:sz w:val="18"/>
                <w:szCs w:val="18"/>
                <w:color w:val="auto"/>
              </w:rPr>
              <w:t>COMM</w:t>
            </w:r>
          </w:p>
        </w:tc>
        <w:tc>
          <w:tcPr>
            <w:tcW w:w="4940" w:type="dxa"/>
            <w:vAlign w:val="bottom"/>
          </w:tcPr>
          <w:p>
            <w:pPr>
              <w:ind w:left="2080"/>
              <w:spacing w:after="0"/>
              <w:rPr>
                <w:sz w:val="20"/>
                <w:szCs w:val="20"/>
                <w:color w:val="auto"/>
              </w:rPr>
            </w:pPr>
            <w:r>
              <w:rPr>
                <w:rFonts w:ascii="Arial" w:cs="Arial" w:eastAsia="Arial" w:hAnsi="Arial"/>
                <w:sz w:val="18"/>
                <w:szCs w:val="18"/>
                <w:color w:val="auto"/>
              </w:rPr>
              <w:t>2015-LC21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DB1522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2015-CCRE22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DB1525</w:t>
            </w:r>
          </w:p>
        </w:tc>
        <w:tc>
          <w:tcPr>
            <w:tcW w:w="5280" w:type="dxa"/>
            <w:vAlign w:val="bottom"/>
          </w:tcPr>
          <w:p>
            <w:pPr>
              <w:ind w:left="80"/>
              <w:spacing w:after="0"/>
              <w:rPr>
                <w:sz w:val="20"/>
                <w:szCs w:val="20"/>
                <w:color w:val="auto"/>
              </w:rPr>
            </w:pPr>
            <w:r>
              <w:rPr>
                <w:rFonts w:ascii="Arial" w:cs="Arial" w:eastAsia="Arial" w:hAnsi="Arial"/>
                <w:sz w:val="18"/>
                <w:szCs w:val="18"/>
                <w:color w:val="auto"/>
              </w:rPr>
              <w:t>COMM</w:t>
            </w:r>
          </w:p>
        </w:tc>
        <w:tc>
          <w:tcPr>
            <w:tcW w:w="4940" w:type="dxa"/>
            <w:vAlign w:val="bottom"/>
          </w:tcPr>
          <w:p>
            <w:pPr>
              <w:ind w:left="2080"/>
              <w:spacing w:after="0"/>
              <w:rPr>
                <w:sz w:val="20"/>
                <w:szCs w:val="20"/>
                <w:color w:val="auto"/>
              </w:rPr>
            </w:pPr>
            <w:r>
              <w:rPr>
                <w:rFonts w:ascii="Arial" w:cs="Arial" w:eastAsia="Arial" w:hAnsi="Arial"/>
                <w:sz w:val="18"/>
                <w:szCs w:val="18"/>
                <w:color w:val="auto"/>
              </w:rPr>
              <w:t>2015-CCRE25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DB15LC</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DBWF</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2015-LCM</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DB1678</w:t>
            </w:r>
          </w:p>
        </w:tc>
        <w:tc>
          <w:tcPr>
            <w:tcW w:w="5280" w:type="dxa"/>
            <w:vAlign w:val="bottom"/>
          </w:tcPr>
          <w:p>
            <w:pPr>
              <w:ind w:left="80"/>
              <w:spacing w:after="0"/>
              <w:rPr>
                <w:sz w:val="20"/>
                <w:szCs w:val="20"/>
                <w:color w:val="auto"/>
              </w:rPr>
            </w:pPr>
            <w:r>
              <w:rPr>
                <w:rFonts w:ascii="Arial" w:cs="Arial" w:eastAsia="Arial" w:hAnsi="Arial"/>
                <w:sz w:val="18"/>
                <w:szCs w:val="18"/>
                <w:color w:val="auto"/>
              </w:rPr>
              <w:t>COMM</w:t>
            </w:r>
          </w:p>
        </w:tc>
        <w:tc>
          <w:tcPr>
            <w:tcW w:w="4940" w:type="dxa"/>
            <w:vAlign w:val="bottom"/>
          </w:tcPr>
          <w:p>
            <w:pPr>
              <w:ind w:left="2080"/>
              <w:spacing w:after="0"/>
              <w:rPr>
                <w:sz w:val="20"/>
                <w:szCs w:val="20"/>
                <w:color w:val="auto"/>
              </w:rPr>
            </w:pPr>
            <w:r>
              <w:rPr>
                <w:rFonts w:ascii="Arial" w:cs="Arial" w:eastAsia="Arial" w:hAnsi="Arial"/>
                <w:sz w:val="18"/>
                <w:szCs w:val="18"/>
                <w:color w:val="auto"/>
              </w:rPr>
              <w:t>2016-787S</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DB1685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DBWF</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2016-85T</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DB16D2</w:t>
            </w:r>
          </w:p>
        </w:tc>
        <w:tc>
          <w:tcPr>
            <w:tcW w:w="5280" w:type="dxa"/>
            <w:vAlign w:val="bottom"/>
          </w:tcPr>
          <w:p>
            <w:pPr>
              <w:ind w:left="80"/>
              <w:spacing w:after="0"/>
              <w:rPr>
                <w:sz w:val="20"/>
                <w:szCs w:val="20"/>
                <w:color w:val="auto"/>
              </w:rPr>
            </w:pPr>
            <w:r>
              <w:rPr>
                <w:rFonts w:ascii="Arial" w:cs="Arial" w:eastAsia="Arial" w:hAnsi="Arial"/>
                <w:sz w:val="18"/>
                <w:szCs w:val="18"/>
                <w:color w:val="auto"/>
              </w:rPr>
              <w:t>COMM</w:t>
            </w:r>
          </w:p>
        </w:tc>
        <w:tc>
          <w:tcPr>
            <w:tcW w:w="4940" w:type="dxa"/>
            <w:vAlign w:val="bottom"/>
          </w:tcPr>
          <w:p>
            <w:pPr>
              <w:ind w:left="2080"/>
              <w:spacing w:after="0"/>
              <w:rPr>
                <w:sz w:val="20"/>
                <w:szCs w:val="20"/>
                <w:color w:val="auto"/>
              </w:rPr>
            </w:pPr>
            <w:r>
              <w:rPr>
                <w:rFonts w:ascii="Arial" w:cs="Arial" w:eastAsia="Arial" w:hAnsi="Arial"/>
                <w:sz w:val="18"/>
                <w:szCs w:val="18"/>
                <w:color w:val="auto"/>
              </w:rPr>
              <w:t>2016-DC2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DB16SF</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DBJPM</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2016-SFC</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FF0603</w:t>
            </w:r>
          </w:p>
        </w:tc>
        <w:tc>
          <w:tcPr>
            <w:tcW w:w="5280" w:type="dxa"/>
            <w:vAlign w:val="bottom"/>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2006-FF3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FF0604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2006-FF4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FF0606</w:t>
            </w:r>
          </w:p>
        </w:tc>
        <w:tc>
          <w:tcPr>
            <w:tcW w:w="5280" w:type="dxa"/>
            <w:vAlign w:val="bottom"/>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2006-FF6</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FF0613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2006-FF13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FF06F1</w:t>
            </w:r>
          </w:p>
        </w:tc>
        <w:tc>
          <w:tcPr>
            <w:tcW w:w="5280" w:type="dxa"/>
            <w:vAlign w:val="bottom"/>
          </w:tcPr>
          <w:p>
            <w:pPr>
              <w:ind w:left="80"/>
              <w:spacing w:after="0"/>
              <w:rPr>
                <w:sz w:val="20"/>
                <w:szCs w:val="20"/>
                <w:color w:val="auto"/>
              </w:rPr>
            </w:pPr>
            <w:r>
              <w:rPr>
                <w:rFonts w:ascii="Arial" w:cs="Arial" w:eastAsia="Arial" w:hAnsi="Arial"/>
                <w:sz w:val="18"/>
                <w:szCs w:val="18"/>
                <w:color w:val="auto"/>
              </w:rPr>
              <w:t>First Franklin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2006-FF1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FF06F5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Franklin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2006-FF5</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FF06F7</w:t>
            </w:r>
          </w:p>
        </w:tc>
        <w:tc>
          <w:tcPr>
            <w:tcW w:w="5280" w:type="dxa"/>
            <w:vAlign w:val="bottom"/>
          </w:tcPr>
          <w:p>
            <w:pPr>
              <w:ind w:left="80"/>
              <w:spacing w:after="0"/>
              <w:rPr>
                <w:sz w:val="20"/>
                <w:szCs w:val="20"/>
                <w:color w:val="auto"/>
              </w:rPr>
            </w:pPr>
            <w:r>
              <w:rPr>
                <w:rFonts w:ascii="Arial" w:cs="Arial" w:eastAsia="Arial" w:hAnsi="Arial"/>
                <w:sz w:val="18"/>
                <w:szCs w:val="18"/>
                <w:color w:val="auto"/>
              </w:rPr>
              <w:t>First Franklin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2006-FF7</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FF06FB</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2006-FF11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0"/>
              </w:rPr>
              <w:t>FF07S1</w:t>
            </w:r>
          </w:p>
        </w:tc>
        <w:tc>
          <w:tcPr>
            <w:tcW w:w="5280" w:type="dxa"/>
            <w:vAlign w:val="bottom"/>
          </w:tcPr>
          <w:p>
            <w:pPr>
              <w:ind w:left="80"/>
              <w:spacing w:after="0"/>
              <w:rPr>
                <w:sz w:val="20"/>
                <w:szCs w:val="20"/>
                <w:color w:val="auto"/>
              </w:rPr>
            </w:pPr>
            <w:r>
              <w:rPr>
                <w:rFonts w:ascii="Arial" w:cs="Arial" w:eastAsia="Arial" w:hAnsi="Arial"/>
                <w:sz w:val="18"/>
                <w:szCs w:val="18"/>
                <w:color w:val="auto"/>
              </w:rPr>
              <w:t>FFMLT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2007-FFB-SS</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GC0613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GC0614</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2006-14</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GC06B1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2006-BU1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GC06D1</w:t>
            </w:r>
          </w:p>
        </w:tc>
        <w:tc>
          <w:tcPr>
            <w:tcW w:w="5280" w:type="dxa"/>
            <w:vAlign w:val="bottom"/>
          </w:tcPr>
          <w:p>
            <w:pPr>
              <w:ind w:left="80"/>
              <w:spacing w:after="0"/>
              <w:rPr>
                <w:sz w:val="20"/>
                <w:szCs w:val="20"/>
                <w:color w:val="auto"/>
              </w:rPr>
            </w:pPr>
            <w:r>
              <w:rPr>
                <w:rFonts w:ascii="Arial" w:cs="Arial" w:eastAsia="Arial" w:hAnsi="Arial"/>
                <w:sz w:val="18"/>
                <w:szCs w:val="18"/>
                <w:color w:val="auto"/>
              </w:rPr>
              <w:t>DSLA Mortgage Pass-Through Certificates</w:t>
            </w:r>
          </w:p>
        </w:tc>
        <w:tc>
          <w:tcPr>
            <w:tcW w:w="4940" w:type="dxa"/>
            <w:vAlign w:val="bottom"/>
          </w:tcPr>
          <w:p>
            <w:pPr>
              <w:ind w:left="2080"/>
              <w:spacing w:after="0"/>
              <w:rPr>
                <w:sz w:val="20"/>
                <w:szCs w:val="20"/>
                <w:color w:val="auto"/>
              </w:rPr>
            </w:pPr>
            <w:r>
              <w:rPr>
                <w:rFonts w:ascii="Arial" w:cs="Arial" w:eastAsia="Arial" w:hAnsi="Arial"/>
                <w:sz w:val="18"/>
                <w:szCs w:val="18"/>
                <w:color w:val="auto"/>
              </w:rPr>
              <w:t>2006-AR1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GC06D2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DSLA Mortgage Pass-Through Certificates</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2006-AR2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GC06E1</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2006-EQ1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GC06E2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2006-EQ2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GC06F1</w:t>
            </w:r>
          </w:p>
        </w:tc>
        <w:tc>
          <w:tcPr>
            <w:tcW w:w="5280" w:type="dxa"/>
            <w:vAlign w:val="bottom"/>
          </w:tcPr>
          <w:p>
            <w:pPr>
              <w:ind w:left="80"/>
              <w:spacing w:after="0"/>
              <w:rPr>
                <w:sz w:val="20"/>
                <w:szCs w:val="20"/>
                <w:color w:val="auto"/>
              </w:rPr>
            </w:pPr>
            <w:r>
              <w:rPr>
                <w:rFonts w:ascii="Arial" w:cs="Arial" w:eastAsia="Arial" w:hAnsi="Arial"/>
                <w:sz w:val="18"/>
                <w:szCs w:val="18"/>
                <w:color w:val="auto"/>
              </w:rPr>
              <w:t>Fremont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GC06F2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Fremont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GC06F3</w:t>
            </w:r>
          </w:p>
        </w:tc>
        <w:tc>
          <w:tcPr>
            <w:tcW w:w="5280" w:type="dxa"/>
            <w:vAlign w:val="bottom"/>
          </w:tcPr>
          <w:p>
            <w:pPr>
              <w:ind w:left="80"/>
              <w:spacing w:after="0"/>
              <w:rPr>
                <w:sz w:val="20"/>
                <w:szCs w:val="20"/>
                <w:color w:val="auto"/>
              </w:rPr>
            </w:pPr>
            <w:r>
              <w:rPr>
                <w:rFonts w:ascii="Arial" w:cs="Arial" w:eastAsia="Arial" w:hAnsi="Arial"/>
                <w:sz w:val="18"/>
                <w:szCs w:val="18"/>
                <w:color w:val="auto"/>
              </w:rPr>
              <w:t>Fremont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GC06H2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GC06H3</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GC06H5</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2006-5</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GC06H6</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Series 2006-6</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GC06H7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Series 2006-7</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GC06H8</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Series 2006-8</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GC06H9</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2006-9</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GC06O1</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2006-OPT1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GC06O2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2006-OPT2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GC06O3</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2006-OPT3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GC06O4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2006-OPT4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GC06O5</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2006-OPT5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GC06S1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GC06S2</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GC06S3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GC06SA</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2006-A</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GC06W1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2006-WF1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GC06W2</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2006-WF2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GC06X1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2006-SB1</w:t>
            </w: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1"/>
              </w:rPr>
              <w:t>GC06Z8</w:t>
            </w:r>
          </w:p>
        </w:tc>
        <w:tc>
          <w:tcPr>
            <w:tcW w:w="5280" w:type="dxa"/>
            <w:vAlign w:val="bottom"/>
          </w:tcPr>
          <w:p>
            <w:pPr>
              <w:ind w:left="80"/>
              <w:spacing w:after="0"/>
              <w:rPr>
                <w:sz w:val="20"/>
                <w:szCs w:val="20"/>
                <w:color w:val="auto"/>
              </w:rPr>
            </w:pPr>
            <w:r>
              <w:rPr>
                <w:rFonts w:ascii="Arial" w:cs="Arial" w:eastAsia="Arial" w:hAnsi="Arial"/>
                <w:sz w:val="18"/>
                <w:szCs w:val="18"/>
                <w:color w:val="auto"/>
              </w:rPr>
              <w:t>First Franklin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2006-FF8</w:t>
            </w:r>
          </w:p>
        </w:tc>
      </w:tr>
    </w:tbl>
    <w:p>
      <w:pPr>
        <w:sectPr>
          <w:pgSz w:w="11900" w:h="16838" w:orient="portrait"/>
          <w:cols w:equalWidth="0" w:num="1">
            <w:col w:w="11020"/>
          </w:cols>
          <w:pgMar w:left="440" w:top="288" w:right="4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GC06ZA</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Franklin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2006-FF16</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GC070A</w:t>
            </w:r>
          </w:p>
        </w:tc>
        <w:tc>
          <w:tcPr>
            <w:tcW w:w="5280" w:type="dxa"/>
            <w:vAlign w:val="bottom"/>
          </w:tcPr>
          <w:p>
            <w:pPr>
              <w:ind w:left="80"/>
              <w:spacing w:after="0"/>
              <w:rPr>
                <w:sz w:val="20"/>
                <w:szCs w:val="20"/>
                <w:color w:val="auto"/>
              </w:rPr>
            </w:pPr>
            <w:r>
              <w:rPr>
                <w:rFonts w:ascii="Arial" w:cs="Arial" w:eastAsia="Arial" w:hAnsi="Arial"/>
                <w:sz w:val="18"/>
                <w:szCs w:val="18"/>
                <w:color w:val="auto"/>
              </w:rPr>
              <w:t>RBSGC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2007-A</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GC070B</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RBSGC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2007-B</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GC071W</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2007-WMC1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GC07D1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DSLA Mortgage Pass-Through Certificates</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2007-AR1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GC07H2</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GC07H4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Series 2007-4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GC07H5</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Series 2007-5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GC07H6</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HarborView Mortgage Loan Trust 2007-6</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MBS 0</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GC07H7</w:t>
            </w:r>
          </w:p>
        </w:tc>
        <w:tc>
          <w:tcPr>
            <w:tcW w:w="5280" w:type="dxa"/>
            <w:vAlign w:val="bottom"/>
          </w:tcPr>
          <w:p>
            <w:pPr>
              <w:ind w:left="80"/>
              <w:spacing w:after="0"/>
              <w:rPr>
                <w:sz w:val="20"/>
                <w:szCs w:val="20"/>
                <w:color w:val="auto"/>
              </w:rPr>
            </w:pPr>
            <w:r>
              <w:rPr>
                <w:rFonts w:ascii="Arial" w:cs="Arial" w:eastAsia="Arial" w:hAnsi="Arial"/>
                <w:sz w:val="18"/>
                <w:szCs w:val="18"/>
                <w:color w:val="auto"/>
              </w:rPr>
              <w:t>HarborView Mortgage Loan Trust 2007-7</w:t>
            </w:r>
          </w:p>
        </w:tc>
        <w:tc>
          <w:tcPr>
            <w:tcW w:w="4940" w:type="dxa"/>
            <w:vAlign w:val="bottom"/>
          </w:tcPr>
          <w:p>
            <w:pPr>
              <w:ind w:left="2080"/>
              <w:spacing w:after="0"/>
              <w:rPr>
                <w:sz w:val="20"/>
                <w:szCs w:val="20"/>
                <w:color w:val="auto"/>
              </w:rPr>
            </w:pPr>
            <w:r>
              <w:rPr>
                <w:rFonts w:ascii="Arial" w:cs="Arial" w:eastAsia="Arial" w:hAnsi="Arial"/>
                <w:sz w:val="18"/>
                <w:szCs w:val="18"/>
                <w:color w:val="auto"/>
              </w:rPr>
              <w:t>MBS 0</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GC07S1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GC07V1</w:t>
            </w:r>
          </w:p>
        </w:tc>
        <w:tc>
          <w:tcPr>
            <w:tcW w:w="5280" w:type="dxa"/>
            <w:vAlign w:val="bottom"/>
          </w:tcPr>
          <w:p>
            <w:pPr>
              <w:ind w:left="80"/>
              <w:spacing w:after="0"/>
              <w:rPr>
                <w:sz w:val="20"/>
                <w:szCs w:val="20"/>
                <w:color w:val="auto"/>
              </w:rPr>
            </w:pPr>
            <w:r>
              <w:rPr>
                <w:rFonts w:ascii="Arial" w:cs="Arial" w:eastAsia="Arial" w:hAnsi="Arial"/>
                <w:sz w:val="18"/>
                <w:szCs w:val="18"/>
                <w:color w:val="auto"/>
              </w:rPr>
              <w:t>Soundview Home Loan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2007-NS1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GS0602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GS0604</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2006-4</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GS0607</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2006-7</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GS0608</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2006-8</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GS0610</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2006-10</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GS0611</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2006-11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GS0613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GS0615</w:t>
            </w:r>
          </w:p>
        </w:tc>
        <w:tc>
          <w:tcPr>
            <w:tcW w:w="5280" w:type="dxa"/>
            <w:vAlign w:val="bottom"/>
          </w:tcPr>
          <w:p>
            <w:pPr>
              <w:ind w:left="80"/>
              <w:spacing w:after="0"/>
              <w:rPr>
                <w:sz w:val="20"/>
                <w:szCs w:val="20"/>
                <w:color w:val="auto"/>
              </w:rPr>
            </w:pPr>
            <w:r>
              <w:rPr>
                <w:rFonts w:ascii="Arial" w:cs="Arial" w:eastAsia="Arial" w:hAnsi="Arial"/>
                <w:sz w:val="18"/>
                <w:szCs w:val="18"/>
                <w:color w:val="auto"/>
              </w:rPr>
              <w:t>GSAA</w:t>
            </w:r>
          </w:p>
        </w:tc>
        <w:tc>
          <w:tcPr>
            <w:tcW w:w="4940" w:type="dxa"/>
            <w:vAlign w:val="bottom"/>
          </w:tcPr>
          <w:p>
            <w:pPr>
              <w:ind w:left="2080"/>
              <w:spacing w:after="0"/>
              <w:rPr>
                <w:sz w:val="20"/>
                <w:szCs w:val="20"/>
                <w:color w:val="auto"/>
              </w:rPr>
            </w:pPr>
            <w:r>
              <w:rPr>
                <w:rFonts w:ascii="Arial" w:cs="Arial" w:eastAsia="Arial" w:hAnsi="Arial"/>
                <w:sz w:val="18"/>
                <w:szCs w:val="18"/>
                <w:color w:val="auto"/>
              </w:rPr>
              <w:t>2006-15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GS0616</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2006-16</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GS0617</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2006-17</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GS0618</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2006-18</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GS061S</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2006-S1-1 (Group 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GS062S</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2006-S2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GS063S</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2006-S3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GS064S</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2006-S4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GS065S</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2006-S5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GS066S</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2006-S6</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GS06C2</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2006-NC2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GS06F1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2006-FM1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GS06F2</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2006-FM2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GS06F3</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2006-FM3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GS06G1</w:t>
            </w:r>
          </w:p>
        </w:tc>
        <w:tc>
          <w:tcPr>
            <w:tcW w:w="5280" w:type="dxa"/>
            <w:vAlign w:val="bottom"/>
          </w:tcPr>
          <w:p>
            <w:pPr>
              <w:ind w:left="80"/>
              <w:spacing w:after="0"/>
              <w:rPr>
                <w:sz w:val="20"/>
                <w:szCs w:val="20"/>
                <w:color w:val="auto"/>
              </w:rPr>
            </w:pPr>
            <w:r>
              <w:rPr>
                <w:rFonts w:ascii="Arial" w:cs="Arial" w:eastAsia="Arial" w:hAnsi="Arial"/>
                <w:sz w:val="18"/>
                <w:szCs w:val="18"/>
                <w:color w:val="auto"/>
              </w:rPr>
              <w:t>Greenpoint Mortgage Funding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2006-OH1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GS06H1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2006-HE1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GS06L1</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2006-S1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GS06O1</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2006-OA1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GS0702</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GS0704</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GS0705</w:t>
            </w:r>
          </w:p>
        </w:tc>
        <w:tc>
          <w:tcPr>
            <w:tcW w:w="5280" w:type="dxa"/>
            <w:vAlign w:val="bottom"/>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GS0706</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2007-6</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GS071H</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2007-HSBC1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GS071S</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2007-S1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GS07A1</w:t>
            </w:r>
          </w:p>
        </w:tc>
        <w:tc>
          <w:tcPr>
            <w:tcW w:w="5280" w:type="dxa"/>
            <w:vAlign w:val="bottom"/>
          </w:tcPr>
          <w:p>
            <w:pPr>
              <w:ind w:left="80"/>
              <w:spacing w:after="0"/>
              <w:rPr>
                <w:sz w:val="20"/>
                <w:szCs w:val="20"/>
                <w:color w:val="auto"/>
              </w:rPr>
            </w:pPr>
            <w:r>
              <w:rPr>
                <w:rFonts w:ascii="Arial" w:cs="Arial" w:eastAsia="Arial" w:hAnsi="Arial"/>
                <w:sz w:val="18"/>
                <w:szCs w:val="18"/>
                <w:color w:val="auto"/>
              </w:rPr>
              <w:t>GSR</w:t>
            </w:r>
          </w:p>
        </w:tc>
        <w:tc>
          <w:tcPr>
            <w:tcW w:w="4940" w:type="dxa"/>
            <w:vAlign w:val="bottom"/>
          </w:tcPr>
          <w:p>
            <w:pPr>
              <w:ind w:left="2080"/>
              <w:spacing w:after="0"/>
              <w:rPr>
                <w:sz w:val="20"/>
                <w:szCs w:val="20"/>
                <w:color w:val="auto"/>
              </w:rPr>
            </w:pPr>
            <w:r>
              <w:rPr>
                <w:rFonts w:ascii="Arial" w:cs="Arial" w:eastAsia="Arial" w:hAnsi="Arial"/>
                <w:sz w:val="18"/>
                <w:szCs w:val="18"/>
                <w:color w:val="auto"/>
              </w:rPr>
              <w:t>2007-AR1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GS07A2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2007-AR2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GS07F1</w:t>
            </w:r>
          </w:p>
        </w:tc>
        <w:tc>
          <w:tcPr>
            <w:tcW w:w="5280" w:type="dxa"/>
            <w:vAlign w:val="bottom"/>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tcPr>
          <w:p>
            <w:pPr>
              <w:ind w:left="2080"/>
              <w:spacing w:after="0"/>
              <w:rPr>
                <w:sz w:val="20"/>
                <w:szCs w:val="20"/>
                <w:color w:val="auto"/>
              </w:rPr>
            </w:pPr>
            <w:r>
              <w:rPr>
                <w:rFonts w:ascii="Arial" w:cs="Arial" w:eastAsia="Arial" w:hAnsi="Arial"/>
                <w:sz w:val="18"/>
                <w:szCs w:val="18"/>
                <w:color w:val="auto"/>
              </w:rPr>
              <w:t>2007-FM1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GS07F2</w:t>
            </w:r>
          </w:p>
        </w:tc>
        <w:tc>
          <w:tcPr>
            <w:tcW w:w="5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Trust</w:t>
            </w:r>
          </w:p>
        </w:tc>
        <w:tc>
          <w:tcPr>
            <w:tcW w:w="4940" w:type="dxa"/>
            <w:vAlign w:val="bottom"/>
            <w:shd w:val="clear" w:color="auto" w:fill="CCEEFF"/>
          </w:tcPr>
          <w:p>
            <w:pPr>
              <w:ind w:left="2080"/>
              <w:spacing w:after="0"/>
              <w:rPr>
                <w:sz w:val="20"/>
                <w:szCs w:val="20"/>
                <w:color w:val="auto"/>
              </w:rPr>
            </w:pPr>
            <w:r>
              <w:rPr>
                <w:rFonts w:ascii="Arial" w:cs="Arial" w:eastAsia="Arial" w:hAnsi="Arial"/>
                <w:sz w:val="18"/>
                <w:szCs w:val="18"/>
                <w:color w:val="auto"/>
              </w:rPr>
              <w:t>2007-FM2</w:t>
            </w:r>
          </w:p>
        </w:tc>
      </w:tr>
    </w:tbl>
    <w:p>
      <w:pPr>
        <w:sectPr>
          <w:pgSz w:w="11900" w:h="16838" w:orient="portrait"/>
          <w:cols w:equalWidth="0" w:num="1">
            <w:col w:w="11020"/>
          </w:cols>
          <w:pgMar w:left="440" w:top="288" w:right="4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GS07H1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2007-HEL1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GS07O1</w:t>
            </w:r>
          </w:p>
        </w:tc>
        <w:tc>
          <w:tcPr>
            <w:tcW w:w="5620" w:type="dxa"/>
            <w:vAlign w:val="bottom"/>
          </w:tcPr>
          <w:p>
            <w:pPr>
              <w:ind w:left="80"/>
              <w:spacing w:after="0"/>
              <w:rPr>
                <w:sz w:val="20"/>
                <w:szCs w:val="20"/>
                <w:color w:val="auto"/>
              </w:rPr>
            </w:pPr>
            <w:r>
              <w:rPr>
                <w:rFonts w:ascii="Arial" w:cs="Arial" w:eastAsia="Arial" w:hAnsi="Arial"/>
                <w:sz w:val="18"/>
                <w:szCs w:val="18"/>
                <w:color w:val="auto"/>
              </w:rPr>
              <w:t>GSR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2007-OA1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GS07O2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2007-OA2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GS07T1</w:t>
            </w:r>
          </w:p>
        </w:tc>
        <w:tc>
          <w:tcPr>
            <w:tcW w:w="5620" w:type="dxa"/>
            <w:vAlign w:val="bottom"/>
          </w:tcPr>
          <w:p>
            <w:pPr>
              <w:ind w:left="80"/>
              <w:spacing w:after="0"/>
              <w:rPr>
                <w:sz w:val="20"/>
                <w:szCs w:val="20"/>
                <w:color w:val="auto"/>
              </w:rPr>
            </w:pPr>
            <w:r>
              <w:rPr>
                <w:rFonts w:ascii="Arial" w:cs="Arial" w:eastAsia="Arial" w:hAnsi="Arial"/>
                <w:sz w:val="18"/>
                <w:szCs w:val="18"/>
                <w:color w:val="auto"/>
              </w:rPr>
              <w:t>STARM Mortgage Loan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2007-1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GS07T4</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STARM</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GS11C5</w:t>
            </w:r>
          </w:p>
        </w:tc>
        <w:tc>
          <w:tcPr>
            <w:tcW w:w="5620" w:type="dxa"/>
            <w:vAlign w:val="bottom"/>
          </w:tcPr>
          <w:p>
            <w:pPr>
              <w:ind w:left="80"/>
              <w:spacing w:after="0"/>
              <w:rPr>
                <w:sz w:val="20"/>
                <w:szCs w:val="20"/>
                <w:color w:val="auto"/>
              </w:rPr>
            </w:pPr>
            <w:r>
              <w:rPr>
                <w:rFonts w:ascii="Arial" w:cs="Arial" w:eastAsia="Arial" w:hAnsi="Arial"/>
                <w:sz w:val="18"/>
                <w:szCs w:val="18"/>
                <w:color w:val="auto"/>
              </w:rPr>
              <w:t>GS Mortgage Securities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2011-GC5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GS12C7</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 Mortgage Securities Corporation II</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2012-GCJ7</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GS1312</w:t>
            </w:r>
          </w:p>
        </w:tc>
        <w:tc>
          <w:tcPr>
            <w:tcW w:w="5620" w:type="dxa"/>
            <w:vAlign w:val="bottom"/>
          </w:tcPr>
          <w:p>
            <w:pPr>
              <w:ind w:left="80"/>
              <w:spacing w:after="0"/>
              <w:rPr>
                <w:sz w:val="20"/>
                <w:szCs w:val="20"/>
                <w:color w:val="auto"/>
              </w:rPr>
            </w:pPr>
            <w:r>
              <w:rPr>
                <w:rFonts w:ascii="Arial" w:cs="Arial" w:eastAsia="Arial" w:hAnsi="Arial"/>
                <w:sz w:val="18"/>
                <w:szCs w:val="18"/>
                <w:color w:val="auto"/>
              </w:rPr>
              <w:t>GS Mortgage Securities Corporation II</w:t>
            </w:r>
          </w:p>
        </w:tc>
        <w:tc>
          <w:tcPr>
            <w:tcW w:w="4600" w:type="dxa"/>
            <w:vAlign w:val="bottom"/>
          </w:tcPr>
          <w:p>
            <w:pPr>
              <w:ind w:left="1740"/>
              <w:spacing w:after="0"/>
              <w:rPr>
                <w:sz w:val="20"/>
                <w:szCs w:val="20"/>
                <w:color w:val="auto"/>
              </w:rPr>
            </w:pPr>
            <w:r>
              <w:rPr>
                <w:rFonts w:ascii="Arial" w:cs="Arial" w:eastAsia="Arial" w:hAnsi="Arial"/>
                <w:sz w:val="18"/>
                <w:szCs w:val="18"/>
                <w:color w:val="auto"/>
              </w:rPr>
              <w:t>2013-GCJ12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GS1314</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 Mortgage Securities Corporation II</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2013-GCJ14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GS1418</w:t>
            </w:r>
          </w:p>
        </w:tc>
        <w:tc>
          <w:tcPr>
            <w:tcW w:w="5620" w:type="dxa"/>
            <w:vAlign w:val="bottom"/>
          </w:tcPr>
          <w:p>
            <w:pPr>
              <w:ind w:left="80"/>
              <w:spacing w:after="0"/>
              <w:rPr>
                <w:sz w:val="20"/>
                <w:szCs w:val="20"/>
                <w:color w:val="auto"/>
              </w:rPr>
            </w:pPr>
            <w:r>
              <w:rPr>
                <w:rFonts w:ascii="Arial" w:cs="Arial" w:eastAsia="Arial" w:hAnsi="Arial"/>
                <w:sz w:val="18"/>
                <w:szCs w:val="18"/>
                <w:color w:val="auto"/>
              </w:rPr>
              <w:t>GS MORTGAGE SECURITIES CORPORATION II</w:t>
            </w:r>
          </w:p>
        </w:tc>
        <w:tc>
          <w:tcPr>
            <w:tcW w:w="4600" w:type="dxa"/>
            <w:vAlign w:val="bottom"/>
          </w:tcPr>
          <w:p>
            <w:pPr>
              <w:ind w:left="1740"/>
              <w:spacing w:after="0"/>
              <w:rPr>
                <w:sz w:val="20"/>
                <w:szCs w:val="20"/>
                <w:color w:val="auto"/>
              </w:rPr>
            </w:pPr>
            <w:r>
              <w:rPr>
                <w:rFonts w:ascii="Arial" w:cs="Arial" w:eastAsia="Arial" w:hAnsi="Arial"/>
                <w:sz w:val="18"/>
                <w:szCs w:val="18"/>
                <w:color w:val="auto"/>
              </w:rPr>
              <w:t>2014-GC18</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GS1422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 MORTGAGE SECURITIES CORPORATION II</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2014-GC22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HB0601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2006-OPT1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HB0602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2006-OPT2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HB0603</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2006-OPT3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HB0604</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2006-OPT4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HB06C1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2006-NC1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HB06H1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HASCO</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2006-HE1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HB06H2</w:t>
            </w:r>
          </w:p>
        </w:tc>
        <w:tc>
          <w:tcPr>
            <w:tcW w:w="5620" w:type="dxa"/>
            <w:vAlign w:val="bottom"/>
          </w:tcPr>
          <w:p>
            <w:pPr>
              <w:ind w:left="80"/>
              <w:spacing w:after="0"/>
              <w:rPr>
                <w:sz w:val="20"/>
                <w:szCs w:val="20"/>
                <w:color w:val="auto"/>
              </w:rPr>
            </w:pPr>
            <w:r>
              <w:rPr>
                <w:rFonts w:ascii="Arial" w:cs="Arial" w:eastAsia="Arial" w:hAnsi="Arial"/>
                <w:sz w:val="18"/>
                <w:szCs w:val="18"/>
                <w:color w:val="auto"/>
              </w:rPr>
              <w:t>HASCO</w:t>
            </w:r>
          </w:p>
        </w:tc>
        <w:tc>
          <w:tcPr>
            <w:tcW w:w="4600" w:type="dxa"/>
            <w:vAlign w:val="bottom"/>
          </w:tcPr>
          <w:p>
            <w:pPr>
              <w:ind w:left="1740"/>
              <w:spacing w:after="0"/>
              <w:rPr>
                <w:sz w:val="20"/>
                <w:szCs w:val="20"/>
                <w:color w:val="auto"/>
              </w:rPr>
            </w:pPr>
            <w:r>
              <w:rPr>
                <w:rFonts w:ascii="Arial" w:cs="Arial" w:eastAsia="Arial" w:hAnsi="Arial"/>
                <w:sz w:val="18"/>
                <w:szCs w:val="18"/>
                <w:color w:val="auto"/>
              </w:rPr>
              <w:t>2006-HE2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HB06L2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HALO</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HB06W1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2006-WMC1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HB0701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2007-OPT1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8"/>
              </w:rPr>
              <w:t>HB07A1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Loan Obligation</w:t>
            </w:r>
          </w:p>
        </w:tc>
        <w:tc>
          <w:tcPr>
            <w:tcW w:w="4600" w:type="dxa"/>
            <w:vAlign w:val="bottom"/>
          </w:tcPr>
          <w:p>
            <w:pPr>
              <w:ind w:left="1740"/>
              <w:spacing w:after="0"/>
              <w:rPr>
                <w:sz w:val="20"/>
                <w:szCs w:val="20"/>
                <w:color w:val="auto"/>
              </w:rPr>
            </w:pPr>
            <w:r>
              <w:rPr>
                <w:rFonts w:ascii="Arial" w:cs="Arial" w:eastAsia="Arial" w:hAnsi="Arial"/>
                <w:sz w:val="18"/>
                <w:szCs w:val="18"/>
                <w:color w:val="auto"/>
              </w:rPr>
              <w:t>2007-1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HB07A2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Loan Obligation</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Series 2007-2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HB07C1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w:t>
            </w:r>
          </w:p>
        </w:tc>
        <w:tc>
          <w:tcPr>
            <w:tcW w:w="4600" w:type="dxa"/>
            <w:vAlign w:val="bottom"/>
          </w:tcPr>
          <w:p>
            <w:pPr>
              <w:ind w:left="1740"/>
              <w:spacing w:after="0"/>
              <w:rPr>
                <w:sz w:val="20"/>
                <w:szCs w:val="20"/>
                <w:color w:val="auto"/>
              </w:rPr>
            </w:pPr>
            <w:r>
              <w:rPr>
                <w:rFonts w:ascii="Arial" w:cs="Arial" w:eastAsia="Arial" w:hAnsi="Arial"/>
                <w:sz w:val="18"/>
                <w:szCs w:val="18"/>
                <w:color w:val="auto"/>
              </w:rPr>
              <w:t>2007-NC1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HB07F1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Securitization Corporation</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2007-WF1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HB07H1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2007-HE1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HB07H2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Securitization Corporation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2007-HE2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5"/>
              </w:rPr>
              <w:t>HB07L1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Loan Obligation</w:t>
            </w:r>
          </w:p>
        </w:tc>
        <w:tc>
          <w:tcPr>
            <w:tcW w:w="4600" w:type="dxa"/>
            <w:vAlign w:val="bottom"/>
          </w:tcPr>
          <w:p>
            <w:pPr>
              <w:ind w:left="1740"/>
              <w:spacing w:after="0"/>
              <w:rPr>
                <w:sz w:val="20"/>
                <w:szCs w:val="20"/>
                <w:color w:val="auto"/>
              </w:rPr>
            </w:pPr>
            <w:r>
              <w:rPr>
                <w:rFonts w:ascii="Arial" w:cs="Arial" w:eastAsia="Arial" w:hAnsi="Arial"/>
                <w:sz w:val="18"/>
                <w:szCs w:val="18"/>
                <w:color w:val="auto"/>
              </w:rPr>
              <w:t>2007-AR1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HB07L2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HSI Asset Loan Obligation</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2007-AR2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7"/>
              </w:rPr>
              <w:t>HB07W1</w:t>
            </w:r>
          </w:p>
        </w:tc>
        <w:tc>
          <w:tcPr>
            <w:tcW w:w="5620" w:type="dxa"/>
            <w:vAlign w:val="bottom"/>
          </w:tcPr>
          <w:p>
            <w:pPr>
              <w:ind w:left="80"/>
              <w:spacing w:after="0"/>
              <w:rPr>
                <w:sz w:val="20"/>
                <w:szCs w:val="20"/>
                <w:color w:val="auto"/>
              </w:rPr>
            </w:pPr>
            <w:r>
              <w:rPr>
                <w:rFonts w:ascii="Arial" w:cs="Arial" w:eastAsia="Arial" w:hAnsi="Arial"/>
                <w:sz w:val="18"/>
                <w:szCs w:val="18"/>
                <w:color w:val="auto"/>
              </w:rPr>
              <w:t>HSI Asset Loan Obligation</w:t>
            </w:r>
          </w:p>
        </w:tc>
        <w:tc>
          <w:tcPr>
            <w:tcW w:w="4600" w:type="dxa"/>
            <w:vAlign w:val="bottom"/>
          </w:tcPr>
          <w:p>
            <w:pPr>
              <w:ind w:left="1740"/>
              <w:spacing w:after="0"/>
              <w:rPr>
                <w:sz w:val="20"/>
                <w:szCs w:val="20"/>
                <w:color w:val="auto"/>
              </w:rPr>
            </w:pPr>
            <w:r>
              <w:rPr>
                <w:rFonts w:ascii="Arial" w:cs="Arial" w:eastAsia="Arial" w:hAnsi="Arial"/>
                <w:sz w:val="18"/>
                <w:szCs w:val="18"/>
                <w:color w:val="auto"/>
              </w:rPr>
              <w:t>2007-WF1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IM06S1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IM06S2</w:t>
            </w:r>
          </w:p>
        </w:tc>
        <w:tc>
          <w:tcPr>
            <w:tcW w:w="5620" w:type="dxa"/>
            <w:vAlign w:val="bottom"/>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tcPr>
          <w:p>
            <w:pPr>
              <w:ind w:left="1740"/>
              <w:spacing w:after="0"/>
              <w:rPr>
                <w:sz w:val="20"/>
                <w:szCs w:val="20"/>
                <w:color w:val="auto"/>
              </w:rPr>
            </w:pPr>
            <w:r>
              <w:rPr>
                <w:rFonts w:ascii="Arial" w:cs="Arial" w:eastAsia="Arial" w:hAnsi="Arial"/>
                <w:sz w:val="18"/>
                <w:szCs w:val="18"/>
                <w:color w:val="auto"/>
              </w:rPr>
              <w:t>2006-2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IM06S3</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IM06S4</w:t>
            </w:r>
          </w:p>
        </w:tc>
        <w:tc>
          <w:tcPr>
            <w:tcW w:w="5620" w:type="dxa"/>
            <w:vAlign w:val="bottom"/>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tcPr>
          <w:p>
            <w:pPr>
              <w:ind w:left="1740"/>
              <w:spacing w:after="0"/>
              <w:rPr>
                <w:sz w:val="20"/>
                <w:szCs w:val="20"/>
                <w:color w:val="auto"/>
              </w:rPr>
            </w:pPr>
            <w:r>
              <w:rPr>
                <w:rFonts w:ascii="Arial" w:cs="Arial" w:eastAsia="Arial" w:hAnsi="Arial"/>
                <w:sz w:val="18"/>
                <w:szCs w:val="18"/>
                <w:color w:val="auto"/>
              </w:rPr>
              <w:t>2006-4</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IM06S5</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2006-5</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IM07S1</w:t>
            </w:r>
          </w:p>
        </w:tc>
        <w:tc>
          <w:tcPr>
            <w:tcW w:w="5620" w:type="dxa"/>
            <w:vAlign w:val="bottom"/>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tcPr>
          <w:p>
            <w:pPr>
              <w:ind w:left="1740"/>
              <w:spacing w:after="0"/>
              <w:rPr>
                <w:sz w:val="20"/>
                <w:szCs w:val="20"/>
                <w:color w:val="auto"/>
              </w:rPr>
            </w:pPr>
            <w:r>
              <w:rPr>
                <w:rFonts w:ascii="Arial" w:cs="Arial" w:eastAsia="Arial" w:hAnsi="Arial"/>
                <w:sz w:val="18"/>
                <w:szCs w:val="18"/>
                <w:color w:val="auto"/>
              </w:rPr>
              <w:t>2007-1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IM07S2</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2007-2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IM07S3</w:t>
            </w:r>
          </w:p>
        </w:tc>
        <w:tc>
          <w:tcPr>
            <w:tcW w:w="5620" w:type="dxa"/>
            <w:vAlign w:val="bottom"/>
          </w:tcPr>
          <w:p>
            <w:pPr>
              <w:ind w:left="80"/>
              <w:spacing w:after="0"/>
              <w:rPr>
                <w:sz w:val="20"/>
                <w:szCs w:val="20"/>
                <w:color w:val="auto"/>
              </w:rPr>
            </w:pPr>
            <w:r>
              <w:rPr>
                <w:rFonts w:ascii="Arial" w:cs="Arial" w:eastAsia="Arial" w:hAnsi="Arial"/>
                <w:sz w:val="18"/>
                <w:szCs w:val="18"/>
                <w:color w:val="auto"/>
              </w:rPr>
              <w:t>Impac Secured Assets Corp.</w:t>
            </w:r>
          </w:p>
        </w:tc>
        <w:tc>
          <w:tcPr>
            <w:tcW w:w="4600" w:type="dxa"/>
            <w:vAlign w:val="bottom"/>
          </w:tcPr>
          <w:p>
            <w:pPr>
              <w:ind w:left="1740"/>
              <w:spacing w:after="0"/>
              <w:rPr>
                <w:sz w:val="20"/>
                <w:szCs w:val="20"/>
                <w:color w:val="auto"/>
              </w:rPr>
            </w:pPr>
            <w:r>
              <w:rPr>
                <w:rFonts w:ascii="Arial" w:cs="Arial" w:eastAsia="Arial" w:hAnsi="Arial"/>
                <w:sz w:val="18"/>
                <w:szCs w:val="18"/>
                <w:color w:val="auto"/>
              </w:rPr>
              <w:t>2007-3</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IN0601</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2006-A1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IN0602</w:t>
            </w:r>
          </w:p>
        </w:tc>
        <w:tc>
          <w:tcPr>
            <w:tcW w:w="5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2006-A2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IN0603</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2006-A3CB</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IN0605</w:t>
            </w:r>
          </w:p>
        </w:tc>
        <w:tc>
          <w:tcPr>
            <w:tcW w:w="5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2006-A5CB</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IN0606</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2006-A6</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IN0607</w:t>
            </w:r>
          </w:p>
        </w:tc>
        <w:tc>
          <w:tcPr>
            <w:tcW w:w="5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2006-A7CB</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IN0608</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2006-A8</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IN0609</w:t>
            </w:r>
          </w:p>
        </w:tc>
        <w:tc>
          <w:tcPr>
            <w:tcW w:w="5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2006-A9CB</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IN060A</w:t>
            </w: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IndyMac INDS Home Equity Mortgage Loan Trust</w:t>
            </w:r>
          </w:p>
        </w:tc>
        <w:tc>
          <w:tcPr>
            <w:tcW w:w="46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2006-A</w:t>
            </w: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2"/>
              </w:rPr>
              <w:t>IN0610</w:t>
            </w:r>
          </w:p>
        </w:tc>
        <w:tc>
          <w:tcPr>
            <w:tcW w:w="5620" w:type="dxa"/>
            <w:vAlign w:val="bottom"/>
          </w:tcPr>
          <w:p>
            <w:pPr>
              <w:ind w:left="80"/>
              <w:spacing w:after="0"/>
              <w:rPr>
                <w:sz w:val="20"/>
                <w:szCs w:val="20"/>
                <w:color w:val="auto"/>
              </w:rPr>
            </w:pPr>
            <w:r>
              <w:rPr>
                <w:rFonts w:ascii="Arial" w:cs="Arial" w:eastAsia="Arial" w:hAnsi="Arial"/>
                <w:sz w:val="18"/>
                <w:szCs w:val="18"/>
                <w:color w:val="auto"/>
              </w:rPr>
              <w:t>IndyMac Residential Asset Securitization Trust</w:t>
            </w:r>
          </w:p>
        </w:tc>
        <w:tc>
          <w:tcPr>
            <w:tcW w:w="4600" w:type="dxa"/>
            <w:vAlign w:val="bottom"/>
          </w:tcPr>
          <w:p>
            <w:pPr>
              <w:ind w:left="1740"/>
              <w:spacing w:after="0"/>
              <w:rPr>
                <w:sz w:val="20"/>
                <w:szCs w:val="20"/>
                <w:color w:val="auto"/>
              </w:rPr>
            </w:pPr>
            <w:r>
              <w:rPr>
                <w:rFonts w:ascii="Arial" w:cs="Arial" w:eastAsia="Arial" w:hAnsi="Arial"/>
                <w:sz w:val="18"/>
                <w:szCs w:val="18"/>
                <w:color w:val="auto"/>
              </w:rPr>
              <w:t>2006-A10</w:t>
            </w:r>
          </w:p>
        </w:tc>
      </w:tr>
    </w:tbl>
    <w:p>
      <w:pPr>
        <w:sectPr>
          <w:pgSz w:w="11900" w:h="16838" w:orient="portrait"/>
          <w:cols w:equalWidth="0" w:num="1">
            <w:col w:w="11020"/>
          </w:cols>
          <w:pgMar w:left="440" w:top="288"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IN0611</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2006-A11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IN0612</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2006-A12</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IN0613</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2006-A13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IN0614</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2006-A14CB</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IN0615</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2006-A15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IN0616</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2006-A16</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IN06A2</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2006-AR2</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IN06A3</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IN06A4</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2006-AR4</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IN06A5</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2006-AR5</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IN06A6</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2006-AR6</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IN06A7</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2006-AR7</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IN06A8</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2006-AR8</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IN06A9</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2006-AR9</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IN06AB</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2006-AR11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IN06AC</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2006-AR12</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IN06AD</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2006-AR13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9"/>
              </w:rPr>
              <w:t>IN06AE</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2006-AR14</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IN06AF</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2006-AR15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IN06AJ</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2006-AR19</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IN06AL</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2006-AR21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IN06AN</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2006-AR23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IN06AP</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2006-AR25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IN06AR</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2006-AR27</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IN06AT</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2006-AR29</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IN06AV</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2006-AR31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IN06AX</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2006-AR33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rPr>
              <w:t>IN06AZ</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2006-AR35</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IN06B1</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INDB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IN06D1</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IN06D2</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2006-AR2</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IN06D3</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2006-AR3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IN06F1</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2006-FLX1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3"/>
              </w:rPr>
              <w:t>IN06G1</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INDS Home Equity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IN06G2</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INDS Home Equity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2006-2B</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3"/>
              </w:rPr>
              <w:t>IN06G3</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INDS Home Equity Mortgage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IN06H1</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Home Equity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2006-H1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IN06H2</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Home Equity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2006-H2</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IN06H3</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Home Equity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2006-H3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IN06H4</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Home Equity Loan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2006-H4</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IN06L1</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Mortgage-Backed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2006-L1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9"/>
              </w:rPr>
              <w:t>IN06L2</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Mortgage-Backed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2006-L2</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IN06L3</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Mortgage-Backed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2006-L3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9"/>
              </w:rPr>
              <w:t>IN06L4</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Mortgage-Backed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2006-L4</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IN06P4</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2006-A4</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IN06R1</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700" w:type="dxa"/>
            <w:vAlign w:val="bottom"/>
          </w:tcPr>
          <w:p>
            <w:pPr>
              <w:ind w:left="1840"/>
              <w:spacing w:after="0"/>
              <w:rPr>
                <w:sz w:val="20"/>
                <w:szCs w:val="20"/>
                <w:color w:val="auto"/>
              </w:rPr>
            </w:pPr>
            <w:r>
              <w:rPr>
                <w:rFonts w:ascii="Arial" w:cs="Arial" w:eastAsia="Arial" w:hAnsi="Arial"/>
                <w:sz w:val="18"/>
                <w:szCs w:val="18"/>
                <w:color w:val="auto"/>
              </w:rPr>
              <w:t>2006-R1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IN06R2</w:t>
            </w:r>
          </w:p>
        </w:tc>
        <w:tc>
          <w:tcPr>
            <w:tcW w:w="5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7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2006-R1</w:t>
            </w:r>
          </w:p>
        </w:tc>
      </w:tr>
      <w:tr>
        <w:trPr>
          <w:trHeight w:val="230"/>
        </w:trPr>
        <w:tc>
          <w:tcPr>
            <w:tcW w:w="720" w:type="dxa"/>
            <w:vAlign w:val="bottom"/>
          </w:tcPr>
          <w:p>
            <w:pPr>
              <w:jc w:val="center"/>
              <w:spacing w:after="0"/>
              <w:rPr>
                <w:sz w:val="20"/>
                <w:szCs w:val="20"/>
                <w:color w:val="auto"/>
              </w:rPr>
            </w:pPr>
            <w:r>
              <w:rPr>
                <w:rFonts w:ascii="Arial" w:cs="Arial" w:eastAsia="Arial" w:hAnsi="Arial"/>
                <w:sz w:val="18"/>
                <w:szCs w:val="18"/>
                <w:color w:val="auto"/>
                <w:w w:val="93"/>
              </w:rPr>
              <w:t>IN06S1</w:t>
            </w:r>
          </w:p>
        </w:tc>
        <w:tc>
          <w:tcPr>
            <w:tcW w:w="5600" w:type="dxa"/>
            <w:vAlign w:val="bottom"/>
          </w:tcPr>
          <w:p>
            <w:pPr>
              <w:ind w:left="60"/>
              <w:spacing w:after="0"/>
              <w:rPr>
                <w:sz w:val="20"/>
                <w:szCs w:val="20"/>
                <w:color w:val="auto"/>
              </w:rPr>
            </w:pPr>
            <w:r>
              <w:rPr>
                <w:rFonts w:ascii="Arial" w:cs="Arial" w:eastAsia="Arial" w:hAnsi="Arial"/>
                <w:sz w:val="18"/>
                <w:szCs w:val="18"/>
                <w:color w:val="auto"/>
              </w:rPr>
              <w:t>IndyMac INABS</w:t>
            </w:r>
          </w:p>
        </w:tc>
        <w:tc>
          <w:tcPr>
            <w:tcW w:w="4700" w:type="dxa"/>
            <w:vAlign w:val="bottom"/>
          </w:tcPr>
          <w:p>
            <w:pPr>
              <w:ind w:left="1840"/>
              <w:spacing w:after="0"/>
              <w:rPr>
                <w:sz w:val="20"/>
                <w:szCs w:val="20"/>
                <w:color w:val="auto"/>
              </w:rPr>
            </w:pPr>
            <w:r>
              <w:rPr>
                <w:rFonts w:ascii="Arial" w:cs="Arial" w:eastAsia="Arial" w:hAnsi="Arial"/>
                <w:sz w:val="18"/>
                <w:szCs w:val="18"/>
                <w:color w:val="auto"/>
              </w:rPr>
              <w:t>2006-A</w:t>
            </w:r>
          </w:p>
        </w:tc>
      </w:tr>
    </w:tbl>
    <w:p>
      <w:pPr>
        <w:sectPr>
          <w:pgSz w:w="11900" w:h="16838" w:orient="portrait"/>
          <w:cols w:equalWidth="0" w:num="1">
            <w:col w:w="11020"/>
          </w:cols>
          <w:pgMar w:left="440" w:top="288"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IN06S2</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INABS</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2006-B</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3"/>
              </w:rPr>
              <w:t>IN06S3</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INABS</w:t>
            </w:r>
          </w:p>
        </w:tc>
        <w:tc>
          <w:tcPr>
            <w:tcW w:w="4840" w:type="dxa"/>
            <w:vAlign w:val="bottom"/>
          </w:tcPr>
          <w:p>
            <w:pPr>
              <w:ind w:left="1980"/>
              <w:spacing w:after="0"/>
              <w:rPr>
                <w:sz w:val="20"/>
                <w:szCs w:val="20"/>
                <w:color w:val="auto"/>
              </w:rPr>
            </w:pPr>
            <w:r>
              <w:rPr>
                <w:rFonts w:ascii="Arial" w:cs="Arial" w:eastAsia="Arial" w:hAnsi="Arial"/>
                <w:sz w:val="18"/>
                <w:szCs w:val="18"/>
                <w:color w:val="auto"/>
              </w:rPr>
              <w:t>2006-C</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IN06S4</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INABS</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2006-D</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3"/>
              </w:rPr>
              <w:t>IN06S5</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INABS</w:t>
            </w:r>
          </w:p>
        </w:tc>
        <w:tc>
          <w:tcPr>
            <w:tcW w:w="4840" w:type="dxa"/>
            <w:vAlign w:val="bottom"/>
          </w:tcPr>
          <w:p>
            <w:pPr>
              <w:ind w:left="1980"/>
              <w:spacing w:after="0"/>
              <w:rPr>
                <w:sz w:val="20"/>
                <w:szCs w:val="20"/>
                <w:color w:val="auto"/>
              </w:rPr>
            </w:pPr>
            <w:r>
              <w:rPr>
                <w:rFonts w:ascii="Arial" w:cs="Arial" w:eastAsia="Arial" w:hAnsi="Arial"/>
                <w:sz w:val="18"/>
                <w:szCs w:val="18"/>
                <w:color w:val="auto"/>
              </w:rPr>
              <w:t>2006-E</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IN06Z1</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2006-AR37</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IN06Z2</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2006-AR39</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IN06Z3</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2006-AR41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IN0701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IN0702</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2007-A2</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IN0703</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IN0705</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IN0706</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2007-A6</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IN0707</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2007-A7</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2"/>
              </w:rPr>
              <w:t>IN0708</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2007-A8</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IN0709</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2007-A9</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IN07A1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IN07A5</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6"/>
              </w:rPr>
              <w:t>IN07A7</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2007-AR7</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IN07A9</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2007-AR9</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9"/>
              </w:rPr>
              <w:t>IN07AB</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2007-AR11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IN07AD</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2007-AR13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IN07AF</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2007-AR15</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IN07AH</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2007-AR17</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IN07AJ</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2007-AR19</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IN07AL</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2007-AR21IP</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IN07C1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IMSC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IN07D1</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2007-AR1</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IN07D2</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2007-AR2</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IN07D3</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2007-AR3</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IN07D4</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2007-AR4</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IN07D5</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2007-AR5</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IN07D6</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2007-AR6</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IN07D7</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2007-AR7</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IN07D8</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2007-AR8</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IN07D9</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2007-AR9</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IN07F1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2007-FLX1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IN07F2</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2007-FLX2</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IN07F3</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2007-FLX3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IN07F4</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2007-FLX4</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IN07F5</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2007-FLX5</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IN07F6</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INDX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2007-FLX6</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IN07J1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IMJA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IN07J2</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IMJA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2007-A2</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4"/>
              </w:rPr>
              <w:t>IN07J3</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IMJA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2007-A3</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IN07J4</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IMJA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2007-A4</w:t>
            </w:r>
          </w:p>
        </w:tc>
      </w:tr>
      <w:tr>
        <w:trPr>
          <w:trHeight w:val="216"/>
        </w:trPr>
        <w:tc>
          <w:tcPr>
            <w:tcW w:w="720" w:type="dxa"/>
            <w:vAlign w:val="bottom"/>
          </w:tcPr>
          <w:p>
            <w:pPr>
              <w:jc w:val="center"/>
              <w:spacing w:after="0"/>
              <w:rPr>
                <w:sz w:val="20"/>
                <w:szCs w:val="20"/>
                <w:color w:val="auto"/>
              </w:rPr>
            </w:pPr>
            <w:r>
              <w:rPr>
                <w:rFonts w:ascii="Arial" w:cs="Arial" w:eastAsia="Arial" w:hAnsi="Arial"/>
                <w:sz w:val="18"/>
                <w:szCs w:val="18"/>
                <w:color w:val="auto"/>
                <w:w w:val="99"/>
              </w:rPr>
              <w:t>IN07L1</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Residential Mortgage-Backed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2007-L1</w:t>
            </w:r>
          </w:p>
        </w:tc>
      </w:tr>
      <w:tr>
        <w:trPr>
          <w:trHeight w:val="216"/>
        </w:trPr>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IN07M1</w:t>
            </w: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IMSC Mortgage Loan Trust</w:t>
            </w:r>
          </w:p>
        </w:tc>
        <w:tc>
          <w:tcPr>
            <w:tcW w:w="484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2007-F1</w:t>
            </w:r>
          </w:p>
        </w:tc>
      </w:tr>
      <w:tr>
        <w:trPr>
          <w:trHeight w:val="230"/>
        </w:trPr>
        <w:tc>
          <w:tcPr>
            <w:tcW w:w="720" w:type="dxa"/>
            <w:vAlign w:val="bottom"/>
          </w:tcPr>
          <w:p>
            <w:pPr>
              <w:jc w:val="center"/>
              <w:spacing w:after="0"/>
              <w:rPr>
                <w:sz w:val="20"/>
                <w:szCs w:val="20"/>
                <w:color w:val="auto"/>
              </w:rPr>
            </w:pPr>
            <w:r>
              <w:rPr>
                <w:rFonts w:ascii="Arial" w:cs="Arial" w:eastAsia="Arial" w:hAnsi="Arial"/>
                <w:sz w:val="18"/>
                <w:szCs w:val="18"/>
                <w:color w:val="auto"/>
                <w:w w:val="98"/>
              </w:rPr>
              <w:t>IN07M2</w:t>
            </w:r>
          </w:p>
        </w:tc>
        <w:tc>
          <w:tcPr>
            <w:tcW w:w="5460" w:type="dxa"/>
            <w:vAlign w:val="bottom"/>
          </w:tcPr>
          <w:p>
            <w:pPr>
              <w:ind w:left="60"/>
              <w:spacing w:after="0"/>
              <w:rPr>
                <w:sz w:val="20"/>
                <w:szCs w:val="20"/>
                <w:color w:val="auto"/>
              </w:rPr>
            </w:pPr>
            <w:r>
              <w:rPr>
                <w:rFonts w:ascii="Arial" w:cs="Arial" w:eastAsia="Arial" w:hAnsi="Arial"/>
                <w:sz w:val="18"/>
                <w:szCs w:val="18"/>
                <w:color w:val="auto"/>
              </w:rPr>
              <w:t>IndyMac IMSC Mortgage Loan Trust</w:t>
            </w:r>
          </w:p>
        </w:tc>
        <w:tc>
          <w:tcPr>
            <w:tcW w:w="4840" w:type="dxa"/>
            <w:vAlign w:val="bottom"/>
          </w:tcPr>
          <w:p>
            <w:pPr>
              <w:ind w:left="1980"/>
              <w:spacing w:after="0"/>
              <w:rPr>
                <w:sz w:val="20"/>
                <w:szCs w:val="20"/>
                <w:color w:val="auto"/>
              </w:rPr>
            </w:pPr>
            <w:r>
              <w:rPr>
                <w:rFonts w:ascii="Arial" w:cs="Arial" w:eastAsia="Arial" w:hAnsi="Arial"/>
                <w:sz w:val="18"/>
                <w:szCs w:val="18"/>
                <w:color w:val="auto"/>
              </w:rPr>
              <w:t>2007-F2</w:t>
            </w:r>
          </w:p>
        </w:tc>
      </w:tr>
    </w:tbl>
    <w:p>
      <w:pPr>
        <w:sectPr>
          <w:pgSz w:w="11900" w:h="16838" w:orient="portrait"/>
          <w:cols w:equalWidth="0" w:num="1">
            <w:col w:w="11020"/>
          </w:cols>
          <w:pgMar w:left="440" w:top="288"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IN07M3</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IMSC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2007-AR2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8"/>
              </w:rPr>
              <w:t>IN07M4</w:t>
            </w:r>
          </w:p>
        </w:tc>
        <w:tc>
          <w:tcPr>
            <w:tcW w:w="5760" w:type="dxa"/>
            <w:vAlign w:val="bottom"/>
          </w:tcPr>
          <w:p>
            <w:pPr>
              <w:ind w:left="60"/>
              <w:spacing w:after="0"/>
              <w:rPr>
                <w:sz w:val="20"/>
                <w:szCs w:val="20"/>
                <w:color w:val="auto"/>
              </w:rPr>
            </w:pPr>
            <w:r>
              <w:rPr>
                <w:rFonts w:ascii="Arial" w:cs="Arial" w:eastAsia="Arial" w:hAnsi="Arial"/>
                <w:sz w:val="18"/>
                <w:szCs w:val="18"/>
                <w:color w:val="auto"/>
              </w:rPr>
              <w:t>IndyMac IMSC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2007-F3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IN07MH</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IMSC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2007-HOA-1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IN07R1</w:t>
            </w:r>
          </w:p>
        </w:tc>
        <w:tc>
          <w:tcPr>
            <w:tcW w:w="57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2007-R1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IN07S1</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IndyMac INABS</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2007-A</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IN07S2</w:t>
            </w:r>
          </w:p>
        </w:tc>
        <w:tc>
          <w:tcPr>
            <w:tcW w:w="5760" w:type="dxa"/>
            <w:vAlign w:val="bottom"/>
          </w:tcPr>
          <w:p>
            <w:pPr>
              <w:ind w:left="60"/>
              <w:spacing w:after="0"/>
              <w:rPr>
                <w:sz w:val="20"/>
                <w:szCs w:val="20"/>
                <w:color w:val="auto"/>
              </w:rPr>
            </w:pPr>
            <w:r>
              <w:rPr>
                <w:rFonts w:ascii="Arial" w:cs="Arial" w:eastAsia="Arial" w:hAnsi="Arial"/>
                <w:sz w:val="18"/>
                <w:szCs w:val="18"/>
                <w:color w:val="auto"/>
              </w:rPr>
              <w:t>IndyMac INABS</w:t>
            </w:r>
          </w:p>
        </w:tc>
        <w:tc>
          <w:tcPr>
            <w:tcW w:w="4440" w:type="dxa"/>
            <w:vAlign w:val="bottom"/>
          </w:tcPr>
          <w:p>
            <w:pPr>
              <w:ind w:left="1580"/>
              <w:spacing w:after="0"/>
              <w:rPr>
                <w:sz w:val="20"/>
                <w:szCs w:val="20"/>
                <w:color w:val="auto"/>
              </w:rPr>
            </w:pPr>
            <w:r>
              <w:rPr>
                <w:rFonts w:ascii="Arial" w:cs="Arial" w:eastAsia="Arial" w:hAnsi="Arial"/>
                <w:sz w:val="18"/>
                <w:szCs w:val="18"/>
                <w:color w:val="auto"/>
              </w:rPr>
              <w:t>2007-B</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IX0601</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IXIS Real Estate Capital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Series 2006-HE1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IX0602</w:t>
            </w:r>
          </w:p>
        </w:tc>
        <w:tc>
          <w:tcPr>
            <w:tcW w:w="5760" w:type="dxa"/>
            <w:vAlign w:val="bottom"/>
          </w:tcPr>
          <w:p>
            <w:pPr>
              <w:ind w:left="60"/>
              <w:spacing w:after="0"/>
              <w:rPr>
                <w:sz w:val="20"/>
                <w:szCs w:val="20"/>
                <w:color w:val="auto"/>
              </w:rPr>
            </w:pPr>
            <w:r>
              <w:rPr>
                <w:rFonts w:ascii="Arial" w:cs="Arial" w:eastAsia="Arial" w:hAnsi="Arial"/>
                <w:sz w:val="18"/>
                <w:szCs w:val="18"/>
                <w:color w:val="auto"/>
              </w:rPr>
              <w:t>IXIS Real Estate Capital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2006-HE2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IX0603</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IXIS Real Estate Capital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Series 2006-HE3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IX0701</w:t>
            </w:r>
          </w:p>
        </w:tc>
        <w:tc>
          <w:tcPr>
            <w:tcW w:w="5760" w:type="dxa"/>
            <w:vAlign w:val="bottom"/>
          </w:tcPr>
          <w:p>
            <w:pPr>
              <w:ind w:left="60"/>
              <w:spacing w:after="0"/>
              <w:rPr>
                <w:sz w:val="20"/>
                <w:szCs w:val="20"/>
                <w:color w:val="auto"/>
              </w:rPr>
            </w:pPr>
            <w:r>
              <w:rPr>
                <w:rFonts w:ascii="Arial" w:cs="Arial" w:eastAsia="Arial" w:hAnsi="Arial"/>
                <w:sz w:val="18"/>
                <w:szCs w:val="18"/>
                <w:color w:val="auto"/>
              </w:rPr>
              <w:t>IXIS Real Estate Capital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Series 2007-HE1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IX0702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IXIS Real Estate Capital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2007-HE2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7"/>
              </w:rPr>
              <w:t>JP07C1</w:t>
            </w:r>
          </w:p>
        </w:tc>
        <w:tc>
          <w:tcPr>
            <w:tcW w:w="5760" w:type="dxa"/>
            <w:vAlign w:val="bottom"/>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2007-CH1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JP07C2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2007-CH2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7"/>
              </w:rPr>
              <w:t>JP07C3</w:t>
            </w:r>
          </w:p>
        </w:tc>
        <w:tc>
          <w:tcPr>
            <w:tcW w:w="5760" w:type="dxa"/>
            <w:vAlign w:val="bottom"/>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2007-CH3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JP07C4</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2007-CH4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7"/>
              </w:rPr>
              <w:t>JP07C5</w:t>
            </w:r>
          </w:p>
        </w:tc>
        <w:tc>
          <w:tcPr>
            <w:tcW w:w="5760" w:type="dxa"/>
            <w:vAlign w:val="bottom"/>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2007-CH5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JP07H1</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 Morgan Mortgage Acquisition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2007-HE1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8"/>
              </w:rPr>
              <w:t>JP1317</w:t>
            </w:r>
          </w:p>
        </w:tc>
        <w:tc>
          <w:tcPr>
            <w:tcW w:w="5760" w:type="dxa"/>
            <w:vAlign w:val="bottom"/>
          </w:tcPr>
          <w:p>
            <w:pPr>
              <w:ind w:left="60"/>
              <w:spacing w:after="0"/>
              <w:rPr>
                <w:sz w:val="20"/>
                <w:szCs w:val="20"/>
                <w:color w:val="auto"/>
              </w:rPr>
            </w:pPr>
            <w:r>
              <w:rPr>
                <w:rFonts w:ascii="Arial" w:cs="Arial" w:eastAsia="Arial" w:hAnsi="Arial"/>
                <w:sz w:val="18"/>
                <w:szCs w:val="18"/>
                <w:color w:val="auto"/>
              </w:rPr>
              <w:t>JPMBB Commercial Mortgage Securities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2013-C17</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JP1420</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 Morgan Chase Commercial Mortgage Securities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2014-C20</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LB0601</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LB0602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LB0603</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LB0604</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LB0605</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LB0606</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LB0607</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2006-7</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LB0608</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2006-8</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LB0609</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2006-9</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LB060A</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2006-A</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LB0610</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2006-10</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LB0611</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2006-11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LB06W1</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2006-WL1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LB06W2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2006-WL2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LB06W3</w:t>
            </w:r>
          </w:p>
        </w:tc>
        <w:tc>
          <w:tcPr>
            <w:tcW w:w="5760" w:type="dxa"/>
            <w:vAlign w:val="bottom"/>
          </w:tcPr>
          <w:p>
            <w:pPr>
              <w:ind w:left="60"/>
              <w:spacing w:after="0"/>
              <w:rPr>
                <w:sz w:val="20"/>
                <w:szCs w:val="20"/>
                <w:color w:val="auto"/>
              </w:rPr>
            </w:pPr>
            <w:r>
              <w:rPr>
                <w:rFonts w:ascii="Arial" w:cs="Arial" w:eastAsia="Arial" w:hAnsi="Arial"/>
                <w:sz w:val="18"/>
                <w:szCs w:val="18"/>
                <w:color w:val="auto"/>
              </w:rPr>
              <w:t>Long Beach Mortgage Loan Trust</w:t>
            </w:r>
          </w:p>
        </w:tc>
        <w:tc>
          <w:tcPr>
            <w:tcW w:w="4440" w:type="dxa"/>
            <w:vAlign w:val="bottom"/>
          </w:tcPr>
          <w:p>
            <w:pPr>
              <w:ind w:left="1580"/>
              <w:spacing w:after="0"/>
              <w:rPr>
                <w:sz w:val="20"/>
                <w:szCs w:val="20"/>
                <w:color w:val="auto"/>
              </w:rPr>
            </w:pPr>
            <w:r>
              <w:rPr>
                <w:rFonts w:ascii="Arial" w:cs="Arial" w:eastAsia="Arial" w:hAnsi="Arial"/>
                <w:sz w:val="18"/>
                <w:szCs w:val="18"/>
                <w:color w:val="auto"/>
              </w:rPr>
              <w:t>2006-WL3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ML07M1</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Merrill Lynch Mortgage Investors Trust</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2007-MLN1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MS06C1</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2006-NC1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MS06C2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2006-NC2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MS06C3</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2006-NC3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MS06C4</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2006-NC4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MS06C5</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2006-NC5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MS06H2</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2006-HE2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MS06H3</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2006-HE3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MS06H4</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2006-HE4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MS06H5</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2006-HE5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MS06H6</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2006-HE6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MS06H7</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tcPr>
          <w:p>
            <w:pPr>
              <w:ind w:left="1580"/>
              <w:spacing w:after="0"/>
              <w:rPr>
                <w:sz w:val="20"/>
                <w:szCs w:val="20"/>
                <w:color w:val="auto"/>
              </w:rPr>
            </w:pPr>
            <w:r>
              <w:rPr>
                <w:rFonts w:ascii="Arial" w:cs="Arial" w:eastAsia="Arial" w:hAnsi="Arial"/>
                <w:sz w:val="18"/>
                <w:szCs w:val="18"/>
                <w:color w:val="auto"/>
              </w:rPr>
              <w:t>2006-HE7</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MS06H8</w:t>
            </w:r>
          </w:p>
        </w:tc>
        <w:tc>
          <w:tcPr>
            <w:tcW w:w="5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4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2006-HE8</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3"/>
              </w:rPr>
              <w:t>MS06I1</w:t>
            </w:r>
          </w:p>
        </w:tc>
        <w:tc>
          <w:tcPr>
            <w:tcW w:w="5760" w:type="dxa"/>
            <w:vAlign w:val="bottom"/>
          </w:tcPr>
          <w:p>
            <w:pPr>
              <w:ind w:left="60"/>
              <w:spacing w:after="0"/>
              <w:rPr>
                <w:sz w:val="20"/>
                <w:szCs w:val="20"/>
                <w:color w:val="auto"/>
              </w:rPr>
            </w:pPr>
            <w:r>
              <w:rPr>
                <w:rFonts w:ascii="Arial" w:cs="Arial" w:eastAsia="Arial" w:hAnsi="Arial"/>
                <w:sz w:val="18"/>
                <w:szCs w:val="18"/>
                <w:color w:val="auto"/>
              </w:rPr>
              <w:t>Morgan Stanley IXIS Real Estate Capital</w:t>
            </w:r>
          </w:p>
        </w:tc>
        <w:tc>
          <w:tcPr>
            <w:tcW w:w="4440" w:type="dxa"/>
            <w:vAlign w:val="bottom"/>
          </w:tcPr>
          <w:p>
            <w:pPr>
              <w:ind w:left="1580"/>
              <w:spacing w:after="0"/>
              <w:rPr>
                <w:sz w:val="20"/>
                <w:szCs w:val="20"/>
                <w:color w:val="auto"/>
              </w:rPr>
            </w:pPr>
            <w:r>
              <w:rPr>
                <w:rFonts w:ascii="Arial" w:cs="Arial" w:eastAsia="Arial" w:hAnsi="Arial"/>
                <w:sz w:val="18"/>
                <w:szCs w:val="18"/>
                <w:color w:val="auto"/>
              </w:rPr>
              <w:t>2006-1</w:t>
            </w:r>
          </w:p>
        </w:tc>
      </w:tr>
    </w:tbl>
    <w:p>
      <w:pPr>
        <w:sectPr>
          <w:pgSz w:w="11900" w:h="16838" w:orient="portrait"/>
          <w:cols w:equalWidth="0" w:num="1">
            <w:col w:w="11020"/>
          </w:cols>
          <w:pgMar w:left="440" w:top="288" w:right="4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MS06I2</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IXIS Real Estate Capital</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MS06R2</w:t>
            </w:r>
          </w:p>
        </w:tc>
        <w:tc>
          <w:tcPr>
            <w:tcW w:w="5660" w:type="dxa"/>
            <w:vAlign w:val="bottom"/>
          </w:tcPr>
          <w:p>
            <w:pPr>
              <w:ind w:left="60"/>
              <w:spacing w:after="0"/>
              <w:rPr>
                <w:sz w:val="20"/>
                <w:szCs w:val="20"/>
                <w:color w:val="auto"/>
              </w:rPr>
            </w:pPr>
            <w:r>
              <w:rPr>
                <w:rFonts w:ascii="Arial" w:cs="Arial" w:eastAsia="Arial" w:hAnsi="Arial"/>
                <w:sz w:val="18"/>
                <w:szCs w:val="18"/>
                <w:color w:val="auto"/>
              </w:rPr>
              <w:t>IndyMac Residential Asset Securitization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2006-R2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MS06W2</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2006-WMC2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MS06X2</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Home Equity Loan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2006-2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MS06X3</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Home Equity Loan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MS07B1</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Structured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2007-1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MS07C1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2007-NC1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MS07C2</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2007-NC2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MS07C3</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2007-NC3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MS07C4</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2007-NC4</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MS07H1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2007-HE1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MS07H2</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2007-HE2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MS07H3</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2007-HE3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MS07H5</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2007-HE5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MS07H6</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2007-HE6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MS07H7</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ABS Capital I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2007-HE7</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MS07X1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Home Equity Loan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MS07X2</w:t>
            </w:r>
          </w:p>
        </w:tc>
        <w:tc>
          <w:tcPr>
            <w:tcW w:w="5660" w:type="dxa"/>
            <w:vAlign w:val="bottom"/>
          </w:tcPr>
          <w:p>
            <w:pPr>
              <w:ind w:left="60"/>
              <w:spacing w:after="0"/>
              <w:rPr>
                <w:sz w:val="20"/>
                <w:szCs w:val="20"/>
                <w:color w:val="auto"/>
              </w:rPr>
            </w:pPr>
            <w:r>
              <w:rPr>
                <w:rFonts w:ascii="Arial" w:cs="Arial" w:eastAsia="Arial" w:hAnsi="Arial"/>
                <w:sz w:val="18"/>
                <w:szCs w:val="18"/>
                <w:color w:val="auto"/>
              </w:rPr>
              <w:t>Morgan Stanley Home Equity Loan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2007-2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MS1311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Morgan Stanley Bank of America Merrill Lynch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2013-C11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MS1415</w:t>
            </w:r>
          </w:p>
        </w:tc>
        <w:tc>
          <w:tcPr>
            <w:tcW w:w="5660" w:type="dxa"/>
            <w:vAlign w:val="bottom"/>
          </w:tcPr>
          <w:p>
            <w:pPr>
              <w:ind w:left="60"/>
              <w:spacing w:after="0"/>
              <w:rPr>
                <w:sz w:val="20"/>
                <w:szCs w:val="20"/>
                <w:color w:val="auto"/>
              </w:rPr>
            </w:pPr>
            <w:r>
              <w:rPr>
                <w:rFonts w:ascii="Arial" w:cs="Arial" w:eastAsia="Arial" w:hAnsi="Arial"/>
                <w:sz w:val="18"/>
                <w:szCs w:val="18"/>
                <w:color w:val="auto"/>
              </w:rPr>
              <w:t>MSBAM 2014-C15</w:t>
            </w:r>
          </w:p>
        </w:tc>
        <w:tc>
          <w:tcPr>
            <w:tcW w:w="4540" w:type="dxa"/>
            <w:vAlign w:val="bottom"/>
          </w:tcPr>
          <w:p>
            <w:pPr>
              <w:ind w:left="1680"/>
              <w:spacing w:after="0"/>
              <w:rPr>
                <w:sz w:val="20"/>
                <w:szCs w:val="20"/>
                <w:color w:val="auto"/>
              </w:rPr>
            </w:pPr>
            <w:r>
              <w:rPr>
                <w:rFonts w:ascii="Arial" w:cs="Arial" w:eastAsia="Arial" w:hAnsi="Arial"/>
                <w:sz w:val="18"/>
                <w:szCs w:val="18"/>
                <w:color w:val="auto"/>
              </w:rPr>
              <w:t>2014-C15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NC0601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Century Home Equity Loan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NC0602</w:t>
            </w:r>
          </w:p>
        </w:tc>
        <w:tc>
          <w:tcPr>
            <w:tcW w:w="5660" w:type="dxa"/>
            <w:vAlign w:val="bottom"/>
          </w:tcPr>
          <w:p>
            <w:pPr>
              <w:ind w:left="60"/>
              <w:spacing w:after="0"/>
              <w:rPr>
                <w:sz w:val="20"/>
                <w:szCs w:val="20"/>
                <w:color w:val="auto"/>
              </w:rPr>
            </w:pPr>
            <w:r>
              <w:rPr>
                <w:rFonts w:ascii="Arial" w:cs="Arial" w:eastAsia="Arial" w:hAnsi="Arial"/>
                <w:sz w:val="18"/>
                <w:szCs w:val="18"/>
                <w:color w:val="auto"/>
              </w:rPr>
              <w:t>New Century Home Equity Loan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2006-2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NC06A1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Century Alternative Mortgage Loan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2006-ALT1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NC06S1</w:t>
            </w:r>
          </w:p>
        </w:tc>
        <w:tc>
          <w:tcPr>
            <w:tcW w:w="5660" w:type="dxa"/>
            <w:vAlign w:val="bottom"/>
          </w:tcPr>
          <w:p>
            <w:pPr>
              <w:ind w:left="60"/>
              <w:spacing w:after="0"/>
              <w:rPr>
                <w:sz w:val="20"/>
                <w:szCs w:val="20"/>
                <w:color w:val="auto"/>
              </w:rPr>
            </w:pPr>
            <w:r>
              <w:rPr>
                <w:rFonts w:ascii="Arial" w:cs="Arial" w:eastAsia="Arial" w:hAnsi="Arial"/>
                <w:sz w:val="18"/>
                <w:szCs w:val="18"/>
                <w:color w:val="auto"/>
              </w:rPr>
              <w:t>New Century Home Equity Loan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2006-S1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NS0604</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Novastar Mortgage Funding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9"/>
              </w:rPr>
              <w:t>NS0605</w:t>
            </w:r>
          </w:p>
        </w:tc>
        <w:tc>
          <w:tcPr>
            <w:tcW w:w="5660" w:type="dxa"/>
            <w:vAlign w:val="bottom"/>
          </w:tcPr>
          <w:p>
            <w:pPr>
              <w:ind w:left="60"/>
              <w:spacing w:after="0"/>
              <w:rPr>
                <w:sz w:val="20"/>
                <w:szCs w:val="20"/>
                <w:color w:val="auto"/>
              </w:rPr>
            </w:pPr>
            <w:r>
              <w:rPr>
                <w:rFonts w:ascii="Arial" w:cs="Arial" w:eastAsia="Arial" w:hAnsi="Arial"/>
                <w:sz w:val="18"/>
                <w:szCs w:val="18"/>
                <w:color w:val="auto"/>
              </w:rPr>
              <w:t>Novastar Mortgage Funding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2006-5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NS0606</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Novastar Mortgage Funding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2006-6</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9"/>
              </w:rPr>
              <w:t>NS0701</w:t>
            </w:r>
          </w:p>
        </w:tc>
        <w:tc>
          <w:tcPr>
            <w:tcW w:w="5660" w:type="dxa"/>
            <w:vAlign w:val="bottom"/>
          </w:tcPr>
          <w:p>
            <w:pPr>
              <w:ind w:left="60"/>
              <w:spacing w:after="0"/>
              <w:rPr>
                <w:sz w:val="20"/>
                <w:szCs w:val="20"/>
                <w:color w:val="auto"/>
              </w:rPr>
            </w:pPr>
            <w:r>
              <w:rPr>
                <w:rFonts w:ascii="Arial" w:cs="Arial" w:eastAsia="Arial" w:hAnsi="Arial"/>
                <w:sz w:val="18"/>
                <w:szCs w:val="18"/>
                <w:color w:val="auto"/>
              </w:rPr>
              <w:t>Novastar Mortgage Funding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2007-1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NS0702</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Novastar Mortgage Funding Trust</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2007-2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7"/>
              </w:rPr>
              <w:t>PO0701</w:t>
            </w:r>
          </w:p>
        </w:tc>
        <w:tc>
          <w:tcPr>
            <w:tcW w:w="5660" w:type="dxa"/>
            <w:vAlign w:val="bottom"/>
          </w:tcPr>
          <w:p>
            <w:pPr>
              <w:ind w:left="60"/>
              <w:spacing w:after="0"/>
              <w:rPr>
                <w:sz w:val="20"/>
                <w:szCs w:val="20"/>
                <w:color w:val="auto"/>
              </w:rPr>
            </w:pPr>
            <w:r>
              <w:rPr>
                <w:rFonts w:ascii="Arial" w:cs="Arial" w:eastAsia="Arial" w:hAnsi="Arial"/>
                <w:sz w:val="18"/>
                <w:szCs w:val="18"/>
                <w:color w:val="auto"/>
              </w:rPr>
              <w:t>Popular ABS Mortgage Pass-Through Trust</w:t>
            </w:r>
          </w:p>
        </w:tc>
        <w:tc>
          <w:tcPr>
            <w:tcW w:w="4540" w:type="dxa"/>
            <w:vAlign w:val="bottom"/>
          </w:tcPr>
          <w:p>
            <w:pPr>
              <w:ind w:left="1680"/>
              <w:spacing w:after="0"/>
              <w:rPr>
                <w:sz w:val="20"/>
                <w:szCs w:val="20"/>
                <w:color w:val="auto"/>
              </w:rPr>
            </w:pPr>
            <w:r>
              <w:rPr>
                <w:rFonts w:ascii="Arial" w:cs="Arial" w:eastAsia="Arial" w:hAnsi="Arial"/>
                <w:sz w:val="18"/>
                <w:szCs w:val="18"/>
                <w:color w:val="auto"/>
              </w:rPr>
              <w:t>2007-A</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RB13GS</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RBS Commerical Funding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2013-GSP Trust</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RF06A1</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2006-QA1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RF06A3</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2006-QA3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RF06A4</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2006-QA4</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RF06A5</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2006-QA5</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RF06A6</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2006-QA6</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RF06A7</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2006-QA7</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RF06A8</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2006-QA8</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RF06A9</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2006-QA9</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RF06AA</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2006-QA10</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RF06AB</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2006-QA11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RF06H1</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2006-QH1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RF06O1</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2006-QO1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RF06O3</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2006-QO3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RF06O4</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2006-QO4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RF06O5</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2006-QO5</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RF06O6</w:t>
            </w:r>
          </w:p>
        </w:tc>
        <w:tc>
          <w:tcPr>
            <w:tcW w:w="5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2006-QO6</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1"/>
              </w:rPr>
              <w:t>RF06O7</w:t>
            </w:r>
          </w:p>
        </w:tc>
        <w:tc>
          <w:tcPr>
            <w:tcW w:w="5660" w:type="dxa"/>
            <w:vAlign w:val="bottom"/>
          </w:tcPr>
          <w:p>
            <w:pPr>
              <w:ind w:left="60"/>
              <w:spacing w:after="0"/>
              <w:rPr>
                <w:sz w:val="20"/>
                <w:szCs w:val="20"/>
                <w:color w:val="auto"/>
              </w:rPr>
            </w:pPr>
            <w:r>
              <w:rPr>
                <w:rFonts w:ascii="Arial" w:cs="Arial" w:eastAsia="Arial" w:hAnsi="Arial"/>
                <w:sz w:val="18"/>
                <w:szCs w:val="18"/>
                <w:color w:val="auto"/>
              </w:rPr>
              <w:t>Residential Accredit Loans, Inc.</w:t>
            </w:r>
          </w:p>
        </w:tc>
        <w:tc>
          <w:tcPr>
            <w:tcW w:w="4540" w:type="dxa"/>
            <w:vAlign w:val="bottom"/>
          </w:tcPr>
          <w:p>
            <w:pPr>
              <w:ind w:left="1680"/>
              <w:spacing w:after="0"/>
              <w:rPr>
                <w:sz w:val="20"/>
                <w:szCs w:val="20"/>
                <w:color w:val="auto"/>
              </w:rPr>
            </w:pPr>
            <w:r>
              <w:rPr>
                <w:rFonts w:ascii="Arial" w:cs="Arial" w:eastAsia="Arial" w:hAnsi="Arial"/>
                <w:sz w:val="18"/>
                <w:szCs w:val="18"/>
                <w:color w:val="auto"/>
              </w:rPr>
              <w:t>2006-QO7</w:t>
            </w:r>
          </w:p>
        </w:tc>
      </w:tr>
    </w:tbl>
    <w:p>
      <w:pPr>
        <w:sectPr>
          <w:pgSz w:w="11900" w:h="16838" w:orient="portrait"/>
          <w:cols w:equalWidth="0" w:num="1">
            <w:col w:w="11020"/>
          </w:cols>
          <w:pgMar w:left="440" w:top="288" w:right="4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RF06O8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2006-QO8</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RF06O9</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2006-QO9</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RF06OA</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2006-QO10</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RF06Q1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RF06Q3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2006-QS3</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RF06Q4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2006-QS4</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RF06Q5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2006-QS5</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RF06Q6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2006-QS6</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RF06Q7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2006-QS7</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RF06Q8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2006-QS8</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RF06Q9</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2006-QS9</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RF06QA</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2006-QS10</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RF06QB</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2006-QS11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RF06QC</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RF06QD</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2006-QS13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RF06QE</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2006-QS14</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RF06QF</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2006-QS15</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RF06QG</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2006-QS16</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RF06QH</w:t>
            </w:r>
          </w:p>
        </w:tc>
        <w:tc>
          <w:tcPr>
            <w:tcW w:w="4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2006-QS17</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RF06QI</w:t>
            </w:r>
          </w:p>
        </w:tc>
        <w:tc>
          <w:tcPr>
            <w:tcW w:w="4880" w:type="dxa"/>
            <w:vAlign w:val="bottom"/>
          </w:tcPr>
          <w:p>
            <w:pPr>
              <w:jc w:val="right"/>
              <w:ind w:right="2370"/>
              <w:spacing w:after="0"/>
              <w:rPr>
                <w:sz w:val="20"/>
                <w:szCs w:val="20"/>
                <w:color w:val="auto"/>
              </w:rPr>
            </w:pPr>
            <w:r>
              <w:rPr>
                <w:rFonts w:ascii="Arial" w:cs="Arial" w:eastAsia="Arial" w:hAnsi="Arial"/>
                <w:sz w:val="18"/>
                <w:szCs w:val="18"/>
                <w:color w:val="auto"/>
                <w:w w:val="95"/>
              </w:rPr>
              <w:t>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2006-QS18</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RF07A1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2007-QA1</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RF07A2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2007-QA2</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RF07A3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2007-QA3</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RF07A4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2007-QA4</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RF07A5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2007-QA5</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RF07H1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2007-QH1</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RF07H2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2007-QH2</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RF07H3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2007-QH3</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RF07H4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2007-QH4</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RF07H5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2007-QH5</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RF07H6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2007-QH6</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RF07H7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2007-QH7</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7"/>
              </w:rPr>
              <w:t>RF07H8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2007-QH8</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7"/>
              </w:rPr>
              <w:t>RF07H9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2007-QH9</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RF07O1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2007-QO1</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RF07O2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2007-QO2</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RF07O3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2007-QO3</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RF07O4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2007-QO4</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RF07O5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2007-QO5</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RF07Q1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2007-QS1</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RF07Q2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2007-QS2</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RF07Q3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2007-QS3</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RF07Q4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2007-QS4</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RF07Q5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2007-QS5</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RF07Q6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2007-QS6</w:t>
            </w:r>
          </w:p>
        </w:tc>
      </w:tr>
      <w:tr>
        <w:trPr>
          <w:trHeight w:val="216"/>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RF07Q7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2007-QS7</w:t>
            </w:r>
          </w:p>
        </w:tc>
      </w:tr>
      <w:tr>
        <w:trPr>
          <w:trHeight w:val="216"/>
        </w:trPr>
        <w:tc>
          <w:tcPr>
            <w:tcW w:w="5680" w:type="dxa"/>
            <w:vAlign w:val="bottom"/>
            <w:gridSpan w:val="2"/>
            <w:shd w:val="clear" w:color="auto" w:fill="CCEEFF"/>
          </w:tcPr>
          <w:p>
            <w:pPr>
              <w:jc w:val="right"/>
              <w:ind w:right="2370"/>
              <w:spacing w:after="0"/>
              <w:rPr>
                <w:sz w:val="20"/>
                <w:szCs w:val="20"/>
                <w:color w:val="auto"/>
              </w:rPr>
            </w:pPr>
            <w:r>
              <w:rPr>
                <w:rFonts w:ascii="Arial" w:cs="Arial" w:eastAsia="Arial" w:hAnsi="Arial"/>
                <w:sz w:val="18"/>
                <w:szCs w:val="18"/>
                <w:color w:val="auto"/>
                <w:w w:val="96"/>
              </w:rPr>
              <w:t>RF07Q8  Residential Accredit Loans, Inc.</w:t>
            </w:r>
          </w:p>
        </w:tc>
        <w:tc>
          <w:tcPr>
            <w:tcW w:w="534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2007-QS8</w:t>
            </w:r>
          </w:p>
        </w:tc>
      </w:tr>
      <w:tr>
        <w:trPr>
          <w:trHeight w:val="230"/>
        </w:trPr>
        <w:tc>
          <w:tcPr>
            <w:tcW w:w="5680" w:type="dxa"/>
            <w:vAlign w:val="bottom"/>
            <w:gridSpan w:val="2"/>
          </w:tcPr>
          <w:p>
            <w:pPr>
              <w:jc w:val="right"/>
              <w:ind w:right="2370"/>
              <w:spacing w:after="0"/>
              <w:rPr>
                <w:sz w:val="20"/>
                <w:szCs w:val="20"/>
                <w:color w:val="auto"/>
              </w:rPr>
            </w:pPr>
            <w:r>
              <w:rPr>
                <w:rFonts w:ascii="Arial" w:cs="Arial" w:eastAsia="Arial" w:hAnsi="Arial"/>
                <w:sz w:val="18"/>
                <w:szCs w:val="18"/>
                <w:color w:val="auto"/>
                <w:w w:val="96"/>
              </w:rPr>
              <w:t>RF07Q9  Residential Accredit Loans, Inc.</w:t>
            </w:r>
          </w:p>
        </w:tc>
        <w:tc>
          <w:tcPr>
            <w:tcW w:w="5340" w:type="dxa"/>
            <w:vAlign w:val="bottom"/>
          </w:tcPr>
          <w:p>
            <w:pPr>
              <w:ind w:left="2480"/>
              <w:spacing w:after="0"/>
              <w:rPr>
                <w:sz w:val="20"/>
                <w:szCs w:val="20"/>
                <w:color w:val="auto"/>
              </w:rPr>
            </w:pPr>
            <w:r>
              <w:rPr>
                <w:rFonts w:ascii="Arial" w:cs="Arial" w:eastAsia="Arial" w:hAnsi="Arial"/>
                <w:sz w:val="18"/>
                <w:szCs w:val="18"/>
                <w:color w:val="auto"/>
              </w:rPr>
              <w:t>2007-QS9</w:t>
            </w:r>
          </w:p>
        </w:tc>
      </w:tr>
    </w:tbl>
    <w:p>
      <w:pPr>
        <w:sectPr>
          <w:pgSz w:w="11900" w:h="16838" w:orient="portrait"/>
          <w:cols w:equalWidth="0" w:num="1">
            <w:col w:w="11020"/>
          </w:cols>
          <w:pgMar w:left="440" w:top="288" w:right="4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RF07QA</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Residential Accredit Loans, Inc.</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2007-QS10</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4"/>
              </w:rPr>
              <w:t>RF07QB</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Residential Accredit Loans, Inc.</w:t>
            </w:r>
          </w:p>
        </w:tc>
        <w:tc>
          <w:tcPr>
            <w:tcW w:w="3680" w:type="dxa"/>
            <w:vAlign w:val="bottom"/>
          </w:tcPr>
          <w:p>
            <w:pPr>
              <w:ind w:left="820"/>
              <w:spacing w:after="0"/>
              <w:rPr>
                <w:sz w:val="20"/>
                <w:szCs w:val="20"/>
                <w:color w:val="auto"/>
              </w:rPr>
            </w:pPr>
            <w:r>
              <w:rPr>
                <w:rFonts w:ascii="Arial" w:cs="Arial" w:eastAsia="Arial" w:hAnsi="Arial"/>
                <w:sz w:val="18"/>
                <w:szCs w:val="18"/>
                <w:color w:val="auto"/>
              </w:rPr>
              <w:t>2007-QS11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RF07S4</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Residential Funding Mortgage Securities I, Inc.</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2007-S4</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87"/>
              </w:rPr>
              <w:t>RF07S5</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Residential Funding Mortgage Securities I, Inc.</w:t>
            </w:r>
          </w:p>
        </w:tc>
        <w:tc>
          <w:tcPr>
            <w:tcW w:w="3680" w:type="dxa"/>
            <w:vAlign w:val="bottom"/>
          </w:tcPr>
          <w:p>
            <w:pPr>
              <w:ind w:left="820"/>
              <w:spacing w:after="0"/>
              <w:rPr>
                <w:sz w:val="20"/>
                <w:szCs w:val="20"/>
                <w:color w:val="auto"/>
              </w:rPr>
            </w:pPr>
            <w:r>
              <w:rPr>
                <w:rFonts w:ascii="Arial" w:cs="Arial" w:eastAsia="Arial" w:hAnsi="Arial"/>
                <w:sz w:val="18"/>
                <w:szCs w:val="18"/>
                <w:color w:val="auto"/>
              </w:rPr>
              <w:t>2007-S5</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RF08R1</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Residential Accredit Loans, Inc.</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2008-QR1</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SX0601</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2006-1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SX0602</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2006-2</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SX0603</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2006-3</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SX0701</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2007-1</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SX0702</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2007-2</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SX0703</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Saxon Asset Securities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2007-3</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1"/>
              </w:rPr>
              <w:t>UB11C1</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UBS-Citigroup Commercial Mortgage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2011-C1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UB12C1</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UBS Commercial Mortgage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2012-C1</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4"/>
              </w:rPr>
              <w:t>UB12C3</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UBS-Barclays Commercial Mortgage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2012-C3</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UB13C5</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UBS-Barclays Commercial Mortgage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2013-C5</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5"/>
              </w:rPr>
              <w:t>WA06A1</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WaMu Asset Acceptance Corp.</w:t>
            </w:r>
          </w:p>
        </w:tc>
        <w:tc>
          <w:tcPr>
            <w:tcW w:w="3680" w:type="dxa"/>
            <w:vAlign w:val="bottom"/>
          </w:tcPr>
          <w:p>
            <w:pPr>
              <w:ind w:left="820"/>
              <w:spacing w:after="0"/>
              <w:rPr>
                <w:sz w:val="20"/>
                <w:szCs w:val="20"/>
                <w:color w:val="auto"/>
              </w:rPr>
            </w:pPr>
            <w:r>
              <w:rPr>
                <w:rFonts w:ascii="Arial" w:cs="Arial" w:eastAsia="Arial" w:hAnsi="Arial"/>
                <w:sz w:val="18"/>
                <w:szCs w:val="18"/>
                <w:color w:val="auto"/>
              </w:rPr>
              <w:t>2006-AR1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WA06A3</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WaMu Asset Acceptance Corp.</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2006-AR3</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5"/>
              </w:rPr>
              <w:t>WA06A4</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Washington Mutual Mortgage Securities Corp.</w:t>
            </w:r>
          </w:p>
        </w:tc>
        <w:tc>
          <w:tcPr>
            <w:tcW w:w="3680" w:type="dxa"/>
            <w:vAlign w:val="bottom"/>
          </w:tcPr>
          <w:p>
            <w:pPr>
              <w:ind w:left="820"/>
              <w:spacing w:after="0"/>
              <w:rPr>
                <w:sz w:val="20"/>
                <w:szCs w:val="20"/>
                <w:color w:val="auto"/>
              </w:rPr>
            </w:pPr>
            <w:r>
              <w:rPr>
                <w:rFonts w:ascii="Arial" w:cs="Arial" w:eastAsia="Arial" w:hAnsi="Arial"/>
                <w:sz w:val="18"/>
                <w:szCs w:val="18"/>
                <w:color w:val="auto"/>
              </w:rPr>
              <w:t>2006-AR4</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WA06A5</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WaMu Asset Acceptance Corp.</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2006-AR5</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4"/>
              </w:rPr>
              <w:t>WA07H1</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WaMu</w:t>
            </w:r>
          </w:p>
        </w:tc>
        <w:tc>
          <w:tcPr>
            <w:tcW w:w="3680" w:type="dxa"/>
            <w:vAlign w:val="bottom"/>
          </w:tcPr>
          <w:p>
            <w:pPr>
              <w:ind w:left="820"/>
              <w:spacing w:after="0"/>
              <w:rPr>
                <w:sz w:val="20"/>
                <w:szCs w:val="20"/>
                <w:color w:val="auto"/>
              </w:rPr>
            </w:pPr>
            <w:r>
              <w:rPr>
                <w:rFonts w:ascii="Arial" w:cs="Arial" w:eastAsia="Arial" w:hAnsi="Arial"/>
                <w:sz w:val="18"/>
                <w:szCs w:val="18"/>
                <w:color w:val="auto"/>
              </w:rPr>
              <w:t>2007-HE1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WF11C5</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WF RBS Commercial Mortgage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2011-C5</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2"/>
              </w:rPr>
              <w:t>WF12C6</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WF RBS Commercial Mortgage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2012-C6</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WF12C7</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WF RBS Commercial Mortgage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2012-C7</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2"/>
              </w:rPr>
              <w:t>WF12C8</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WF RBS Commercial Mortgage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2012-C8</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WF1318</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WFRBS Commercial Mortgage Trust</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2013-C18</w:t>
            </w:r>
          </w:p>
        </w:tc>
      </w:tr>
      <w:tr>
        <w:trPr>
          <w:trHeight w:val="216"/>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2"/>
              </w:rPr>
              <w:t>WF13U1</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WFRBS Commercial Mortgage Trust</w:t>
            </w:r>
          </w:p>
        </w:tc>
        <w:tc>
          <w:tcPr>
            <w:tcW w:w="3680" w:type="dxa"/>
            <w:vAlign w:val="bottom"/>
          </w:tcPr>
          <w:p>
            <w:pPr>
              <w:ind w:left="820"/>
              <w:spacing w:after="0"/>
              <w:rPr>
                <w:sz w:val="20"/>
                <w:szCs w:val="20"/>
                <w:color w:val="auto"/>
              </w:rPr>
            </w:pPr>
            <w:r>
              <w:rPr>
                <w:rFonts w:ascii="Arial" w:cs="Arial" w:eastAsia="Arial" w:hAnsi="Arial"/>
                <w:sz w:val="18"/>
                <w:szCs w:val="18"/>
                <w:color w:val="auto"/>
              </w:rPr>
              <w:t>2013-UBS1</w:t>
            </w:r>
          </w:p>
        </w:tc>
      </w:tr>
      <w:tr>
        <w:trPr>
          <w:trHeight w:val="216"/>
        </w:trPr>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WF1414</w:t>
            </w:r>
          </w:p>
        </w:tc>
        <w:tc>
          <w:tcPr>
            <w:tcW w:w="66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RBS Commercial Funding Inc.</w:t>
            </w:r>
          </w:p>
        </w:tc>
        <w:tc>
          <w:tcPr>
            <w:tcW w:w="3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2014-LC14</w:t>
            </w:r>
          </w:p>
        </w:tc>
      </w:tr>
      <w:tr>
        <w:trPr>
          <w:trHeight w:val="230"/>
        </w:trPr>
        <w:tc>
          <w:tcPr>
            <w:tcW w:w="740" w:type="dxa"/>
            <w:vAlign w:val="bottom"/>
            <w:gridSpan w:val="3"/>
          </w:tcPr>
          <w:p>
            <w:pPr>
              <w:jc w:val="center"/>
              <w:spacing w:after="0"/>
              <w:rPr>
                <w:sz w:val="20"/>
                <w:szCs w:val="20"/>
                <w:color w:val="auto"/>
              </w:rPr>
            </w:pPr>
            <w:r>
              <w:rPr>
                <w:rFonts w:ascii="Arial" w:cs="Arial" w:eastAsia="Arial" w:hAnsi="Arial"/>
                <w:sz w:val="18"/>
                <w:szCs w:val="18"/>
                <w:color w:val="auto"/>
                <w:w w:val="91"/>
              </w:rPr>
              <w:t>WF1419</w:t>
            </w:r>
          </w:p>
        </w:tc>
        <w:tc>
          <w:tcPr>
            <w:tcW w:w="6600" w:type="dxa"/>
            <w:vAlign w:val="bottom"/>
            <w:gridSpan w:val="4"/>
          </w:tcPr>
          <w:p>
            <w:pPr>
              <w:ind w:left="140"/>
              <w:spacing w:after="0"/>
              <w:rPr>
                <w:sz w:val="20"/>
                <w:szCs w:val="20"/>
                <w:color w:val="auto"/>
              </w:rPr>
            </w:pPr>
            <w:r>
              <w:rPr>
                <w:rFonts w:ascii="Arial" w:cs="Arial" w:eastAsia="Arial" w:hAnsi="Arial"/>
                <w:sz w:val="18"/>
                <w:szCs w:val="18"/>
                <w:color w:val="auto"/>
              </w:rPr>
              <w:t>RBS Commercial Funding Inc.</w:t>
            </w:r>
          </w:p>
        </w:tc>
        <w:tc>
          <w:tcPr>
            <w:tcW w:w="3680" w:type="dxa"/>
            <w:vAlign w:val="bottom"/>
          </w:tcPr>
          <w:p>
            <w:pPr>
              <w:ind w:left="820"/>
              <w:spacing w:after="0"/>
              <w:rPr>
                <w:sz w:val="20"/>
                <w:szCs w:val="20"/>
                <w:color w:val="auto"/>
              </w:rPr>
            </w:pPr>
            <w:r>
              <w:rPr>
                <w:rFonts w:ascii="Arial" w:cs="Arial" w:eastAsia="Arial" w:hAnsi="Arial"/>
                <w:sz w:val="18"/>
                <w:szCs w:val="18"/>
                <w:color w:val="auto"/>
              </w:rPr>
              <w:t>2014-C19</w:t>
            </w:r>
          </w:p>
        </w:tc>
      </w:tr>
      <w:tr>
        <w:trPr>
          <w:trHeight w:val="40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gridSpan w:val="5"/>
          </w:tcPr>
          <w:p>
            <w:pPr>
              <w:spacing w:after="0"/>
              <w:rPr>
                <w:sz w:val="20"/>
                <w:szCs w:val="20"/>
                <w:color w:val="auto"/>
              </w:rPr>
            </w:pPr>
            <w:r>
              <w:rPr>
                <w:rFonts w:ascii="Arial" w:cs="Arial" w:eastAsia="Arial" w:hAnsi="Arial"/>
                <w:sz w:val="18"/>
                <w:szCs w:val="18"/>
                <w:b w:val="1"/>
                <w:bCs w:val="1"/>
                <w:color w:val="auto"/>
              </w:rPr>
              <w:t>Asset-Backed Transactions and Securities Constituting the Platform - ABS Deals</w:t>
            </w:r>
          </w:p>
        </w:tc>
        <w:tc>
          <w:tcPr>
            <w:tcW w:w="36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4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77"/>
        </w:trPr>
        <w:tc>
          <w:tcPr>
            <w:tcW w:w="260" w:type="dxa"/>
            <w:vAlign w:val="bottom"/>
          </w:tcPr>
          <w:p>
            <w:pPr>
              <w:spacing w:after="0"/>
              <w:rPr>
                <w:sz w:val="24"/>
                <w:szCs w:val="2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Deal ID</w:t>
            </w:r>
          </w:p>
        </w:tc>
        <w:tc>
          <w:tcPr>
            <w:tcW w:w="36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Deal Name and Series</w:t>
            </w:r>
          </w:p>
        </w:tc>
        <w:tc>
          <w:tcPr>
            <w:tcW w:w="488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r>
      <w:tr>
        <w:trPr>
          <w:trHeight w:val="210"/>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w w:val="94"/>
              </w:rPr>
              <w:t>GM16CT01</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AUTO RECEIVABLES ASSET TRUST 2016-1</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w w:val="97"/>
              </w:rPr>
              <w:t>BW181T</w:t>
            </w:r>
          </w:p>
        </w:tc>
        <w:tc>
          <w:tcPr>
            <w:tcW w:w="6240" w:type="dxa"/>
            <w:vAlign w:val="bottom"/>
            <w:gridSpan w:val="3"/>
          </w:tcPr>
          <w:p>
            <w:pPr>
              <w:spacing w:after="0"/>
              <w:rPr>
                <w:sz w:val="20"/>
                <w:szCs w:val="20"/>
                <w:color w:val="auto"/>
              </w:rPr>
            </w:pPr>
            <w:r>
              <w:rPr>
                <w:rFonts w:ascii="Arial" w:cs="Arial" w:eastAsia="Arial" w:hAnsi="Arial"/>
                <w:sz w:val="18"/>
                <w:szCs w:val="18"/>
                <w:color w:val="auto"/>
              </w:rPr>
              <w:t>Bank of the West Auto Trust 2018-1</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w w:val="94"/>
              </w:rPr>
              <w:t>GM16CT02</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AUTO RECEIVABLES ASSET TRUST 2016-2</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w w:val="92"/>
              </w:rPr>
              <w:t>GM1703</w:t>
            </w:r>
          </w:p>
        </w:tc>
        <w:tc>
          <w:tcPr>
            <w:tcW w:w="6240" w:type="dxa"/>
            <w:vAlign w:val="bottom"/>
            <w:gridSpan w:val="3"/>
          </w:tcPr>
          <w:p>
            <w:pPr>
              <w:spacing w:after="0"/>
              <w:rPr>
                <w:sz w:val="20"/>
                <w:szCs w:val="20"/>
                <w:color w:val="auto"/>
              </w:rPr>
            </w:pPr>
            <w:r>
              <w:rPr>
                <w:rFonts w:ascii="Arial" w:cs="Arial" w:eastAsia="Arial" w:hAnsi="Arial"/>
                <w:sz w:val="18"/>
                <w:szCs w:val="18"/>
                <w:color w:val="auto"/>
              </w:rPr>
              <w:t>Ally Auto Receivables Trust 2017-3</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w w:val="92"/>
              </w:rPr>
              <w:t>GM1802</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ALLY AUTO RECEIVABLES TRUST 2018-2</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w w:val="92"/>
              </w:rPr>
              <w:t>GM1803</w:t>
            </w:r>
          </w:p>
        </w:tc>
        <w:tc>
          <w:tcPr>
            <w:tcW w:w="6240" w:type="dxa"/>
            <w:vAlign w:val="bottom"/>
            <w:gridSpan w:val="3"/>
          </w:tcPr>
          <w:p>
            <w:pPr>
              <w:spacing w:after="0"/>
              <w:rPr>
                <w:sz w:val="20"/>
                <w:szCs w:val="20"/>
                <w:color w:val="auto"/>
              </w:rPr>
            </w:pPr>
            <w:r>
              <w:rPr>
                <w:rFonts w:ascii="Arial" w:cs="Arial" w:eastAsia="Arial" w:hAnsi="Arial"/>
                <w:sz w:val="18"/>
                <w:szCs w:val="18"/>
                <w:color w:val="auto"/>
              </w:rPr>
              <w:t>ALLY AUTO RECEIVABLES TRUST 2018-3</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30"/>
              <w:spacing w:after="0"/>
              <w:rPr>
                <w:sz w:val="20"/>
                <w:szCs w:val="20"/>
                <w:color w:val="auto"/>
              </w:rPr>
            </w:pPr>
            <w:r>
              <w:rPr>
                <w:rFonts w:ascii="Arial" w:cs="Arial" w:eastAsia="Arial" w:hAnsi="Arial"/>
                <w:sz w:val="18"/>
                <w:szCs w:val="18"/>
                <w:color w:val="auto"/>
                <w:w w:val="98"/>
              </w:rPr>
              <w:t>MAEB15B</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 Private Education Loan Trust 2015-B</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30"/>
              <w:spacing w:after="0"/>
              <w:rPr>
                <w:sz w:val="20"/>
                <w:szCs w:val="20"/>
                <w:color w:val="auto"/>
              </w:rPr>
            </w:pPr>
            <w:r>
              <w:rPr>
                <w:rFonts w:ascii="Arial" w:cs="Arial" w:eastAsia="Arial" w:hAnsi="Arial"/>
                <w:sz w:val="18"/>
                <w:szCs w:val="18"/>
                <w:color w:val="auto"/>
                <w:w w:val="98"/>
              </w:rPr>
              <w:t>MAEB16B</w:t>
            </w:r>
          </w:p>
        </w:tc>
        <w:tc>
          <w:tcPr>
            <w:tcW w:w="6240" w:type="dxa"/>
            <w:vAlign w:val="bottom"/>
            <w:gridSpan w:val="3"/>
          </w:tcPr>
          <w:p>
            <w:pPr>
              <w:spacing w:after="0"/>
              <w:rPr>
                <w:sz w:val="20"/>
                <w:szCs w:val="20"/>
                <w:color w:val="auto"/>
              </w:rPr>
            </w:pPr>
            <w:r>
              <w:rPr>
                <w:rFonts w:ascii="Arial" w:cs="Arial" w:eastAsia="Arial" w:hAnsi="Arial"/>
                <w:sz w:val="18"/>
                <w:szCs w:val="18"/>
                <w:color w:val="auto"/>
              </w:rPr>
              <w:t>SMB Private Education Loan Trust 2016-B</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rPr>
              <w:t>MAEB17A</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 Private Education Loan Trust 2017-A</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rPr>
              <w:t>MAEB18A</w:t>
            </w:r>
          </w:p>
        </w:tc>
        <w:tc>
          <w:tcPr>
            <w:tcW w:w="6240" w:type="dxa"/>
            <w:vAlign w:val="bottom"/>
            <w:gridSpan w:val="3"/>
          </w:tcPr>
          <w:p>
            <w:pPr>
              <w:spacing w:after="0"/>
              <w:rPr>
                <w:sz w:val="20"/>
                <w:szCs w:val="20"/>
                <w:color w:val="auto"/>
              </w:rPr>
            </w:pPr>
            <w:r>
              <w:rPr>
                <w:rFonts w:ascii="Arial" w:cs="Arial" w:eastAsia="Arial" w:hAnsi="Arial"/>
                <w:sz w:val="18"/>
                <w:szCs w:val="18"/>
                <w:color w:val="auto"/>
              </w:rPr>
              <w:t>SMB PRIVATE EDUCATION LOAN TRUST 2018-A</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30"/>
              <w:spacing w:after="0"/>
              <w:rPr>
                <w:sz w:val="20"/>
                <w:szCs w:val="20"/>
                <w:color w:val="auto"/>
              </w:rPr>
            </w:pPr>
            <w:r>
              <w:rPr>
                <w:rFonts w:ascii="Arial" w:cs="Arial" w:eastAsia="Arial" w:hAnsi="Arial"/>
                <w:sz w:val="18"/>
                <w:szCs w:val="18"/>
                <w:color w:val="auto"/>
                <w:w w:val="98"/>
              </w:rPr>
              <w:t>MAEB18B</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 Private Education Loan Trust 2018-B</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30"/>
              <w:spacing w:after="0"/>
              <w:rPr>
                <w:sz w:val="20"/>
                <w:szCs w:val="20"/>
                <w:color w:val="auto"/>
              </w:rPr>
            </w:pPr>
            <w:r>
              <w:rPr>
                <w:rFonts w:ascii="Arial" w:cs="Arial" w:eastAsia="Arial" w:hAnsi="Arial"/>
                <w:sz w:val="18"/>
                <w:szCs w:val="18"/>
                <w:color w:val="auto"/>
                <w:w w:val="97"/>
              </w:rPr>
              <w:t>MAEB18C</w:t>
            </w:r>
          </w:p>
        </w:tc>
        <w:tc>
          <w:tcPr>
            <w:tcW w:w="6240" w:type="dxa"/>
            <w:vAlign w:val="bottom"/>
            <w:gridSpan w:val="3"/>
          </w:tcPr>
          <w:p>
            <w:pPr>
              <w:spacing w:after="0"/>
              <w:rPr>
                <w:sz w:val="20"/>
                <w:szCs w:val="20"/>
                <w:color w:val="auto"/>
              </w:rPr>
            </w:pPr>
            <w:r>
              <w:rPr>
                <w:rFonts w:ascii="Arial" w:cs="Arial" w:eastAsia="Arial" w:hAnsi="Arial"/>
                <w:sz w:val="18"/>
                <w:szCs w:val="18"/>
                <w:color w:val="auto"/>
              </w:rPr>
              <w:t>SMB Private Education Loan Trust 2018-C</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w w:val="97"/>
              </w:rPr>
              <w:t>MAEN142</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Navient Student Loan Trust 2014-2</w:t>
            </w:r>
          </w:p>
        </w:tc>
        <w:tc>
          <w:tcPr>
            <w:tcW w:w="3680" w:type="dxa"/>
            <w:vAlign w:val="bottom"/>
            <w:shd w:val="clear" w:color="auto" w:fill="CCEEFF"/>
          </w:tcPr>
          <w:p>
            <w:pPr>
              <w:spacing w:after="0"/>
              <w:rPr>
                <w:sz w:val="18"/>
                <w:szCs w:val="18"/>
                <w:color w:val="auto"/>
              </w:rPr>
            </w:pPr>
          </w:p>
        </w:tc>
      </w:tr>
      <w:tr>
        <w:trPr>
          <w:trHeight w:val="216"/>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w w:val="97"/>
              </w:rPr>
              <w:t>MAEN143</w:t>
            </w:r>
          </w:p>
        </w:tc>
        <w:tc>
          <w:tcPr>
            <w:tcW w:w="6240" w:type="dxa"/>
            <w:vAlign w:val="bottom"/>
            <w:gridSpan w:val="3"/>
          </w:tcPr>
          <w:p>
            <w:pPr>
              <w:spacing w:after="0"/>
              <w:rPr>
                <w:sz w:val="20"/>
                <w:szCs w:val="20"/>
                <w:color w:val="auto"/>
              </w:rPr>
            </w:pPr>
            <w:r>
              <w:rPr>
                <w:rFonts w:ascii="Arial" w:cs="Arial" w:eastAsia="Arial" w:hAnsi="Arial"/>
                <w:sz w:val="18"/>
                <w:szCs w:val="18"/>
                <w:color w:val="auto"/>
              </w:rPr>
              <w:t>Navient Student Loan Trust 2014-3</w:t>
            </w:r>
          </w:p>
        </w:tc>
        <w:tc>
          <w:tcPr>
            <w:tcW w:w="3680" w:type="dxa"/>
            <w:vAlign w:val="bottom"/>
          </w:tcPr>
          <w:p>
            <w:pPr>
              <w:spacing w:after="0"/>
              <w:rPr>
                <w:sz w:val="18"/>
                <w:szCs w:val="18"/>
                <w:color w:val="auto"/>
              </w:rPr>
            </w:pPr>
          </w:p>
        </w:tc>
      </w:tr>
      <w:tr>
        <w:trPr>
          <w:trHeight w:val="216"/>
        </w:trPr>
        <w:tc>
          <w:tcPr>
            <w:tcW w:w="1100" w:type="dxa"/>
            <w:vAlign w:val="bottom"/>
            <w:gridSpan w:val="4"/>
            <w:shd w:val="clear" w:color="auto" w:fill="CCEEFF"/>
          </w:tcPr>
          <w:p>
            <w:pPr>
              <w:jc w:val="center"/>
              <w:ind w:right="10"/>
              <w:spacing w:after="0"/>
              <w:rPr>
                <w:sz w:val="20"/>
                <w:szCs w:val="20"/>
                <w:color w:val="auto"/>
              </w:rPr>
            </w:pPr>
            <w:r>
              <w:rPr>
                <w:rFonts w:ascii="Arial" w:cs="Arial" w:eastAsia="Arial" w:hAnsi="Arial"/>
                <w:sz w:val="18"/>
                <w:szCs w:val="18"/>
                <w:color w:val="auto"/>
                <w:w w:val="97"/>
              </w:rPr>
              <w:t>MAEN145</w:t>
            </w: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Navient Student Loan Trust 2014-5</w:t>
            </w:r>
          </w:p>
        </w:tc>
        <w:tc>
          <w:tcPr>
            <w:tcW w:w="3680" w:type="dxa"/>
            <w:vAlign w:val="bottom"/>
            <w:shd w:val="clear" w:color="auto" w:fill="CCEEFF"/>
          </w:tcPr>
          <w:p>
            <w:pPr>
              <w:spacing w:after="0"/>
              <w:rPr>
                <w:sz w:val="18"/>
                <w:szCs w:val="18"/>
                <w:color w:val="auto"/>
              </w:rPr>
            </w:pPr>
          </w:p>
        </w:tc>
      </w:tr>
      <w:tr>
        <w:trPr>
          <w:trHeight w:val="230"/>
        </w:trPr>
        <w:tc>
          <w:tcPr>
            <w:tcW w:w="1100" w:type="dxa"/>
            <w:vAlign w:val="bottom"/>
            <w:gridSpan w:val="4"/>
          </w:tcPr>
          <w:p>
            <w:pPr>
              <w:jc w:val="center"/>
              <w:ind w:right="10"/>
              <w:spacing w:after="0"/>
              <w:rPr>
                <w:sz w:val="20"/>
                <w:szCs w:val="20"/>
                <w:color w:val="auto"/>
              </w:rPr>
            </w:pPr>
            <w:r>
              <w:rPr>
                <w:rFonts w:ascii="Arial" w:cs="Arial" w:eastAsia="Arial" w:hAnsi="Arial"/>
                <w:sz w:val="18"/>
                <w:szCs w:val="18"/>
                <w:color w:val="auto"/>
                <w:w w:val="97"/>
              </w:rPr>
              <w:t>MAEN146</w:t>
            </w:r>
          </w:p>
        </w:tc>
        <w:tc>
          <w:tcPr>
            <w:tcW w:w="6240" w:type="dxa"/>
            <w:vAlign w:val="bottom"/>
            <w:gridSpan w:val="3"/>
          </w:tcPr>
          <w:p>
            <w:pPr>
              <w:spacing w:after="0"/>
              <w:rPr>
                <w:sz w:val="20"/>
                <w:szCs w:val="20"/>
                <w:color w:val="auto"/>
              </w:rPr>
            </w:pPr>
            <w:r>
              <w:rPr>
                <w:rFonts w:ascii="Arial" w:cs="Arial" w:eastAsia="Arial" w:hAnsi="Arial"/>
                <w:sz w:val="18"/>
                <w:szCs w:val="18"/>
                <w:color w:val="auto"/>
              </w:rPr>
              <w:t>Navient Student Loan Trust 2014-6</w:t>
            </w:r>
          </w:p>
        </w:tc>
        <w:tc>
          <w:tcPr>
            <w:tcW w:w="3680" w:type="dxa"/>
            <w:vAlign w:val="bottom"/>
          </w:tcPr>
          <w:p>
            <w:pPr>
              <w:spacing w:after="0"/>
              <w:rPr>
                <w:sz w:val="20"/>
                <w:szCs w:val="20"/>
                <w:color w:val="auto"/>
              </w:rPr>
            </w:pPr>
          </w:p>
        </w:tc>
      </w:tr>
    </w:tbl>
    <w:p>
      <w:pPr>
        <w:sectPr>
          <w:pgSz w:w="11900" w:h="16838" w:orient="portrait"/>
          <w:cols w:equalWidth="0" w:num="1">
            <w:col w:w="11020"/>
          </w:cols>
          <w:pgMar w:left="440" w:top="288" w:right="4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MAEN147</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Student Loan Trust 2014-7</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7"/>
              </w:rPr>
              <w:t>MAEN148</w:t>
            </w:r>
          </w:p>
        </w:tc>
        <w:tc>
          <w:tcPr>
            <w:tcW w:w="9800" w:type="dxa"/>
            <w:vAlign w:val="bottom"/>
          </w:tcPr>
          <w:p>
            <w:pPr>
              <w:ind w:left="100"/>
              <w:spacing w:after="0"/>
              <w:rPr>
                <w:sz w:val="20"/>
                <w:szCs w:val="20"/>
                <w:color w:val="auto"/>
              </w:rPr>
            </w:pPr>
            <w:r>
              <w:rPr>
                <w:rFonts w:ascii="Arial" w:cs="Arial" w:eastAsia="Arial" w:hAnsi="Arial"/>
                <w:sz w:val="18"/>
                <w:szCs w:val="18"/>
                <w:color w:val="auto"/>
              </w:rPr>
              <w:t>Navient Student Loan Trust 2014-8</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MAEN16A</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Private Education Loan Trust 2016-A</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9"/>
              </w:rPr>
              <w:t>MAEN18B</w:t>
            </w:r>
          </w:p>
        </w:tc>
        <w:tc>
          <w:tcPr>
            <w:tcW w:w="9800" w:type="dxa"/>
            <w:vAlign w:val="bottom"/>
          </w:tcPr>
          <w:p>
            <w:pPr>
              <w:ind w:left="100"/>
              <w:spacing w:after="0"/>
              <w:rPr>
                <w:sz w:val="20"/>
                <w:szCs w:val="20"/>
                <w:color w:val="auto"/>
              </w:rPr>
            </w:pPr>
            <w:r>
              <w:rPr>
                <w:rFonts w:ascii="Arial" w:cs="Arial" w:eastAsia="Arial" w:hAnsi="Arial"/>
                <w:sz w:val="18"/>
                <w:szCs w:val="18"/>
                <w:color w:val="auto"/>
              </w:rPr>
              <w:t>NAVIENT PRIVATE EDUCATION LOAN TRUST 2018-B</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SYNMN181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Credit Card Master Note Trust Series 2018-1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6"/>
              </w:rPr>
              <w:t>SYNMN182</w:t>
            </w:r>
          </w:p>
        </w:tc>
        <w:tc>
          <w:tcPr>
            <w:tcW w:w="9800" w:type="dxa"/>
            <w:vAlign w:val="bottom"/>
          </w:tcPr>
          <w:p>
            <w:pPr>
              <w:ind w:left="100"/>
              <w:spacing w:after="0"/>
              <w:rPr>
                <w:sz w:val="20"/>
                <w:szCs w:val="20"/>
                <w:color w:val="auto"/>
              </w:rPr>
            </w:pPr>
            <w:r>
              <w:rPr>
                <w:rFonts w:ascii="Arial" w:cs="Arial" w:eastAsia="Arial" w:hAnsi="Arial"/>
                <w:sz w:val="18"/>
                <w:szCs w:val="18"/>
                <w:color w:val="auto"/>
              </w:rPr>
              <w:t>Synchrony Credit Card Master Note Trust Series 2018-2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SYNMNT162</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CREDIT CARD MASTER NOTE TRUST 2016-2</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SYNSFT15A</w:t>
            </w:r>
          </w:p>
        </w:tc>
        <w:tc>
          <w:tcPr>
            <w:tcW w:w="9800" w:type="dxa"/>
            <w:vAlign w:val="bottom"/>
          </w:tcPr>
          <w:p>
            <w:pPr>
              <w:ind w:left="100"/>
              <w:spacing w:after="0"/>
              <w:rPr>
                <w:sz w:val="20"/>
                <w:szCs w:val="20"/>
                <w:color w:val="auto"/>
              </w:rPr>
            </w:pPr>
            <w:r>
              <w:rPr>
                <w:rFonts w:ascii="Arial" w:cs="Arial" w:eastAsia="Arial" w:hAnsi="Arial"/>
                <w:sz w:val="18"/>
                <w:szCs w:val="18"/>
                <w:color w:val="auto"/>
              </w:rPr>
              <w:t>Synchrony Sales Finance Master Trust 2015-A</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SYNSFT16B</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Sales Finance Master Trust 2016-B</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7"/>
              </w:rPr>
              <w:t>TAOT16A</w:t>
            </w:r>
          </w:p>
        </w:tc>
        <w:tc>
          <w:tcPr>
            <w:tcW w:w="9800" w:type="dxa"/>
            <w:vAlign w:val="bottom"/>
          </w:tcPr>
          <w:p>
            <w:pPr>
              <w:ind w:left="100"/>
              <w:spacing w:after="0"/>
              <w:rPr>
                <w:sz w:val="20"/>
                <w:szCs w:val="20"/>
                <w:color w:val="auto"/>
              </w:rPr>
            </w:pPr>
            <w:r>
              <w:rPr>
                <w:rFonts w:ascii="Arial" w:cs="Arial" w:eastAsia="Arial" w:hAnsi="Arial"/>
                <w:sz w:val="18"/>
                <w:szCs w:val="18"/>
                <w:color w:val="auto"/>
              </w:rPr>
              <w:t>Toyota Auto Receivables 2016-A Owner Trust</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TAOT16C</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Toyota Auto Receivables 2016-C Owner Trust</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6"/>
              </w:rPr>
              <w:t>VALET182</w:t>
            </w:r>
          </w:p>
        </w:tc>
        <w:tc>
          <w:tcPr>
            <w:tcW w:w="9800" w:type="dxa"/>
            <w:vAlign w:val="bottom"/>
          </w:tcPr>
          <w:p>
            <w:pPr>
              <w:ind w:left="100"/>
              <w:spacing w:after="0"/>
              <w:rPr>
                <w:sz w:val="20"/>
                <w:szCs w:val="20"/>
                <w:color w:val="auto"/>
              </w:rPr>
            </w:pPr>
            <w:r>
              <w:rPr>
                <w:rFonts w:ascii="Arial" w:cs="Arial" w:eastAsia="Arial" w:hAnsi="Arial"/>
                <w:sz w:val="18"/>
                <w:szCs w:val="18"/>
                <w:color w:val="auto"/>
              </w:rPr>
              <w:t>Volkswagen Auto Loan Enhanced Trust 2018-2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CNH16B</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CNH Equipment Trust 2016-B</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8"/>
              </w:rPr>
              <w:t>SYNMNT154</w:t>
            </w:r>
          </w:p>
        </w:tc>
        <w:tc>
          <w:tcPr>
            <w:tcW w:w="9800" w:type="dxa"/>
            <w:vAlign w:val="bottom"/>
          </w:tcPr>
          <w:p>
            <w:pPr>
              <w:ind w:left="100"/>
              <w:spacing w:after="0"/>
              <w:rPr>
                <w:sz w:val="20"/>
                <w:szCs w:val="20"/>
                <w:color w:val="auto"/>
              </w:rPr>
            </w:pPr>
            <w:r>
              <w:rPr>
                <w:rFonts w:ascii="Arial" w:cs="Arial" w:eastAsia="Arial" w:hAnsi="Arial"/>
                <w:sz w:val="18"/>
                <w:szCs w:val="18"/>
                <w:color w:val="auto"/>
              </w:rPr>
              <w:t>SYNCHRONY CREDIT CARD MASTER NOTE TRUST 2015-4</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BW171T</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Bank of the West Auto Trust 2017-1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7"/>
              </w:rPr>
              <w:t>BW191T</w:t>
            </w:r>
          </w:p>
        </w:tc>
        <w:tc>
          <w:tcPr>
            <w:tcW w:w="9800" w:type="dxa"/>
            <w:vAlign w:val="bottom"/>
          </w:tcPr>
          <w:p>
            <w:pPr>
              <w:ind w:left="100"/>
              <w:spacing w:after="0"/>
              <w:rPr>
                <w:sz w:val="20"/>
                <w:szCs w:val="20"/>
                <w:color w:val="auto"/>
              </w:rPr>
            </w:pPr>
            <w:r>
              <w:rPr>
                <w:rFonts w:ascii="Arial" w:cs="Arial" w:eastAsia="Arial" w:hAnsi="Arial"/>
                <w:sz w:val="18"/>
                <w:szCs w:val="18"/>
                <w:color w:val="auto"/>
              </w:rPr>
              <w:t>Bank of the West Auto Trust 2019-1</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CCC7A3</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2007-A3</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CCC7A4</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2007-A4</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CCIT13A9</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2013-A9</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CCIT16A2</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2016-A2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CCIT16A3</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2016-A3</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CCIT17A3</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2017-A3</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CCIT17A4</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2017-A4</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CCIT17A5</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2017-A5</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CCIT17A6</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2017-A6</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CCIT17A7</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2017 A7</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CCIT17A8</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2017 A8</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CCIT18A1</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2018 A1</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CCIT18A2</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2018 A2</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CCIT18A3</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Issuance Trust 2018 A3</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CCIT18A4</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Trust Issuance Trust 2018 A4</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CCIT18A5</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Issuance Trust 2018 A5</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CCIT18A6</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2018 A6</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CCIT18A7</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Issuance Trust 2018 A7</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CCIT18B1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Trust Issuance Trust 2018 B1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CCIT18B2</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Issuance Trust 2018 B2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CCIT18C1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Trust Issuance Trust 2018 C1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4"/>
              </w:rPr>
              <w:t>CCIT18C2</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Insuance Trust 2018 C2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CCIT19B1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Trust Issuance Trust 2019 B1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4"/>
              </w:rPr>
              <w:t>CCIT19C1</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Trust Issuance Trust 2019 C1</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CCIT20B1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2020-B1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5"/>
              </w:rPr>
              <w:t>CCIT20B2</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2020-B2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CCIT20C1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2020-C1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4"/>
              </w:rPr>
              <w:t>CCIT20C2</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2020-C2</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CCIT4A1</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Citibank Credit Card Issuance Trust 2014-A1</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color w:val="auto"/>
                <w:w w:val="97"/>
              </w:rPr>
              <w:t>CCIT4A5</w:t>
            </w:r>
          </w:p>
        </w:tc>
        <w:tc>
          <w:tcPr>
            <w:tcW w:w="9800" w:type="dxa"/>
            <w:vAlign w:val="bottom"/>
          </w:tcPr>
          <w:p>
            <w:pPr>
              <w:ind w:left="100"/>
              <w:spacing w:after="0"/>
              <w:rPr>
                <w:sz w:val="20"/>
                <w:szCs w:val="20"/>
                <w:color w:val="auto"/>
              </w:rPr>
            </w:pPr>
            <w:r>
              <w:rPr>
                <w:rFonts w:ascii="Arial" w:cs="Arial" w:eastAsia="Arial" w:hAnsi="Arial"/>
                <w:sz w:val="18"/>
                <w:szCs w:val="18"/>
                <w:color w:val="auto"/>
              </w:rPr>
              <w:t>Citibank Credit Card Issuance Trust 2014-A5</w:t>
            </w:r>
          </w:p>
        </w:tc>
      </w:tr>
      <w:tr>
        <w:trPr>
          <w:trHeight w:val="216"/>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CFS07A</w:t>
            </w:r>
          </w:p>
        </w:tc>
        <w:tc>
          <w:tcPr>
            <w:tcW w:w="9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Chase Education Loan Trust 2007-A</w:t>
            </w: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3"/>
              </w:rPr>
              <w:t>CLC061</w:t>
            </w:r>
          </w:p>
        </w:tc>
        <w:tc>
          <w:tcPr>
            <w:tcW w:w="9800" w:type="dxa"/>
            <w:vAlign w:val="bottom"/>
          </w:tcPr>
          <w:p>
            <w:pPr>
              <w:ind w:left="100"/>
              <w:spacing w:after="0"/>
              <w:rPr>
                <w:sz w:val="20"/>
                <w:szCs w:val="20"/>
                <w:color w:val="auto"/>
              </w:rPr>
            </w:pPr>
            <w:r>
              <w:rPr>
                <w:rFonts w:ascii="Arial" w:cs="Arial" w:eastAsia="Arial" w:hAnsi="Arial"/>
                <w:sz w:val="18"/>
                <w:szCs w:val="18"/>
                <w:color w:val="auto"/>
              </w:rPr>
              <w:t>College Loan Corporation Trust I Series 2006-1</w:t>
            </w:r>
          </w:p>
        </w:tc>
      </w:tr>
    </w:tbl>
    <w:p>
      <w:pPr>
        <w:sectPr>
          <w:pgSz w:w="11900" w:h="16838" w:orient="portrait"/>
          <w:cols w:equalWidth="0" w:num="1">
            <w:col w:w="11020"/>
          </w:cols>
          <w:pgMar w:left="440" w:top="288"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CLC071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College Loan Corp Trust II Series 2007-1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3"/>
              </w:rPr>
              <w:t>CLC072</w:t>
            </w:r>
          </w:p>
        </w:tc>
        <w:tc>
          <w:tcPr>
            <w:tcW w:w="10000" w:type="dxa"/>
            <w:vAlign w:val="bottom"/>
          </w:tcPr>
          <w:p>
            <w:pPr>
              <w:ind w:left="80"/>
              <w:spacing w:after="0"/>
              <w:rPr>
                <w:sz w:val="20"/>
                <w:szCs w:val="20"/>
                <w:color w:val="auto"/>
              </w:rPr>
            </w:pPr>
            <w:r>
              <w:rPr>
                <w:rFonts w:ascii="Arial" w:cs="Arial" w:eastAsia="Arial" w:hAnsi="Arial"/>
                <w:sz w:val="18"/>
                <w:szCs w:val="18"/>
                <w:color w:val="auto"/>
              </w:rPr>
              <w:t>COLLEGE LOAN TRUST I 2007-2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CNH17B</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CNH Equipment Trust 2017-B</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CPE081</w:t>
            </w:r>
          </w:p>
        </w:tc>
        <w:tc>
          <w:tcPr>
            <w:tcW w:w="10000" w:type="dxa"/>
            <w:vAlign w:val="bottom"/>
          </w:tcPr>
          <w:p>
            <w:pPr>
              <w:ind w:left="80"/>
              <w:spacing w:after="0"/>
              <w:rPr>
                <w:sz w:val="20"/>
                <w:szCs w:val="20"/>
                <w:color w:val="auto"/>
              </w:rPr>
            </w:pPr>
            <w:r>
              <w:rPr>
                <w:rFonts w:ascii="Arial" w:cs="Arial" w:eastAsia="Arial" w:hAnsi="Arial"/>
                <w:sz w:val="18"/>
                <w:szCs w:val="18"/>
                <w:color w:val="auto"/>
              </w:rPr>
              <w:t>CenterPoint Transition Bonds Co III, LLC Series 2008-1</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CPERB9</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CenterPoint Energy Restoration Bond Company, LLC</w:t>
            </w:r>
          </w:p>
        </w:tc>
      </w:tr>
      <w:tr>
        <w:trPr>
          <w:trHeight w:val="216"/>
        </w:trPr>
        <w:tc>
          <w:tcPr>
            <w:tcW w:w="1020" w:type="dxa"/>
            <w:vAlign w:val="bottom"/>
          </w:tcPr>
          <w:p>
            <w:pPr>
              <w:ind w:left="160"/>
              <w:spacing w:after="0"/>
              <w:rPr>
                <w:sz w:val="20"/>
                <w:szCs w:val="20"/>
                <w:color w:val="auto"/>
              </w:rPr>
            </w:pPr>
            <w:r>
              <w:rPr>
                <w:rFonts w:ascii="Arial" w:cs="Arial" w:eastAsia="Arial" w:hAnsi="Arial"/>
                <w:sz w:val="18"/>
                <w:szCs w:val="18"/>
                <w:color w:val="auto"/>
              </w:rPr>
              <w:t>CTBCIV</w:t>
            </w:r>
          </w:p>
        </w:tc>
        <w:tc>
          <w:tcPr>
            <w:tcW w:w="10000" w:type="dxa"/>
            <w:vAlign w:val="bottom"/>
          </w:tcPr>
          <w:p>
            <w:pPr>
              <w:ind w:left="80"/>
              <w:spacing w:after="0"/>
              <w:rPr>
                <w:sz w:val="20"/>
                <w:szCs w:val="20"/>
                <w:color w:val="auto"/>
              </w:rPr>
            </w:pPr>
            <w:r>
              <w:rPr>
                <w:rFonts w:ascii="Arial" w:cs="Arial" w:eastAsia="Arial" w:hAnsi="Arial"/>
                <w:sz w:val="18"/>
                <w:szCs w:val="18"/>
                <w:color w:val="auto"/>
              </w:rPr>
              <w:t>CenterPoint Energy Transition Bond Company IV, LLC</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DRIVE15D</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Drive Auto Receivables Trust 2015-D</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89"/>
              </w:rPr>
              <w:t>GEF152</w:t>
            </w:r>
          </w:p>
        </w:tc>
        <w:tc>
          <w:tcPr>
            <w:tcW w:w="10000" w:type="dxa"/>
            <w:vAlign w:val="bottom"/>
          </w:tcPr>
          <w:p>
            <w:pPr>
              <w:ind w:left="80"/>
              <w:spacing w:after="0"/>
              <w:rPr>
                <w:sz w:val="20"/>
                <w:szCs w:val="20"/>
                <w:color w:val="auto"/>
              </w:rPr>
            </w:pPr>
            <w:r>
              <w:rPr>
                <w:rFonts w:ascii="Arial" w:cs="Arial" w:eastAsia="Arial" w:hAnsi="Arial"/>
                <w:sz w:val="18"/>
                <w:szCs w:val="18"/>
                <w:color w:val="auto"/>
              </w:rPr>
              <w:t>WELLS FARGO Dealer Floorplan Master Note Trust Series 2015-2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GEF201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 Dealer Floorplan Master Note Trust Series 2020-VFN-1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5"/>
              </w:rPr>
              <w:t>GEMN143</w:t>
            </w:r>
          </w:p>
        </w:tc>
        <w:tc>
          <w:tcPr>
            <w:tcW w:w="10000" w:type="dxa"/>
            <w:vAlign w:val="bottom"/>
          </w:tcPr>
          <w:p>
            <w:pPr>
              <w:ind w:left="80"/>
              <w:spacing w:after="0"/>
              <w:rPr>
                <w:sz w:val="20"/>
                <w:szCs w:val="20"/>
                <w:color w:val="auto"/>
              </w:rPr>
            </w:pPr>
            <w:r>
              <w:rPr>
                <w:rFonts w:ascii="Arial" w:cs="Arial" w:eastAsia="Arial" w:hAnsi="Arial"/>
                <w:sz w:val="18"/>
                <w:szCs w:val="18"/>
                <w:color w:val="auto"/>
              </w:rPr>
              <w:t>SYNCHRONY CREDIT CARD MASTER NOTE TRUST 2014-VFN3</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GEMN144</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SYNCHRONY CREDIT CARD MASTER NOTE TRUST 2014-VFN4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5"/>
              </w:rPr>
              <w:t>GEMN145</w:t>
            </w:r>
          </w:p>
        </w:tc>
        <w:tc>
          <w:tcPr>
            <w:tcW w:w="10000" w:type="dxa"/>
            <w:vAlign w:val="bottom"/>
          </w:tcPr>
          <w:p>
            <w:pPr>
              <w:ind w:left="80"/>
              <w:spacing w:after="0"/>
              <w:rPr>
                <w:sz w:val="20"/>
                <w:szCs w:val="20"/>
                <w:color w:val="auto"/>
              </w:rPr>
            </w:pPr>
            <w:r>
              <w:rPr>
                <w:rFonts w:ascii="Arial" w:cs="Arial" w:eastAsia="Arial" w:hAnsi="Arial"/>
                <w:sz w:val="18"/>
                <w:szCs w:val="18"/>
                <w:color w:val="auto"/>
              </w:rPr>
              <w:t>SYNCHRONY CREDIT CARD MASTER NOTE TRUST 2014-VFN5</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GES12A</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Synchrony Sales Finance Master Trust 2012-A</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1"/>
              </w:rPr>
              <w:t>GES12B</w:t>
            </w:r>
          </w:p>
        </w:tc>
        <w:tc>
          <w:tcPr>
            <w:tcW w:w="10000" w:type="dxa"/>
            <w:vAlign w:val="bottom"/>
          </w:tcPr>
          <w:p>
            <w:pPr>
              <w:ind w:left="80"/>
              <w:spacing w:after="0"/>
              <w:rPr>
                <w:sz w:val="20"/>
                <w:szCs w:val="20"/>
                <w:color w:val="auto"/>
              </w:rPr>
            </w:pPr>
            <w:r>
              <w:rPr>
                <w:rFonts w:ascii="Arial" w:cs="Arial" w:eastAsia="Arial" w:hAnsi="Arial"/>
                <w:sz w:val="18"/>
                <w:szCs w:val="18"/>
                <w:color w:val="auto"/>
              </w:rPr>
              <w:t>Synchrony Sales Finance Master Trust 2012-B</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GES12C</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Synchrony Sales Finance Master Trust 2012-C</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0"/>
              </w:rPr>
              <w:t>GES12D</w:t>
            </w:r>
          </w:p>
        </w:tc>
        <w:tc>
          <w:tcPr>
            <w:tcW w:w="10000" w:type="dxa"/>
            <w:vAlign w:val="bottom"/>
          </w:tcPr>
          <w:p>
            <w:pPr>
              <w:ind w:left="80"/>
              <w:spacing w:after="0"/>
              <w:rPr>
                <w:sz w:val="20"/>
                <w:szCs w:val="20"/>
                <w:color w:val="auto"/>
              </w:rPr>
            </w:pPr>
            <w:r>
              <w:rPr>
                <w:rFonts w:ascii="Arial" w:cs="Arial" w:eastAsia="Arial" w:hAnsi="Arial"/>
                <w:sz w:val="18"/>
                <w:szCs w:val="18"/>
                <w:color w:val="auto"/>
              </w:rPr>
              <w:t>Synchrony Sales Finance Master Trust 2012-D</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GESFM14C</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Synchrony Sales Finance Master Trust 2014-C</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4"/>
              </w:rPr>
              <w:t>GM15CT04</w:t>
            </w:r>
          </w:p>
        </w:tc>
        <w:tc>
          <w:tcPr>
            <w:tcW w:w="10000" w:type="dxa"/>
            <w:vAlign w:val="bottom"/>
          </w:tcPr>
          <w:p>
            <w:pPr>
              <w:ind w:left="80"/>
              <w:spacing w:after="0"/>
              <w:rPr>
                <w:sz w:val="20"/>
                <w:szCs w:val="20"/>
                <w:color w:val="auto"/>
              </w:rPr>
            </w:pPr>
            <w:r>
              <w:rPr>
                <w:rFonts w:ascii="Arial" w:cs="Arial" w:eastAsia="Arial" w:hAnsi="Arial"/>
                <w:sz w:val="18"/>
                <w:szCs w:val="18"/>
                <w:color w:val="auto"/>
              </w:rPr>
              <w:t>Capital Auto Receivables Asset Trust 2015-4</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GM1603</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Ally Auto Receivables Trust 2016-3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4"/>
              </w:rPr>
              <w:t>GM16CT03</w:t>
            </w:r>
          </w:p>
        </w:tc>
        <w:tc>
          <w:tcPr>
            <w:tcW w:w="10000" w:type="dxa"/>
            <w:vAlign w:val="bottom"/>
          </w:tcPr>
          <w:p>
            <w:pPr>
              <w:ind w:left="80"/>
              <w:spacing w:after="0"/>
              <w:rPr>
                <w:sz w:val="20"/>
                <w:szCs w:val="20"/>
                <w:color w:val="auto"/>
              </w:rPr>
            </w:pPr>
            <w:r>
              <w:rPr>
                <w:rFonts w:ascii="Arial" w:cs="Arial" w:eastAsia="Arial" w:hAnsi="Arial"/>
                <w:sz w:val="18"/>
                <w:szCs w:val="18"/>
                <w:color w:val="auto"/>
              </w:rPr>
              <w:t>CAPITAL AUTO RECEIVABLES ASSET TRUST 2016-3</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GM1701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Ally Auto Receivables Trust 2017-1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GM1702</w:t>
            </w:r>
          </w:p>
        </w:tc>
        <w:tc>
          <w:tcPr>
            <w:tcW w:w="10000" w:type="dxa"/>
            <w:vAlign w:val="bottom"/>
          </w:tcPr>
          <w:p>
            <w:pPr>
              <w:ind w:left="80"/>
              <w:spacing w:after="0"/>
              <w:rPr>
                <w:sz w:val="20"/>
                <w:szCs w:val="20"/>
                <w:color w:val="auto"/>
              </w:rPr>
            </w:pPr>
            <w:r>
              <w:rPr>
                <w:rFonts w:ascii="Arial" w:cs="Arial" w:eastAsia="Arial" w:hAnsi="Arial"/>
                <w:sz w:val="18"/>
                <w:szCs w:val="18"/>
                <w:color w:val="auto"/>
              </w:rPr>
              <w:t>Ally Auto Receivables Trust 2017-2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GM1704</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Ally Auto Receivables Trust 2017-4</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GM1705</w:t>
            </w:r>
          </w:p>
        </w:tc>
        <w:tc>
          <w:tcPr>
            <w:tcW w:w="10000" w:type="dxa"/>
            <w:vAlign w:val="bottom"/>
          </w:tcPr>
          <w:p>
            <w:pPr>
              <w:ind w:left="80"/>
              <w:spacing w:after="0"/>
              <w:rPr>
                <w:sz w:val="20"/>
                <w:szCs w:val="20"/>
                <w:color w:val="auto"/>
              </w:rPr>
            </w:pPr>
            <w:r>
              <w:rPr>
                <w:rFonts w:ascii="Arial" w:cs="Arial" w:eastAsia="Arial" w:hAnsi="Arial"/>
                <w:sz w:val="18"/>
                <w:szCs w:val="18"/>
                <w:color w:val="auto"/>
              </w:rPr>
              <w:t>Ally Auto Receivables Trust 2017-5</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GM17CT01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AUTO RECEIVABLES ASSET TRUST 2017-1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GM1801</w:t>
            </w:r>
          </w:p>
        </w:tc>
        <w:tc>
          <w:tcPr>
            <w:tcW w:w="10000" w:type="dxa"/>
            <w:vAlign w:val="bottom"/>
          </w:tcPr>
          <w:p>
            <w:pPr>
              <w:ind w:left="80"/>
              <w:spacing w:after="0"/>
              <w:rPr>
                <w:sz w:val="20"/>
                <w:szCs w:val="20"/>
                <w:color w:val="auto"/>
              </w:rPr>
            </w:pPr>
            <w:r>
              <w:rPr>
                <w:rFonts w:ascii="Arial" w:cs="Arial" w:eastAsia="Arial" w:hAnsi="Arial"/>
                <w:sz w:val="18"/>
                <w:szCs w:val="18"/>
                <w:color w:val="auto"/>
              </w:rPr>
              <w:t>ALLY AUTO RECEIVABLES TRUST 2018-1</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GM18CT01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 AUTO RECEIVABLES ASSET TRUST 2018-1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4"/>
              </w:rPr>
              <w:t>GM18CT02</w:t>
            </w:r>
          </w:p>
        </w:tc>
        <w:tc>
          <w:tcPr>
            <w:tcW w:w="10000" w:type="dxa"/>
            <w:vAlign w:val="bottom"/>
          </w:tcPr>
          <w:p>
            <w:pPr>
              <w:ind w:left="80"/>
              <w:spacing w:after="0"/>
              <w:rPr>
                <w:sz w:val="20"/>
                <w:szCs w:val="20"/>
                <w:color w:val="auto"/>
              </w:rPr>
            </w:pPr>
            <w:r>
              <w:rPr>
                <w:rFonts w:ascii="Arial" w:cs="Arial" w:eastAsia="Arial" w:hAnsi="Arial"/>
                <w:sz w:val="18"/>
                <w:szCs w:val="18"/>
                <w:color w:val="auto"/>
              </w:rPr>
              <w:t>CAPITAL AUTO RECEIVABLES ASSET TRUST 2018-2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GM1901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ALLY AUTO RECEIVABLES TRUST 2019-1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GM1902</w:t>
            </w:r>
          </w:p>
        </w:tc>
        <w:tc>
          <w:tcPr>
            <w:tcW w:w="10000" w:type="dxa"/>
            <w:vAlign w:val="bottom"/>
          </w:tcPr>
          <w:p>
            <w:pPr>
              <w:ind w:left="80"/>
              <w:spacing w:after="0"/>
              <w:rPr>
                <w:sz w:val="20"/>
                <w:szCs w:val="20"/>
                <w:color w:val="auto"/>
              </w:rPr>
            </w:pPr>
            <w:r>
              <w:rPr>
                <w:rFonts w:ascii="Arial" w:cs="Arial" w:eastAsia="Arial" w:hAnsi="Arial"/>
                <w:sz w:val="18"/>
                <w:szCs w:val="18"/>
                <w:color w:val="auto"/>
              </w:rPr>
              <w:t>ALLY AUTO RECEIVABLES TRUST 2019-2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GM1903</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ALLY AUTO RECEIVABLES TRUST 2019-3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2"/>
              </w:rPr>
              <w:t>GM1904</w:t>
            </w:r>
          </w:p>
        </w:tc>
        <w:tc>
          <w:tcPr>
            <w:tcW w:w="10000" w:type="dxa"/>
            <w:vAlign w:val="bottom"/>
          </w:tcPr>
          <w:p>
            <w:pPr>
              <w:ind w:left="80"/>
              <w:spacing w:after="0"/>
              <w:rPr>
                <w:sz w:val="20"/>
                <w:szCs w:val="20"/>
                <w:color w:val="auto"/>
              </w:rPr>
            </w:pPr>
            <w:r>
              <w:rPr>
                <w:rFonts w:ascii="Arial" w:cs="Arial" w:eastAsia="Arial" w:hAnsi="Arial"/>
                <w:sz w:val="18"/>
                <w:szCs w:val="18"/>
                <w:color w:val="auto"/>
              </w:rPr>
              <w:t>ALLY AUTO RECEIVABLES TRUST 2019-4</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GMI110</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Juniper Receivables 2019-1 DAC</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3"/>
              </w:rPr>
              <w:t>GMI110191</w:t>
            </w:r>
          </w:p>
        </w:tc>
        <w:tc>
          <w:tcPr>
            <w:tcW w:w="10000" w:type="dxa"/>
            <w:vAlign w:val="bottom"/>
          </w:tcPr>
          <w:p>
            <w:pPr>
              <w:ind w:left="80"/>
              <w:spacing w:after="0"/>
              <w:rPr>
                <w:sz w:val="20"/>
                <w:szCs w:val="20"/>
                <w:color w:val="auto"/>
              </w:rPr>
            </w:pPr>
            <w:r>
              <w:rPr>
                <w:rFonts w:ascii="Arial" w:cs="Arial" w:eastAsia="Arial" w:hAnsi="Arial"/>
                <w:sz w:val="18"/>
                <w:szCs w:val="18"/>
                <w:color w:val="auto"/>
              </w:rPr>
              <w:t>Juniper Receivables 2019-1 DAC</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GMI110192</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Juniper Receivables 2019-2 DAC</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3"/>
              </w:rPr>
              <w:t>GMI110201</w:t>
            </w:r>
          </w:p>
        </w:tc>
        <w:tc>
          <w:tcPr>
            <w:tcW w:w="10000" w:type="dxa"/>
            <w:vAlign w:val="bottom"/>
          </w:tcPr>
          <w:p>
            <w:pPr>
              <w:ind w:left="80"/>
              <w:spacing w:after="0"/>
              <w:rPr>
                <w:sz w:val="20"/>
                <w:szCs w:val="20"/>
                <w:color w:val="auto"/>
              </w:rPr>
            </w:pPr>
            <w:r>
              <w:rPr>
                <w:rFonts w:ascii="Arial" w:cs="Arial" w:eastAsia="Arial" w:hAnsi="Arial"/>
                <w:sz w:val="18"/>
                <w:szCs w:val="18"/>
                <w:color w:val="auto"/>
              </w:rPr>
              <w:t>Juniper Receivables 2020-1 DAC</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KSL06A</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Keycorp Student Loan Trust 2006-A</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MAE041</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2004-1</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MAE061</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SLM Student Loan Trust 2006-1</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MAE062</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2006-2</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MAE063</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SLM Student Loan Trust 2006-3</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MAE064</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2006-4</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MAE065</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SLM Student Loan Trust 2006-5</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MAE066</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2006-6</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MAE067</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SLM Student Loan Trust 2006-7</w:t>
            </w: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MAE068</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2006-8</w:t>
            </w:r>
          </w:p>
        </w:tc>
      </w:tr>
      <w:tr>
        <w:trPr>
          <w:trHeight w:val="216"/>
        </w:trPr>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MAE069</w:t>
            </w:r>
          </w:p>
        </w:tc>
        <w:tc>
          <w:tcPr>
            <w:tcW w:w="10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SLM Student Loan Trust 2006-9</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8"/>
              </w:rPr>
              <w:t>MAE071</w:t>
            </w:r>
          </w:p>
        </w:tc>
        <w:tc>
          <w:tcPr>
            <w:tcW w:w="10000" w:type="dxa"/>
            <w:vAlign w:val="bottom"/>
          </w:tcPr>
          <w:p>
            <w:pPr>
              <w:ind w:left="80"/>
              <w:spacing w:after="0"/>
              <w:rPr>
                <w:sz w:val="20"/>
                <w:szCs w:val="20"/>
                <w:color w:val="auto"/>
              </w:rPr>
            </w:pPr>
            <w:r>
              <w:rPr>
                <w:rFonts w:ascii="Arial" w:cs="Arial" w:eastAsia="Arial" w:hAnsi="Arial"/>
                <w:sz w:val="18"/>
                <w:szCs w:val="18"/>
                <w:color w:val="auto"/>
              </w:rPr>
              <w:t>SLM Student Loan Trust 2007-1</w:t>
            </w:r>
          </w:p>
        </w:tc>
      </w:tr>
    </w:tbl>
    <w:p>
      <w:pPr>
        <w:sectPr>
          <w:pgSz w:w="11900" w:h="16838" w:orient="portrait"/>
          <w:cols w:equalWidth="0" w:num="1">
            <w:col w:w="11020"/>
          </w:cols>
          <w:pgMar w:left="440" w:top="288" w:right="4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MAE072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2007-2</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MAE073</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2007-3</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MAE074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2007-4</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MAE075</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2007-5</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MAE076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2007-6</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MAE077</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2007-7</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MAE078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2007-8</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MAE081</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2008-1</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MAE082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2008-2</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MAE083</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2008-3</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MAE084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2008-4</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MAE085</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2008-5</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MAE086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2008-6</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MAE087</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2008-7</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MAE088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2008-8</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MAE089</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2008-9</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MAE101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2010-1</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MAE102</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2010-2</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MAE111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2011-1</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5"/>
              </w:rPr>
              <w:t>MAE112</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2011-2</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MAE113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2011-3</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MAE121</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2012-1</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MAE122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2012-2</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MAE123</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2012-3</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MAE124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2012-4</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MAE125</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2012-5</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MAE126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2012-6</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MAE127</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2012-7</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MAE128</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2012-8</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MAE131</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2013-1</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MAE132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2013-2</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MAE133</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2013-3</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MAE134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2013-4</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MAE135</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2013-5</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MAE136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2013-6</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MAE142</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2014-2</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MAE610</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2006-10</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8"/>
              </w:rPr>
              <w:t>MAE901</w:t>
            </w:r>
          </w:p>
        </w:tc>
        <w:tc>
          <w:tcPr>
            <w:tcW w:w="10020" w:type="dxa"/>
            <w:vAlign w:val="bottom"/>
          </w:tcPr>
          <w:p>
            <w:pPr>
              <w:ind w:left="100"/>
              <w:spacing w:after="0"/>
              <w:rPr>
                <w:sz w:val="20"/>
                <w:szCs w:val="20"/>
                <w:color w:val="auto"/>
              </w:rPr>
            </w:pPr>
            <w:r>
              <w:rPr>
                <w:rFonts w:ascii="Arial" w:cs="Arial" w:eastAsia="Arial" w:hAnsi="Arial"/>
                <w:sz w:val="18"/>
                <w:szCs w:val="18"/>
                <w:color w:val="auto"/>
              </w:rPr>
              <w:t>SLM Student Loan Trust 2009-1</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MAE902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SLM Student Loan Trust 2009-2</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rPr>
              <w:t>MAEB14A</w:t>
            </w:r>
          </w:p>
        </w:tc>
        <w:tc>
          <w:tcPr>
            <w:tcW w:w="10020" w:type="dxa"/>
            <w:vAlign w:val="bottom"/>
          </w:tcPr>
          <w:p>
            <w:pPr>
              <w:ind w:left="100"/>
              <w:spacing w:after="0"/>
              <w:rPr>
                <w:sz w:val="20"/>
                <w:szCs w:val="20"/>
                <w:color w:val="auto"/>
              </w:rPr>
            </w:pPr>
            <w:r>
              <w:rPr>
                <w:rFonts w:ascii="Arial" w:cs="Arial" w:eastAsia="Arial" w:hAnsi="Arial"/>
                <w:sz w:val="18"/>
                <w:szCs w:val="18"/>
                <w:color w:val="auto"/>
              </w:rPr>
              <w:t>SMB Private Education Loan Trust 2014-A</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MAEB15A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SMB Private Education Loan Trust 2015-A</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7"/>
              </w:rPr>
              <w:t>MAEB15C</w:t>
            </w:r>
          </w:p>
        </w:tc>
        <w:tc>
          <w:tcPr>
            <w:tcW w:w="10020" w:type="dxa"/>
            <w:vAlign w:val="bottom"/>
          </w:tcPr>
          <w:p>
            <w:pPr>
              <w:ind w:left="100"/>
              <w:spacing w:after="0"/>
              <w:rPr>
                <w:sz w:val="20"/>
                <w:szCs w:val="20"/>
                <w:color w:val="auto"/>
              </w:rPr>
            </w:pPr>
            <w:r>
              <w:rPr>
                <w:rFonts w:ascii="Arial" w:cs="Arial" w:eastAsia="Arial" w:hAnsi="Arial"/>
                <w:sz w:val="18"/>
                <w:szCs w:val="18"/>
                <w:color w:val="auto"/>
              </w:rPr>
              <w:t>SMB Private Education Loan Trust 2015-C</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MAEB16A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SMB Private Education Loan Trust 2016-A</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97"/>
              </w:rPr>
              <w:t>MAEB16C</w:t>
            </w:r>
          </w:p>
        </w:tc>
        <w:tc>
          <w:tcPr>
            <w:tcW w:w="10020" w:type="dxa"/>
            <w:vAlign w:val="bottom"/>
          </w:tcPr>
          <w:p>
            <w:pPr>
              <w:ind w:left="100"/>
              <w:spacing w:after="0"/>
              <w:rPr>
                <w:sz w:val="20"/>
                <w:szCs w:val="20"/>
                <w:color w:val="auto"/>
              </w:rPr>
            </w:pPr>
            <w:r>
              <w:rPr>
                <w:rFonts w:ascii="Arial" w:cs="Arial" w:eastAsia="Arial" w:hAnsi="Arial"/>
                <w:sz w:val="18"/>
                <w:szCs w:val="18"/>
                <w:color w:val="auto"/>
              </w:rPr>
              <w:t>SMB Private Education Loan Trust 2016-C</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MAEB17B</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SMB PRIVATE EDUCATION LOAN 2017-B</w:t>
            </w: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rPr>
              <w:t>MAEB19A</w:t>
            </w:r>
          </w:p>
        </w:tc>
        <w:tc>
          <w:tcPr>
            <w:tcW w:w="10020" w:type="dxa"/>
            <w:vAlign w:val="bottom"/>
          </w:tcPr>
          <w:p>
            <w:pPr>
              <w:ind w:left="100"/>
              <w:spacing w:after="0"/>
              <w:rPr>
                <w:sz w:val="20"/>
                <w:szCs w:val="20"/>
                <w:color w:val="auto"/>
              </w:rPr>
            </w:pPr>
            <w:r>
              <w:rPr>
                <w:rFonts w:ascii="Arial" w:cs="Arial" w:eastAsia="Arial" w:hAnsi="Arial"/>
                <w:sz w:val="18"/>
                <w:szCs w:val="18"/>
                <w:color w:val="auto"/>
              </w:rPr>
              <w:t>SMB PRIVATE EDUCATION LOAN TRUST 2019-A</w:t>
            </w:r>
          </w:p>
        </w:tc>
      </w:tr>
      <w:tr>
        <w:trPr>
          <w:trHeight w:val="216"/>
        </w:trPr>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MAEB19B</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SMB PRIVATE EDUCATION LOAN TRUST 2019-B</w:t>
            </w:r>
          </w:p>
        </w:tc>
      </w:tr>
      <w:tr>
        <w:trPr>
          <w:trHeight w:val="230"/>
        </w:trPr>
        <w:tc>
          <w:tcPr>
            <w:tcW w:w="1000" w:type="dxa"/>
            <w:vAlign w:val="bottom"/>
          </w:tcPr>
          <w:p>
            <w:pPr>
              <w:jc w:val="center"/>
              <w:spacing w:after="0"/>
              <w:rPr>
                <w:sz w:val="20"/>
                <w:szCs w:val="20"/>
                <w:color w:val="auto"/>
              </w:rPr>
            </w:pPr>
            <w:r>
              <w:rPr>
                <w:rFonts w:ascii="Arial" w:cs="Arial" w:eastAsia="Arial" w:hAnsi="Arial"/>
                <w:sz w:val="18"/>
                <w:szCs w:val="18"/>
                <w:color w:val="auto"/>
                <w:w w:val="97"/>
              </w:rPr>
              <w:t>MAEN141</w:t>
            </w:r>
          </w:p>
        </w:tc>
        <w:tc>
          <w:tcPr>
            <w:tcW w:w="10020" w:type="dxa"/>
            <w:vAlign w:val="bottom"/>
          </w:tcPr>
          <w:p>
            <w:pPr>
              <w:ind w:left="100"/>
              <w:spacing w:after="0"/>
              <w:rPr>
                <w:sz w:val="20"/>
                <w:szCs w:val="20"/>
                <w:color w:val="auto"/>
              </w:rPr>
            </w:pPr>
            <w:r>
              <w:rPr>
                <w:rFonts w:ascii="Arial" w:cs="Arial" w:eastAsia="Arial" w:hAnsi="Arial"/>
                <w:sz w:val="18"/>
                <w:szCs w:val="18"/>
                <w:color w:val="auto"/>
              </w:rPr>
              <w:t>Navient Student Loan Trust 2014-1</w:t>
            </w:r>
          </w:p>
        </w:tc>
      </w:tr>
    </w:tbl>
    <w:p>
      <w:pPr>
        <w:sectPr>
          <w:pgSz w:w="11900" w:h="16838" w:orient="portrait"/>
          <w:cols w:equalWidth="0" w:num="1">
            <w:col w:w="11020"/>
          </w:cols>
          <w:pgMar w:left="440" w:top="288" w:right="4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MAEN144</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Student Loan Trust 2014-4</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8"/>
              </w:rPr>
              <w:t>MAEN18D</w:t>
            </w:r>
          </w:p>
        </w:tc>
        <w:tc>
          <w:tcPr>
            <w:tcW w:w="9680" w:type="dxa"/>
            <w:vAlign w:val="bottom"/>
          </w:tcPr>
          <w:p>
            <w:pPr>
              <w:ind w:left="100"/>
              <w:spacing w:after="0"/>
              <w:rPr>
                <w:sz w:val="20"/>
                <w:szCs w:val="20"/>
                <w:color w:val="auto"/>
              </w:rPr>
            </w:pPr>
            <w:r>
              <w:rPr>
                <w:rFonts w:ascii="Arial" w:cs="Arial" w:eastAsia="Arial" w:hAnsi="Arial"/>
                <w:sz w:val="18"/>
                <w:szCs w:val="18"/>
                <w:color w:val="auto"/>
              </w:rPr>
              <w:t>Navient Student Loan Private Trust 2018-D</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MAEN19C</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PRIVATE EDUCATION REFI LOAN TRUST 2019-C</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8"/>
              </w:rPr>
              <w:t>MAEN19D</w:t>
            </w:r>
          </w:p>
        </w:tc>
        <w:tc>
          <w:tcPr>
            <w:tcW w:w="9680" w:type="dxa"/>
            <w:vAlign w:val="bottom"/>
          </w:tcPr>
          <w:p>
            <w:pPr>
              <w:ind w:left="100"/>
              <w:spacing w:after="0"/>
              <w:rPr>
                <w:sz w:val="20"/>
                <w:szCs w:val="20"/>
                <w:color w:val="auto"/>
              </w:rPr>
            </w:pPr>
            <w:r>
              <w:rPr>
                <w:rFonts w:ascii="Arial" w:cs="Arial" w:eastAsia="Arial" w:hAnsi="Arial"/>
                <w:sz w:val="18"/>
                <w:szCs w:val="18"/>
                <w:color w:val="auto"/>
              </w:rPr>
              <w:t>NAVIENT PRIVATE EDUCATION LOAN TRUST 2019-D</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MAEN19E</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Private Education Refi Loan Trust 2019-E</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6"/>
              </w:rPr>
              <w:t>MAEN19F</w:t>
            </w:r>
          </w:p>
        </w:tc>
        <w:tc>
          <w:tcPr>
            <w:tcW w:w="9680" w:type="dxa"/>
            <w:vAlign w:val="bottom"/>
          </w:tcPr>
          <w:p>
            <w:pPr>
              <w:ind w:left="100"/>
              <w:spacing w:after="0"/>
              <w:rPr>
                <w:sz w:val="20"/>
                <w:szCs w:val="20"/>
                <w:color w:val="auto"/>
              </w:rPr>
            </w:pPr>
            <w:r>
              <w:rPr>
                <w:rFonts w:ascii="Arial" w:cs="Arial" w:eastAsia="Arial" w:hAnsi="Arial"/>
                <w:sz w:val="18"/>
                <w:szCs w:val="18"/>
                <w:color w:val="auto"/>
              </w:rPr>
              <w:t>NAVIENT PRIVATE EDUCATION REFI LOAN TRUST 2019-F</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MAEN19PTA</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NAVIENT PRIVATE ED LOAN TRUST 2019-PT-A</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9"/>
              </w:rPr>
              <w:t>MCITICCIT200</w:t>
            </w:r>
          </w:p>
        </w:tc>
        <w:tc>
          <w:tcPr>
            <w:tcW w:w="9680" w:type="dxa"/>
            <w:vAlign w:val="bottom"/>
          </w:tcPr>
          <w:p>
            <w:pPr>
              <w:ind w:left="100"/>
              <w:spacing w:after="0"/>
              <w:rPr>
                <w:sz w:val="20"/>
                <w:szCs w:val="20"/>
                <w:color w:val="auto"/>
              </w:rPr>
            </w:pPr>
            <w:r>
              <w:rPr>
                <w:rFonts w:ascii="Arial" w:cs="Arial" w:eastAsia="Arial" w:hAnsi="Arial"/>
                <w:sz w:val="18"/>
                <w:szCs w:val="18"/>
                <w:color w:val="auto"/>
              </w:rPr>
              <w:t>Citibank Credit Card Issuance Trust</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SLC061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SLC Student Loan Trust 2006-1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SLC062</w:t>
            </w:r>
          </w:p>
        </w:tc>
        <w:tc>
          <w:tcPr>
            <w:tcW w:w="9680" w:type="dxa"/>
            <w:vAlign w:val="bottom"/>
          </w:tcPr>
          <w:p>
            <w:pPr>
              <w:ind w:left="100"/>
              <w:spacing w:after="0"/>
              <w:rPr>
                <w:sz w:val="20"/>
                <w:szCs w:val="20"/>
                <w:color w:val="auto"/>
              </w:rPr>
            </w:pPr>
            <w:r>
              <w:rPr>
                <w:rFonts w:ascii="Arial" w:cs="Arial" w:eastAsia="Arial" w:hAnsi="Arial"/>
                <w:sz w:val="18"/>
                <w:szCs w:val="18"/>
                <w:color w:val="auto"/>
              </w:rPr>
              <w:t>SLC Student Loan Trust 2006-2</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SLC071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SLC Student Loan Trust 2007-1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SLC072</w:t>
            </w:r>
          </w:p>
        </w:tc>
        <w:tc>
          <w:tcPr>
            <w:tcW w:w="9680" w:type="dxa"/>
            <w:vAlign w:val="bottom"/>
          </w:tcPr>
          <w:p>
            <w:pPr>
              <w:ind w:left="100"/>
              <w:spacing w:after="0"/>
              <w:rPr>
                <w:sz w:val="20"/>
                <w:szCs w:val="20"/>
                <w:color w:val="auto"/>
              </w:rPr>
            </w:pPr>
            <w:r>
              <w:rPr>
                <w:rFonts w:ascii="Arial" w:cs="Arial" w:eastAsia="Arial" w:hAnsi="Arial"/>
                <w:sz w:val="18"/>
                <w:szCs w:val="18"/>
                <w:color w:val="auto"/>
              </w:rPr>
              <w:t>SLC Student Loan Trust 2007-2</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SLC081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SLC Student Loan Trust 2008-1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SLC082</w:t>
            </w:r>
          </w:p>
        </w:tc>
        <w:tc>
          <w:tcPr>
            <w:tcW w:w="9680" w:type="dxa"/>
            <w:vAlign w:val="bottom"/>
          </w:tcPr>
          <w:p>
            <w:pPr>
              <w:ind w:left="100"/>
              <w:spacing w:after="0"/>
              <w:rPr>
                <w:sz w:val="20"/>
                <w:szCs w:val="20"/>
                <w:color w:val="auto"/>
              </w:rPr>
            </w:pPr>
            <w:r>
              <w:rPr>
                <w:rFonts w:ascii="Arial" w:cs="Arial" w:eastAsia="Arial" w:hAnsi="Arial"/>
                <w:sz w:val="18"/>
                <w:szCs w:val="18"/>
                <w:color w:val="auto"/>
              </w:rPr>
              <w:t>SLC Student Loan Trust 2008-2</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SLC091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SLC Student Loan Trust 2009-1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SLC092</w:t>
            </w:r>
          </w:p>
        </w:tc>
        <w:tc>
          <w:tcPr>
            <w:tcW w:w="9680" w:type="dxa"/>
            <w:vAlign w:val="bottom"/>
          </w:tcPr>
          <w:p>
            <w:pPr>
              <w:ind w:left="100"/>
              <w:spacing w:after="0"/>
              <w:rPr>
                <w:sz w:val="20"/>
                <w:szCs w:val="20"/>
                <w:color w:val="auto"/>
              </w:rPr>
            </w:pPr>
            <w:r>
              <w:rPr>
                <w:rFonts w:ascii="Arial" w:cs="Arial" w:eastAsia="Arial" w:hAnsi="Arial"/>
                <w:sz w:val="18"/>
                <w:szCs w:val="18"/>
                <w:color w:val="auto"/>
              </w:rPr>
              <w:t>SLC Student Loan Trust 2009-2</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SLC093</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SLC Student Loan Trust 2009-3</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2"/>
              </w:rPr>
              <w:t>SLC101</w:t>
            </w:r>
          </w:p>
        </w:tc>
        <w:tc>
          <w:tcPr>
            <w:tcW w:w="9680" w:type="dxa"/>
            <w:vAlign w:val="bottom"/>
          </w:tcPr>
          <w:p>
            <w:pPr>
              <w:ind w:left="100"/>
              <w:spacing w:after="0"/>
              <w:rPr>
                <w:sz w:val="20"/>
                <w:szCs w:val="20"/>
                <w:color w:val="auto"/>
              </w:rPr>
            </w:pPr>
            <w:r>
              <w:rPr>
                <w:rFonts w:ascii="Arial" w:cs="Arial" w:eastAsia="Arial" w:hAnsi="Arial"/>
                <w:sz w:val="18"/>
                <w:szCs w:val="18"/>
                <w:color w:val="auto"/>
              </w:rPr>
              <w:t>SLC Student Loan Trust 2010-1</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SYNMN19VF1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Credit Card Master Note Trust Series Series 219-VFN1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8"/>
              </w:rPr>
              <w:t>SYNMN20VF1</w:t>
            </w:r>
          </w:p>
        </w:tc>
        <w:tc>
          <w:tcPr>
            <w:tcW w:w="9680" w:type="dxa"/>
            <w:vAlign w:val="bottom"/>
          </w:tcPr>
          <w:p>
            <w:pPr>
              <w:ind w:left="100"/>
              <w:spacing w:after="0"/>
              <w:rPr>
                <w:sz w:val="20"/>
                <w:szCs w:val="20"/>
                <w:color w:val="auto"/>
              </w:rPr>
            </w:pPr>
            <w:r>
              <w:rPr>
                <w:rFonts w:ascii="Arial" w:cs="Arial" w:eastAsia="Arial" w:hAnsi="Arial"/>
                <w:sz w:val="18"/>
                <w:szCs w:val="18"/>
                <w:color w:val="auto"/>
              </w:rPr>
              <w:t>Synchrony Credit Card Master Note Trust Series 2020-VFN1</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SYNMNT151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CREDIT CARD MASTER NOTE TRUST 2015-1</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8"/>
              </w:rPr>
              <w:t>SYNMNT171</w:t>
            </w:r>
          </w:p>
        </w:tc>
        <w:tc>
          <w:tcPr>
            <w:tcW w:w="9680" w:type="dxa"/>
            <w:vAlign w:val="bottom"/>
          </w:tcPr>
          <w:p>
            <w:pPr>
              <w:ind w:left="100"/>
              <w:spacing w:after="0"/>
              <w:rPr>
                <w:sz w:val="20"/>
                <w:szCs w:val="20"/>
                <w:color w:val="auto"/>
              </w:rPr>
            </w:pPr>
            <w:r>
              <w:rPr>
                <w:rFonts w:ascii="Arial" w:cs="Arial" w:eastAsia="Arial" w:hAnsi="Arial"/>
                <w:sz w:val="18"/>
                <w:szCs w:val="18"/>
                <w:color w:val="auto"/>
              </w:rPr>
              <w:t>SYNCHRONY CREDIT CARD MASTER NOTE TRUST 2017-1</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SYNMNT172</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CREDIT CARD MASTER NOTE TRUST 2017-2</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3"/>
              </w:rPr>
              <w:t>SYNSFT15B</w:t>
            </w:r>
          </w:p>
        </w:tc>
        <w:tc>
          <w:tcPr>
            <w:tcW w:w="9680" w:type="dxa"/>
            <w:vAlign w:val="bottom"/>
          </w:tcPr>
          <w:p>
            <w:pPr>
              <w:ind w:left="100"/>
              <w:spacing w:after="0"/>
              <w:rPr>
                <w:sz w:val="20"/>
                <w:szCs w:val="20"/>
                <w:color w:val="auto"/>
              </w:rPr>
            </w:pPr>
            <w:r>
              <w:rPr>
                <w:rFonts w:ascii="Arial" w:cs="Arial" w:eastAsia="Arial" w:hAnsi="Arial"/>
                <w:sz w:val="18"/>
                <w:szCs w:val="18"/>
                <w:color w:val="auto"/>
              </w:rPr>
              <w:t>Synchrony Sales Finance Master Trust 2015-B</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SYNSFT20A</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SYNCHRONY SALES FINANCE MASTER TRUST 2020-A</w:t>
            </w:r>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94"/>
              </w:rPr>
              <w:t>TAOT16B</w:t>
            </w:r>
          </w:p>
        </w:tc>
        <w:tc>
          <w:tcPr>
            <w:tcW w:w="9680" w:type="dxa"/>
            <w:vAlign w:val="bottom"/>
          </w:tcPr>
          <w:p>
            <w:pPr>
              <w:ind w:left="100"/>
              <w:spacing w:after="0"/>
              <w:rPr>
                <w:sz w:val="20"/>
                <w:szCs w:val="20"/>
                <w:color w:val="auto"/>
              </w:rPr>
            </w:pPr>
            <w:r>
              <w:rPr>
                <w:rFonts w:ascii="Arial" w:cs="Arial" w:eastAsia="Arial" w:hAnsi="Arial"/>
                <w:sz w:val="18"/>
                <w:szCs w:val="18"/>
                <w:color w:val="auto"/>
              </w:rPr>
              <w:t>Toyota Auto Receivables 2016-B Owner Trust</w:t>
            </w:r>
          </w:p>
        </w:tc>
      </w:tr>
      <w:tr>
        <w:trPr>
          <w:trHeight w:val="216"/>
        </w:trPr>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VALET201</w:t>
            </w:r>
          </w:p>
        </w:tc>
        <w:tc>
          <w:tcPr>
            <w:tcW w:w="9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Volkswagen Auto Loan Enhanced Trust 2020-1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Asset-Backed Transactions and Securities Constituting the Platform - Document Custody Only Deals</w:t>
      </w:r>
    </w:p>
    <w:p>
      <w:pPr>
        <w:spacing w:after="0" w:line="248"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4"/>
          <w:szCs w:val="14"/>
          <w:b w:val="1"/>
          <w:bCs w:val="1"/>
          <w:u w:val="single" w:color="auto"/>
          <w:color w:val="auto"/>
        </w:rPr>
        <w:t>Deal ID</w:t>
      </w:r>
      <w:r>
        <w:rPr>
          <w:sz w:val="20"/>
          <w:szCs w:val="20"/>
          <w:color w:val="auto"/>
        </w:rPr>
        <w:tab/>
      </w:r>
      <w:r>
        <w:rPr>
          <w:rFonts w:ascii="Arial" w:cs="Arial" w:eastAsia="Arial" w:hAnsi="Arial"/>
          <w:sz w:val="13"/>
          <w:szCs w:val="13"/>
          <w:b w:val="1"/>
          <w:bCs w:val="1"/>
          <w:u w:val="single" w:color="auto"/>
          <w:color w:val="auto"/>
        </w:rPr>
        <w:t>Deal Name and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AH066C</w:t>
      </w:r>
      <w:r>
        <w:rPr>
          <w:sz w:val="20"/>
          <w:szCs w:val="20"/>
          <w:color w:val="auto"/>
        </w:rPr>
        <w:tab/>
      </w:r>
      <w:r>
        <w:rPr>
          <w:rFonts w:ascii="Arial" w:cs="Arial" w:eastAsia="Arial" w:hAnsi="Arial"/>
          <w:sz w:val="16"/>
          <w:szCs w:val="16"/>
          <w:color w:val="auto"/>
        </w:rPr>
        <w:t>Citi/ Wells Fargo American Home Mortgage Assets 2006-4</w:t>
      </w:r>
    </w:p>
    <w:p>
      <w:pPr>
        <w:spacing w:after="0" w:line="8"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BC061C</w:t>
        <w:tab/>
        <w:t>Wells Fargo/ SABR 2006-NC2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0"/>
        <w:spacing w:after="0"/>
        <w:tabs>
          <w:tab w:leader="none" w:pos="860" w:val="left"/>
        </w:tabs>
        <w:rPr>
          <w:sz w:val="20"/>
          <w:szCs w:val="20"/>
          <w:color w:val="auto"/>
        </w:rPr>
      </w:pPr>
      <w:r>
        <w:rPr>
          <w:rFonts w:ascii="Arial" w:cs="Arial" w:eastAsia="Arial" w:hAnsi="Arial"/>
          <w:sz w:val="18"/>
          <w:szCs w:val="18"/>
          <w:color w:val="auto"/>
        </w:rPr>
        <w:t>BC062C</w:t>
        <w:tab/>
        <w:t>Wells Fargo/ SABR 2006-NC3</w:t>
      </w:r>
    </w:p>
    <w:p>
      <w:pPr>
        <w:spacing w:after="0" w:line="9"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BC081C</w:t>
        <w:tab/>
        <w:t>BCAP 2008-IND1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0"/>
        <w:spacing w:after="0"/>
        <w:tabs>
          <w:tab w:leader="none" w:pos="860" w:val="left"/>
        </w:tabs>
        <w:rPr>
          <w:sz w:val="20"/>
          <w:szCs w:val="20"/>
          <w:color w:val="auto"/>
        </w:rPr>
      </w:pPr>
      <w:r>
        <w:rPr>
          <w:rFonts w:ascii="Arial" w:cs="Arial" w:eastAsia="Arial" w:hAnsi="Arial"/>
          <w:sz w:val="18"/>
          <w:szCs w:val="18"/>
          <w:color w:val="auto"/>
        </w:rPr>
        <w:t>BC083C</w:t>
        <w:tab/>
        <w:t>BCAP 2008-IND2</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CA061C</w:t>
      </w:r>
      <w:r>
        <w:rPr>
          <w:sz w:val="20"/>
          <w:szCs w:val="20"/>
          <w:color w:val="auto"/>
        </w:rPr>
        <w:tab/>
      </w:r>
      <w:r>
        <w:rPr>
          <w:rFonts w:ascii="Arial" w:cs="Arial" w:eastAsia="Arial" w:hAnsi="Arial"/>
          <w:sz w:val="16"/>
          <w:szCs w:val="16"/>
          <w:color w:val="auto"/>
        </w:rPr>
        <w:t>Carrington 2006-NC1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8"/>
          <w:szCs w:val="18"/>
          <w:color w:val="auto"/>
        </w:rPr>
        <w:t>CA062C</w:t>
      </w:r>
      <w:r>
        <w:rPr>
          <w:sz w:val="20"/>
          <w:szCs w:val="20"/>
          <w:color w:val="auto"/>
        </w:rPr>
        <w:tab/>
      </w:r>
      <w:r>
        <w:rPr>
          <w:rFonts w:ascii="Arial" w:cs="Arial" w:eastAsia="Arial" w:hAnsi="Arial"/>
          <w:sz w:val="16"/>
          <w:szCs w:val="16"/>
          <w:color w:val="auto"/>
        </w:rPr>
        <w:t>Wells Fargo/ Carrington Mortgage Loan Trust 2006-NC2</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CA063C</w:t>
      </w:r>
      <w:r>
        <w:rPr>
          <w:sz w:val="20"/>
          <w:szCs w:val="20"/>
          <w:color w:val="auto"/>
        </w:rPr>
        <w:tab/>
      </w:r>
      <w:r>
        <w:rPr>
          <w:rFonts w:ascii="Arial" w:cs="Arial" w:eastAsia="Arial" w:hAnsi="Arial"/>
          <w:sz w:val="16"/>
          <w:szCs w:val="16"/>
          <w:color w:val="auto"/>
        </w:rPr>
        <w:t>Wells Fargo/ Carrington Mortgage Loan Trust 2006-NC3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8"/>
          <w:szCs w:val="18"/>
          <w:color w:val="auto"/>
        </w:rPr>
        <w:t>CA064C</w:t>
      </w:r>
      <w:r>
        <w:rPr>
          <w:sz w:val="20"/>
          <w:szCs w:val="20"/>
          <w:color w:val="auto"/>
        </w:rPr>
        <w:tab/>
      </w:r>
      <w:r>
        <w:rPr>
          <w:rFonts w:ascii="Arial" w:cs="Arial" w:eastAsia="Arial" w:hAnsi="Arial"/>
          <w:sz w:val="16"/>
          <w:szCs w:val="16"/>
          <w:color w:val="auto"/>
        </w:rPr>
        <w:t>Wells Fargo/ Carrington Mortgage Loan Trust 2006-NC4</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DB061C</w:t>
      </w:r>
      <w:r>
        <w:rPr>
          <w:sz w:val="20"/>
          <w:szCs w:val="20"/>
          <w:color w:val="auto"/>
        </w:rPr>
        <w:tab/>
      </w:r>
      <w:r>
        <w:rPr>
          <w:rFonts w:ascii="Arial" w:cs="Arial" w:eastAsia="Arial" w:hAnsi="Arial"/>
          <w:sz w:val="17"/>
          <w:szCs w:val="17"/>
          <w:color w:val="auto"/>
        </w:rPr>
        <w:t>ACE 2006-NC1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0"/>
        <w:spacing w:after="0"/>
        <w:tabs>
          <w:tab w:leader="none" w:pos="860" w:val="left"/>
        </w:tabs>
        <w:rPr>
          <w:sz w:val="20"/>
          <w:szCs w:val="20"/>
          <w:color w:val="auto"/>
        </w:rPr>
      </w:pPr>
      <w:r>
        <w:rPr>
          <w:rFonts w:ascii="Arial" w:cs="Arial" w:eastAsia="Arial" w:hAnsi="Arial"/>
          <w:sz w:val="18"/>
          <w:szCs w:val="18"/>
          <w:color w:val="auto"/>
        </w:rPr>
        <w:t>DB061Z</w:t>
        <w:tab/>
        <w:t>DBALT 2006-AR6 Wells Fargo/ Deutsche Bank custody</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DB062C</w:t>
      </w:r>
      <w:r>
        <w:rPr>
          <w:sz w:val="20"/>
          <w:szCs w:val="20"/>
          <w:color w:val="auto"/>
        </w:rPr>
        <w:tab/>
      </w:r>
      <w:r>
        <w:rPr>
          <w:rFonts w:ascii="Arial" w:cs="Arial" w:eastAsia="Arial" w:hAnsi="Arial"/>
          <w:sz w:val="17"/>
          <w:szCs w:val="17"/>
          <w:color w:val="auto"/>
        </w:rPr>
        <w:t>ACE 2006 ASAP1 HSBC/WELLS FARGO/DB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0"/>
        <w:spacing w:after="0"/>
        <w:tabs>
          <w:tab w:leader="none" w:pos="860" w:val="left"/>
        </w:tabs>
        <w:rPr>
          <w:sz w:val="20"/>
          <w:szCs w:val="20"/>
          <w:color w:val="auto"/>
        </w:rPr>
      </w:pPr>
      <w:r>
        <w:rPr>
          <w:rFonts w:ascii="Arial" w:cs="Arial" w:eastAsia="Arial" w:hAnsi="Arial"/>
          <w:sz w:val="18"/>
          <w:szCs w:val="18"/>
          <w:color w:val="auto"/>
        </w:rPr>
        <w:t>DB062Z</w:t>
        <w:tab/>
        <w:t>DBALT 2006-OA1 Wells Fargo/ Deutsche Bank custody</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DB063C</w:t>
      </w:r>
      <w:r>
        <w:rPr>
          <w:sz w:val="20"/>
          <w:szCs w:val="20"/>
          <w:color w:val="auto"/>
        </w:rPr>
        <w:tab/>
      </w:r>
      <w:r>
        <w:rPr>
          <w:rFonts w:ascii="Arial" w:cs="Arial" w:eastAsia="Arial" w:hAnsi="Arial"/>
          <w:sz w:val="17"/>
          <w:szCs w:val="17"/>
          <w:color w:val="auto"/>
        </w:rPr>
        <w:t>ACE 2006-SL1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8"/>
          <w:szCs w:val="18"/>
          <w:color w:val="auto"/>
        </w:rPr>
        <w:t>DB064C</w:t>
      </w:r>
      <w:r>
        <w:rPr>
          <w:sz w:val="20"/>
          <w:szCs w:val="20"/>
          <w:color w:val="auto"/>
        </w:rPr>
        <w:tab/>
      </w:r>
      <w:r>
        <w:rPr>
          <w:rFonts w:ascii="Arial" w:cs="Arial" w:eastAsia="Arial" w:hAnsi="Arial"/>
          <w:sz w:val="17"/>
          <w:szCs w:val="17"/>
          <w:color w:val="auto"/>
        </w:rPr>
        <w:t>DBALT 2006-AB1/WELLS FARGO/DB</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DB065C</w:t>
      </w:r>
      <w:r>
        <w:rPr>
          <w:sz w:val="20"/>
          <w:szCs w:val="20"/>
          <w:color w:val="auto"/>
        </w:rPr>
        <w:tab/>
      </w:r>
      <w:r>
        <w:rPr>
          <w:rFonts w:ascii="Arial" w:cs="Arial" w:eastAsia="Arial" w:hAnsi="Arial"/>
          <w:sz w:val="16"/>
          <w:szCs w:val="16"/>
          <w:color w:val="auto"/>
        </w:rPr>
        <w:t>DBALT 2006-AR1 HSBC/ Wells Fargo/Deutsche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60"/>
        <w:spacing w:after="0"/>
        <w:tabs>
          <w:tab w:leader="none" w:pos="860" w:val="left"/>
        </w:tabs>
        <w:rPr>
          <w:sz w:val="20"/>
          <w:szCs w:val="20"/>
          <w:color w:val="auto"/>
        </w:rPr>
      </w:pPr>
      <w:r>
        <w:rPr>
          <w:rFonts w:ascii="Arial" w:cs="Arial" w:eastAsia="Arial" w:hAnsi="Arial"/>
          <w:sz w:val="18"/>
          <w:szCs w:val="18"/>
          <w:color w:val="auto"/>
        </w:rPr>
        <w:t>DB066C</w:t>
      </w:r>
      <w:r>
        <w:rPr>
          <w:sz w:val="20"/>
          <w:szCs w:val="20"/>
          <w:color w:val="auto"/>
        </w:rPr>
        <w:tab/>
      </w:r>
      <w:r>
        <w:rPr>
          <w:rFonts w:ascii="Arial" w:cs="Arial" w:eastAsia="Arial" w:hAnsi="Arial"/>
          <w:sz w:val="17"/>
          <w:szCs w:val="17"/>
          <w:color w:val="auto"/>
        </w:rPr>
        <w:t>DB ACE 2006-HE1</w:t>
      </w:r>
    </w:p>
    <w:p>
      <w:pPr>
        <w:spacing w:after="0" w:line="9"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color w:val="auto"/>
        </w:rPr>
        <w:t>DB067C</w:t>
      </w:r>
      <w:r>
        <w:rPr>
          <w:sz w:val="20"/>
          <w:szCs w:val="20"/>
          <w:color w:val="auto"/>
        </w:rPr>
        <w:tab/>
      </w:r>
      <w:r>
        <w:rPr>
          <w:rFonts w:ascii="Arial" w:cs="Arial" w:eastAsia="Arial" w:hAnsi="Arial"/>
          <w:sz w:val="16"/>
          <w:szCs w:val="16"/>
          <w:color w:val="auto"/>
        </w:rPr>
        <w:t>Ace 2006-SD1 HSBC/ Wells Fargo/ Deutsche</w:t>
      </w:r>
    </w:p>
    <w:p>
      <w:pPr>
        <w:sectPr>
          <w:pgSz w:w="11900" w:h="16838" w:orient="portrait"/>
          <w:cols w:equalWidth="0" w:num="1">
            <w:col w:w="11020"/>
          </w:cols>
          <w:pgMar w:left="440" w:top="288"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DB068C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Ace Securities Series 2006-ASAP2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DB069C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Series 2006-AF1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DB06AC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Ace Series 2006-SL2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DB06CC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2006-HE2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DB06DC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2006-ASL1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DB06EC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2006-AB2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DB06FC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2006-ASAP3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DB06HC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2006-HE3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DB06JC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2006-SD2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DB06LC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2006-AB3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DB06MC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 ALT 2006-AR2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DB06PC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2006-SL4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DB06QC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2006-NC2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DB06SC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2006-AB4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DB06TC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2006-ASAP5 HSBC/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DB06UC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2006-AR4 HSBC/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DB06WC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2006-AR5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7"/>
              </w:rPr>
              <w:t>DB06XC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2006-NC3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DB06YC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2006-ASAP6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DB06ZC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2006-SD3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DB071C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2007-AR1Wells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DB073C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2007-ASL1Wells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DB074C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2007-AR2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DB075C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2007-BAR1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DB077C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2007-SL1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DB078C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2007-HE2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DB07AC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ACE 2007-ASAP1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DB07CC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2007-OA2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DB07DC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2007-AB1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DB07EC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2007-HE4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DB07FC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2007-AR3 Wells Fargo/ Deutsche Bank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DB07GC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2007-ASAP2 Wells Fargo/ Deutsche Bank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DB07HC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Wells Fargo/ Deutsche Alt-A Securities 2007-OA3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2"/>
              </w:rPr>
              <w:t>DB07JC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2007-HE5/ Wells Fargo</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DB07LC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2007-OA4/ Wells Fargo</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DB07MC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2007-1/ Wells Fargo</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DB07NC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2007-OA5/ Wells Fargo</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DB07PC</w:t>
            </w:r>
          </w:p>
        </w:tc>
        <w:tc>
          <w:tcPr>
            <w:tcW w:w="10200" w:type="dxa"/>
            <w:vAlign w:val="bottom"/>
          </w:tcPr>
          <w:p>
            <w:pPr>
              <w:ind w:left="60"/>
              <w:spacing w:after="0"/>
              <w:rPr>
                <w:sz w:val="20"/>
                <w:szCs w:val="20"/>
                <w:color w:val="auto"/>
              </w:rPr>
            </w:pPr>
            <w:r>
              <w:rPr>
                <w:rFonts w:ascii="Arial" w:cs="Arial" w:eastAsia="Arial" w:hAnsi="Arial"/>
                <w:sz w:val="18"/>
                <w:szCs w:val="18"/>
                <w:color w:val="auto"/>
              </w:rPr>
              <w:t>Ace 2007-SL2/ Wells Fargo</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DB07QC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DBALT 2007-2/ Wells Fargo</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DB07TC</w:t>
            </w:r>
          </w:p>
        </w:tc>
        <w:tc>
          <w:tcPr>
            <w:tcW w:w="10200" w:type="dxa"/>
            <w:vAlign w:val="bottom"/>
          </w:tcPr>
          <w:p>
            <w:pPr>
              <w:ind w:left="60"/>
              <w:spacing w:after="0"/>
              <w:rPr>
                <w:sz w:val="20"/>
                <w:szCs w:val="20"/>
                <w:color w:val="auto"/>
              </w:rPr>
            </w:pPr>
            <w:r>
              <w:rPr>
                <w:rFonts w:ascii="Arial" w:cs="Arial" w:eastAsia="Arial" w:hAnsi="Arial"/>
                <w:sz w:val="18"/>
                <w:szCs w:val="18"/>
                <w:color w:val="auto"/>
              </w:rPr>
              <w:t>DBALT 2007-3/ Wells Fargo</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FB061C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ABSC 2006-AG1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FB071C</w:t>
            </w:r>
          </w:p>
        </w:tc>
        <w:tc>
          <w:tcPr>
            <w:tcW w:w="10200" w:type="dxa"/>
            <w:vAlign w:val="bottom"/>
          </w:tcPr>
          <w:p>
            <w:pPr>
              <w:ind w:left="60"/>
              <w:spacing w:after="0"/>
              <w:rPr>
                <w:sz w:val="20"/>
                <w:szCs w:val="20"/>
                <w:color w:val="auto"/>
              </w:rPr>
            </w:pPr>
            <w:r>
              <w:rPr>
                <w:rFonts w:ascii="Arial" w:cs="Arial" w:eastAsia="Arial" w:hAnsi="Arial"/>
                <w:sz w:val="18"/>
                <w:szCs w:val="18"/>
                <w:color w:val="auto"/>
              </w:rPr>
              <w:t>CSMC 2007-5/Wells Fargo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FB072C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CSMC 2007-NC1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FB073C</w:t>
            </w:r>
          </w:p>
        </w:tc>
        <w:tc>
          <w:tcPr>
            <w:tcW w:w="10200" w:type="dxa"/>
            <w:vAlign w:val="bottom"/>
          </w:tcPr>
          <w:p>
            <w:pPr>
              <w:ind w:left="60"/>
              <w:spacing w:after="0"/>
              <w:rPr>
                <w:sz w:val="20"/>
                <w:szCs w:val="20"/>
                <w:color w:val="auto"/>
              </w:rPr>
            </w:pPr>
            <w:r>
              <w:rPr>
                <w:rFonts w:ascii="Arial" w:cs="Arial" w:eastAsia="Arial" w:hAnsi="Arial"/>
                <w:sz w:val="18"/>
                <w:szCs w:val="18"/>
                <w:color w:val="auto"/>
              </w:rPr>
              <w:t>CSMC 2007-6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FB075C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CSMC 2007-7 custody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GC069C</w:t>
            </w:r>
          </w:p>
        </w:tc>
        <w:tc>
          <w:tcPr>
            <w:tcW w:w="10200" w:type="dxa"/>
            <w:vAlign w:val="bottom"/>
          </w:tcPr>
          <w:p>
            <w:pPr>
              <w:ind w:left="60"/>
              <w:spacing w:after="0"/>
              <w:rPr>
                <w:sz w:val="20"/>
                <w:szCs w:val="20"/>
                <w:color w:val="auto"/>
              </w:rPr>
            </w:pPr>
            <w:r>
              <w:rPr>
                <w:rFonts w:ascii="Arial" w:cs="Arial" w:eastAsia="Arial" w:hAnsi="Arial"/>
                <w:sz w:val="18"/>
                <w:szCs w:val="18"/>
                <w:color w:val="auto"/>
              </w:rPr>
              <w:t>HarborView Mortgage Loan Trust 2006-10</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GC07AC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HarborView Mortgage Loan Trust 2007-3</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89"/>
              </w:rPr>
              <w:t>GS061C</w:t>
            </w:r>
          </w:p>
        </w:tc>
        <w:tc>
          <w:tcPr>
            <w:tcW w:w="10200" w:type="dxa"/>
            <w:vAlign w:val="bottom"/>
          </w:tcPr>
          <w:p>
            <w:pPr>
              <w:ind w:left="60"/>
              <w:spacing w:after="0"/>
              <w:rPr>
                <w:sz w:val="20"/>
                <w:szCs w:val="20"/>
                <w:color w:val="auto"/>
              </w:rPr>
            </w:pPr>
            <w:r>
              <w:rPr>
                <w:rFonts w:ascii="Arial" w:cs="Arial" w:eastAsia="Arial" w:hAnsi="Arial"/>
                <w:sz w:val="18"/>
                <w:szCs w:val="18"/>
                <w:color w:val="auto"/>
              </w:rPr>
              <w:t>US Bank/Wells Fargo GSR 2006-1F Custody</w:t>
            </w:r>
          </w:p>
        </w:tc>
      </w:tr>
    </w:tbl>
    <w:p>
      <w:pPr>
        <w:ind w:left="60"/>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GS062C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FARGO/GSR 2006-AR1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GS063C</w:t>
            </w:r>
          </w:p>
        </w:tc>
        <w:tc>
          <w:tcPr>
            <w:tcW w:w="10220" w:type="dxa"/>
            <w:vAlign w:val="bottom"/>
          </w:tcPr>
          <w:p>
            <w:pPr>
              <w:ind w:left="80"/>
              <w:spacing w:after="0"/>
              <w:rPr>
                <w:sz w:val="20"/>
                <w:szCs w:val="20"/>
                <w:color w:val="auto"/>
              </w:rPr>
            </w:pPr>
            <w:r>
              <w:rPr>
                <w:rFonts w:ascii="Arial" w:cs="Arial" w:eastAsia="Arial" w:hAnsi="Arial"/>
                <w:sz w:val="18"/>
                <w:szCs w:val="18"/>
                <w:color w:val="auto"/>
              </w:rPr>
              <w:t>JP Morgan/ US Bank GSAA 2006-1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GS066C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2006-3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GS067C</w:t>
            </w:r>
          </w:p>
        </w:tc>
        <w:tc>
          <w:tcPr>
            <w:tcW w:w="10220" w:type="dxa"/>
            <w:vAlign w:val="bottom"/>
          </w:tcPr>
          <w:p>
            <w:pPr>
              <w:ind w:left="80"/>
              <w:spacing w:after="0"/>
              <w:rPr>
                <w:sz w:val="20"/>
                <w:szCs w:val="20"/>
                <w:color w:val="auto"/>
              </w:rPr>
            </w:pPr>
            <w:r>
              <w:rPr>
                <w:rFonts w:ascii="Arial" w:cs="Arial" w:eastAsia="Arial" w:hAnsi="Arial"/>
                <w:sz w:val="18"/>
                <w:szCs w:val="18"/>
                <w:color w:val="auto"/>
              </w:rPr>
              <w:t>GSR 2006-2F</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GS068C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Fargo/US BankGSR 2006-3F</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GS069C</w:t>
            </w:r>
          </w:p>
        </w:tc>
        <w:tc>
          <w:tcPr>
            <w:tcW w:w="10220" w:type="dxa"/>
            <w:vAlign w:val="bottom"/>
          </w:tcPr>
          <w:p>
            <w:pPr>
              <w:ind w:left="80"/>
              <w:spacing w:after="0"/>
              <w:rPr>
                <w:sz w:val="20"/>
                <w:szCs w:val="20"/>
                <w:color w:val="auto"/>
              </w:rPr>
            </w:pPr>
            <w:r>
              <w:rPr>
                <w:rFonts w:ascii="Arial" w:cs="Arial" w:eastAsia="Arial" w:hAnsi="Arial"/>
                <w:sz w:val="18"/>
                <w:szCs w:val="18"/>
                <w:color w:val="auto"/>
              </w:rPr>
              <w:t>JP Morgan/ US Bank GSAA 2006-5</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GS06AC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 Morgan/ US Bank GSAA 2006-6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GS06BC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US Bank GSR 2006-AR2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GS06CC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 Morgan/ US Bank GSR 2006-4F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GS06DC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US Bank GSAMP 2006-HE3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GS06EC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 Morgan/ US Bank GSAA 2006-9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GS06FC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US Bank GSR 2006-5F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GS06GC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 GSAMP 2006-HE4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GS06HC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GSR 2006-6F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GS06JC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 GSR 2006-7F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GS06KC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GSAA 2006-12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GS06LC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 GSAMP 2006-HE5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4"/>
              </w:rPr>
              <w:t>GS06MC</w:t>
            </w:r>
          </w:p>
        </w:tc>
        <w:tc>
          <w:tcPr>
            <w:tcW w:w="10220" w:type="dxa"/>
            <w:vAlign w:val="bottom"/>
          </w:tcPr>
          <w:p>
            <w:pPr>
              <w:ind w:left="80"/>
              <w:spacing w:after="0"/>
              <w:rPr>
                <w:sz w:val="20"/>
                <w:szCs w:val="20"/>
                <w:color w:val="auto"/>
              </w:rPr>
            </w:pPr>
            <w:r>
              <w:rPr>
                <w:rFonts w:ascii="Arial" w:cs="Arial" w:eastAsia="Arial" w:hAnsi="Arial"/>
                <w:sz w:val="18"/>
                <w:szCs w:val="18"/>
                <w:color w:val="auto"/>
              </w:rPr>
              <w:t>Wells Fargo/ GSR 2006-8F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GS06OC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Wells Fargo/ GSAA 2006-14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7"/>
              </w:rPr>
              <w:t>GS06PC</w:t>
            </w:r>
          </w:p>
        </w:tc>
        <w:tc>
          <w:tcPr>
            <w:tcW w:w="10220" w:type="dxa"/>
            <w:vAlign w:val="bottom"/>
          </w:tcPr>
          <w:p>
            <w:pPr>
              <w:ind w:left="80"/>
              <w:spacing w:after="0"/>
              <w:rPr>
                <w:sz w:val="20"/>
                <w:szCs w:val="20"/>
                <w:color w:val="auto"/>
              </w:rPr>
            </w:pPr>
            <w:r>
              <w:rPr>
                <w:rFonts w:ascii="Arial" w:cs="Arial" w:eastAsia="Arial" w:hAnsi="Arial"/>
                <w:sz w:val="18"/>
                <w:szCs w:val="18"/>
                <w:color w:val="auto"/>
              </w:rPr>
              <w:t>Goldman Sachs/ US Bank/NCAMLT 2006-ALT2</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GS06QC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GSAMP 2006-HE7 Goldman Sachs/ LaSalle/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GS06RC</w:t>
            </w:r>
          </w:p>
        </w:tc>
        <w:tc>
          <w:tcPr>
            <w:tcW w:w="10220" w:type="dxa"/>
            <w:vAlign w:val="bottom"/>
          </w:tcPr>
          <w:p>
            <w:pPr>
              <w:ind w:left="80"/>
              <w:spacing w:after="0"/>
              <w:rPr>
                <w:sz w:val="20"/>
                <w:szCs w:val="20"/>
                <w:color w:val="auto"/>
              </w:rPr>
            </w:pPr>
            <w:r>
              <w:rPr>
                <w:rFonts w:ascii="Arial" w:cs="Arial" w:eastAsia="Arial" w:hAnsi="Arial"/>
                <w:sz w:val="18"/>
                <w:szCs w:val="18"/>
                <w:color w:val="auto"/>
              </w:rPr>
              <w:t>GSR 2006-9F Goldman Sachs/ US Bank/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GS06SC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2006-19 Goldman Sachs/ US Bank/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GS06TC</w:t>
            </w:r>
          </w:p>
        </w:tc>
        <w:tc>
          <w:tcPr>
            <w:tcW w:w="10220" w:type="dxa"/>
            <w:vAlign w:val="bottom"/>
          </w:tcPr>
          <w:p>
            <w:pPr>
              <w:ind w:left="80"/>
              <w:spacing w:after="0"/>
              <w:rPr>
                <w:sz w:val="20"/>
                <w:szCs w:val="20"/>
                <w:color w:val="auto"/>
              </w:rPr>
            </w:pPr>
            <w:r>
              <w:rPr>
                <w:rFonts w:ascii="Arial" w:cs="Arial" w:eastAsia="Arial" w:hAnsi="Arial"/>
                <w:sz w:val="18"/>
                <w:szCs w:val="18"/>
                <w:color w:val="auto"/>
              </w:rPr>
              <w:t>GSR 2006-10F Goldman Sachs/ US Bank/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GS06UC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2006-20 Goldman Sachs/ US Bank/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GS06VC</w:t>
            </w:r>
          </w:p>
        </w:tc>
        <w:tc>
          <w:tcPr>
            <w:tcW w:w="10220" w:type="dxa"/>
            <w:vAlign w:val="bottom"/>
          </w:tcPr>
          <w:p>
            <w:pPr>
              <w:ind w:left="80"/>
              <w:spacing w:after="0"/>
              <w:rPr>
                <w:sz w:val="20"/>
                <w:szCs w:val="20"/>
                <w:color w:val="auto"/>
              </w:rPr>
            </w:pPr>
            <w:r>
              <w:rPr>
                <w:rFonts w:ascii="Arial" w:cs="Arial" w:eastAsia="Arial" w:hAnsi="Arial"/>
                <w:sz w:val="18"/>
                <w:szCs w:val="18"/>
                <w:color w:val="auto"/>
              </w:rPr>
              <w:t>GSAMP 2006-HE8 Goldman Sachs/ LaSalle/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GS072C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2007-1 Goldman Sachs/ US Bank/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GS073C</w:t>
            </w:r>
          </w:p>
        </w:tc>
        <w:tc>
          <w:tcPr>
            <w:tcW w:w="10220" w:type="dxa"/>
            <w:vAlign w:val="bottom"/>
          </w:tcPr>
          <w:p>
            <w:pPr>
              <w:ind w:left="80"/>
              <w:spacing w:after="0"/>
              <w:rPr>
                <w:sz w:val="20"/>
                <w:szCs w:val="20"/>
                <w:color w:val="auto"/>
              </w:rPr>
            </w:pPr>
            <w:r>
              <w:rPr>
                <w:rFonts w:ascii="Arial" w:cs="Arial" w:eastAsia="Arial" w:hAnsi="Arial"/>
                <w:sz w:val="18"/>
                <w:szCs w:val="18"/>
                <w:color w:val="auto"/>
              </w:rPr>
              <w:t>GSAMP 2007-H1 Goldman Sachs/ LaSalle/Wells Fargo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GS074C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2007-1F Goldman Sachs/ Wells Fargo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GS075C</w:t>
            </w:r>
          </w:p>
        </w:tc>
        <w:tc>
          <w:tcPr>
            <w:tcW w:w="10220" w:type="dxa"/>
            <w:vAlign w:val="bottom"/>
          </w:tcPr>
          <w:p>
            <w:pPr>
              <w:ind w:left="80"/>
              <w:spacing w:after="0"/>
              <w:rPr>
                <w:sz w:val="20"/>
                <w:szCs w:val="20"/>
                <w:color w:val="auto"/>
              </w:rPr>
            </w:pPr>
            <w:r>
              <w:rPr>
                <w:rFonts w:ascii="Arial" w:cs="Arial" w:eastAsia="Arial" w:hAnsi="Arial"/>
                <w:sz w:val="18"/>
                <w:szCs w:val="18"/>
                <w:color w:val="auto"/>
              </w:rPr>
              <w:t>GSAMP 2007-NC1 Goldman Sachs/ Wells Fargo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GS076C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2007-3 Goldman Sachs/ Wells Fargo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GS077C</w:t>
            </w:r>
          </w:p>
        </w:tc>
        <w:tc>
          <w:tcPr>
            <w:tcW w:w="10220" w:type="dxa"/>
            <w:vAlign w:val="bottom"/>
          </w:tcPr>
          <w:p>
            <w:pPr>
              <w:ind w:left="80"/>
              <w:spacing w:after="0"/>
              <w:rPr>
                <w:sz w:val="20"/>
                <w:szCs w:val="20"/>
                <w:color w:val="auto"/>
              </w:rPr>
            </w:pPr>
            <w:r>
              <w:rPr>
                <w:rFonts w:ascii="Arial" w:cs="Arial" w:eastAsia="Arial" w:hAnsi="Arial"/>
                <w:sz w:val="18"/>
                <w:szCs w:val="18"/>
                <w:color w:val="auto"/>
              </w:rPr>
              <w:t>GSAMP 2007-HE1 Goldman Sachs/ Wells Fargo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GS078C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2007-2F Goldman Sachs/ Wells Fargo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2"/>
              </w:rPr>
              <w:t>GS07AC</w:t>
            </w:r>
          </w:p>
        </w:tc>
        <w:tc>
          <w:tcPr>
            <w:tcW w:w="10220" w:type="dxa"/>
            <w:vAlign w:val="bottom"/>
          </w:tcPr>
          <w:p>
            <w:pPr>
              <w:ind w:left="80"/>
              <w:spacing w:after="0"/>
              <w:rPr>
                <w:sz w:val="20"/>
                <w:szCs w:val="20"/>
                <w:color w:val="auto"/>
              </w:rPr>
            </w:pPr>
            <w:r>
              <w:rPr>
                <w:rFonts w:ascii="Arial" w:cs="Arial" w:eastAsia="Arial" w:hAnsi="Arial"/>
                <w:sz w:val="18"/>
                <w:szCs w:val="18"/>
                <w:color w:val="auto"/>
              </w:rPr>
              <w:t>GSAMP 2007-HE2 Goldman Sachs/ Wells Fargo custody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GS07BC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2007-3F Goldman Sachs/ Wells Fargo custody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GS07DC</w:t>
            </w:r>
          </w:p>
        </w:tc>
        <w:tc>
          <w:tcPr>
            <w:tcW w:w="10220" w:type="dxa"/>
            <w:vAlign w:val="bottom"/>
          </w:tcPr>
          <w:p>
            <w:pPr>
              <w:ind w:left="80"/>
              <w:spacing w:after="0"/>
              <w:rPr>
                <w:sz w:val="20"/>
                <w:szCs w:val="20"/>
                <w:color w:val="auto"/>
              </w:rPr>
            </w:pPr>
            <w:r>
              <w:rPr>
                <w:rFonts w:ascii="Arial" w:cs="Arial" w:eastAsia="Arial" w:hAnsi="Arial"/>
                <w:sz w:val="18"/>
                <w:szCs w:val="18"/>
                <w:color w:val="auto"/>
              </w:rPr>
              <w:t>GSAA 2007-7/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GS07EC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2007-4F/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8"/>
              </w:rPr>
              <w:t>GS07FC</w:t>
            </w:r>
          </w:p>
        </w:tc>
        <w:tc>
          <w:tcPr>
            <w:tcW w:w="10220" w:type="dxa"/>
            <w:vAlign w:val="bottom"/>
          </w:tcPr>
          <w:p>
            <w:pPr>
              <w:ind w:left="80"/>
              <w:spacing w:after="0"/>
              <w:rPr>
                <w:sz w:val="20"/>
                <w:szCs w:val="20"/>
                <w:color w:val="auto"/>
              </w:rPr>
            </w:pPr>
            <w:r>
              <w:rPr>
                <w:rFonts w:ascii="Arial" w:cs="Arial" w:eastAsia="Arial" w:hAnsi="Arial"/>
                <w:sz w:val="18"/>
                <w:szCs w:val="18"/>
                <w:color w:val="auto"/>
              </w:rPr>
              <w:t>GSAA 2007-8/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GS07GC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GSAA 2007-9/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1"/>
              </w:rPr>
              <w:t>GS07HC</w:t>
            </w:r>
          </w:p>
        </w:tc>
        <w:tc>
          <w:tcPr>
            <w:tcW w:w="10220" w:type="dxa"/>
            <w:vAlign w:val="bottom"/>
          </w:tcPr>
          <w:p>
            <w:pPr>
              <w:ind w:left="80"/>
              <w:spacing w:after="0"/>
              <w:rPr>
                <w:sz w:val="20"/>
                <w:szCs w:val="20"/>
                <w:color w:val="auto"/>
              </w:rPr>
            </w:pPr>
            <w:r>
              <w:rPr>
                <w:rFonts w:ascii="Arial" w:cs="Arial" w:eastAsia="Arial" w:hAnsi="Arial"/>
                <w:sz w:val="18"/>
                <w:szCs w:val="18"/>
                <w:color w:val="auto"/>
              </w:rPr>
              <w:t>GSAA 2007-10/ Wells Fargo</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GS07KC</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GSR 2007-5F/ Wells Fargo</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6"/>
              </w:rPr>
              <w:t>LH061Z</w:t>
            </w:r>
          </w:p>
        </w:tc>
        <w:tc>
          <w:tcPr>
            <w:tcW w:w="10220" w:type="dxa"/>
            <w:vAlign w:val="bottom"/>
          </w:tcPr>
          <w:p>
            <w:pPr>
              <w:ind w:left="80"/>
              <w:spacing w:after="0"/>
              <w:rPr>
                <w:sz w:val="20"/>
                <w:szCs w:val="20"/>
                <w:color w:val="auto"/>
              </w:rPr>
            </w:pPr>
            <w:r>
              <w:rPr>
                <w:rFonts w:ascii="Arial" w:cs="Arial" w:eastAsia="Arial" w:hAnsi="Arial"/>
                <w:sz w:val="18"/>
                <w:szCs w:val="18"/>
                <w:color w:val="auto"/>
              </w:rPr>
              <w:t>SASCO 2006-BC2 custody only</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LH062Z</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LXS 2006-13 custody only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LH063C</w:t>
            </w:r>
          </w:p>
        </w:tc>
        <w:tc>
          <w:tcPr>
            <w:tcW w:w="10220" w:type="dxa"/>
            <w:vAlign w:val="bottom"/>
          </w:tcPr>
          <w:p>
            <w:pPr>
              <w:ind w:left="80"/>
              <w:spacing w:after="0"/>
              <w:rPr>
                <w:sz w:val="20"/>
                <w:szCs w:val="20"/>
                <w:color w:val="auto"/>
              </w:rPr>
            </w:pPr>
            <w:r>
              <w:rPr>
                <w:rFonts w:ascii="Arial" w:cs="Arial" w:eastAsia="Arial" w:hAnsi="Arial"/>
                <w:sz w:val="18"/>
                <w:szCs w:val="18"/>
                <w:color w:val="auto"/>
              </w:rPr>
              <w:t>Lehman SAIL 2006-1</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LH063Z</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SAIL 2006-BNC3 custody only</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93"/>
              </w:rPr>
              <w:t>LH064C</w:t>
            </w:r>
          </w:p>
        </w:tc>
        <w:tc>
          <w:tcPr>
            <w:tcW w:w="10220" w:type="dxa"/>
            <w:vAlign w:val="bottom"/>
          </w:tcPr>
          <w:p>
            <w:pPr>
              <w:ind w:left="80"/>
              <w:spacing w:after="0"/>
              <w:rPr>
                <w:sz w:val="20"/>
                <w:szCs w:val="20"/>
                <w:color w:val="auto"/>
              </w:rPr>
            </w:pPr>
            <w:r>
              <w:rPr>
                <w:rFonts w:ascii="Arial" w:cs="Arial" w:eastAsia="Arial" w:hAnsi="Arial"/>
                <w:sz w:val="18"/>
                <w:szCs w:val="18"/>
                <w:color w:val="auto"/>
              </w:rPr>
              <w:t>Lehman LXS 2006-2N</w:t>
            </w:r>
          </w:p>
        </w:tc>
      </w:tr>
      <w:tr>
        <w:trPr>
          <w:trHeight w:val="216"/>
        </w:trPr>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LH064Z</w:t>
            </w:r>
          </w:p>
        </w:tc>
        <w:tc>
          <w:tcPr>
            <w:tcW w:w="10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LXS 2006-14N DB custody only</w:t>
            </w:r>
          </w:p>
        </w:tc>
      </w:tr>
      <w:tr>
        <w:trPr>
          <w:trHeight w:val="230"/>
        </w:trPr>
        <w:tc>
          <w:tcPr>
            <w:tcW w:w="800" w:type="dxa"/>
            <w:vAlign w:val="bottom"/>
          </w:tcPr>
          <w:p>
            <w:pPr>
              <w:jc w:val="center"/>
              <w:spacing w:after="0"/>
              <w:rPr>
                <w:sz w:val="20"/>
                <w:szCs w:val="20"/>
                <w:color w:val="auto"/>
              </w:rPr>
            </w:pPr>
            <w:r>
              <w:rPr>
                <w:rFonts w:ascii="Arial" w:cs="Arial" w:eastAsia="Arial" w:hAnsi="Arial"/>
                <w:sz w:val="18"/>
                <w:szCs w:val="18"/>
                <w:color w:val="auto"/>
                <w:w w:val="93"/>
              </w:rPr>
              <w:t>LH065C</w:t>
            </w:r>
          </w:p>
        </w:tc>
        <w:tc>
          <w:tcPr>
            <w:tcW w:w="10220" w:type="dxa"/>
            <w:vAlign w:val="bottom"/>
          </w:tcPr>
          <w:p>
            <w:pPr>
              <w:ind w:left="80"/>
              <w:spacing w:after="0"/>
              <w:rPr>
                <w:sz w:val="20"/>
                <w:szCs w:val="20"/>
                <w:color w:val="auto"/>
              </w:rPr>
            </w:pPr>
            <w:r>
              <w:rPr>
                <w:rFonts w:ascii="Arial" w:cs="Arial" w:eastAsia="Arial" w:hAnsi="Arial"/>
                <w:sz w:val="18"/>
                <w:szCs w:val="18"/>
                <w:color w:val="auto"/>
              </w:rPr>
              <w:t>Lehman SARM 2006-1</w:t>
            </w:r>
          </w:p>
        </w:tc>
      </w:tr>
    </w:tbl>
    <w:p>
      <w:pPr>
        <w:ind w:left="80"/>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LH065Z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mortgage trust 2006-5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LH066Z</w:t>
            </w:r>
          </w:p>
        </w:tc>
        <w:tc>
          <w:tcPr>
            <w:tcW w:w="10200" w:type="dxa"/>
            <w:vAlign w:val="bottom"/>
          </w:tcPr>
          <w:p>
            <w:pPr>
              <w:ind w:left="60"/>
              <w:spacing w:after="0"/>
              <w:rPr>
                <w:sz w:val="20"/>
                <w:szCs w:val="20"/>
                <w:color w:val="auto"/>
              </w:rPr>
            </w:pPr>
            <w:r>
              <w:rPr>
                <w:rFonts w:ascii="Arial" w:cs="Arial" w:eastAsia="Arial" w:hAnsi="Arial"/>
                <w:sz w:val="18"/>
                <w:szCs w:val="18"/>
                <w:color w:val="auto"/>
              </w:rPr>
              <w:t>Greenpoint 2006-HE1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LH067C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SASCO 2006-BNC1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LH067Z</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2006-15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LH068C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SARM 2006-2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LH068Z</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2006-16H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LH069C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SAIL 2006-2</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LH069Z</w:t>
            </w:r>
          </w:p>
        </w:tc>
        <w:tc>
          <w:tcPr>
            <w:tcW w:w="10200" w:type="dxa"/>
            <w:vAlign w:val="bottom"/>
          </w:tcPr>
          <w:p>
            <w:pPr>
              <w:ind w:left="60"/>
              <w:spacing w:after="0"/>
              <w:rPr>
                <w:sz w:val="20"/>
                <w:szCs w:val="20"/>
                <w:color w:val="auto"/>
              </w:rPr>
            </w:pPr>
            <w:r>
              <w:rPr>
                <w:rFonts w:ascii="Arial" w:cs="Arial" w:eastAsia="Arial" w:hAnsi="Arial"/>
                <w:sz w:val="18"/>
                <w:szCs w:val="18"/>
                <w:color w:val="auto"/>
              </w:rPr>
              <w:t>SARM 2006-9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LH06AC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SARM 2006-3</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9"/>
              </w:rPr>
              <w:t>LH06AZ</w:t>
            </w:r>
          </w:p>
        </w:tc>
        <w:tc>
          <w:tcPr>
            <w:tcW w:w="10200" w:type="dxa"/>
            <w:vAlign w:val="bottom"/>
          </w:tcPr>
          <w:p>
            <w:pPr>
              <w:ind w:left="60"/>
              <w:spacing w:after="0"/>
              <w:rPr>
                <w:sz w:val="20"/>
                <w:szCs w:val="20"/>
                <w:color w:val="auto"/>
              </w:rPr>
            </w:pPr>
            <w:r>
              <w:rPr>
                <w:rFonts w:ascii="Arial" w:cs="Arial" w:eastAsia="Arial" w:hAnsi="Arial"/>
                <w:sz w:val="18"/>
                <w:szCs w:val="18"/>
                <w:color w:val="auto"/>
              </w:rPr>
              <w:t>BNC 2006-1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LH06BC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Lehman LXS 2006-5</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9"/>
              </w:rPr>
              <w:t>LH06BZ</w:t>
            </w:r>
          </w:p>
        </w:tc>
        <w:tc>
          <w:tcPr>
            <w:tcW w:w="10200" w:type="dxa"/>
            <w:vAlign w:val="bottom"/>
          </w:tcPr>
          <w:p>
            <w:pPr>
              <w:ind w:left="60"/>
              <w:spacing w:after="0"/>
              <w:rPr>
                <w:sz w:val="20"/>
                <w:szCs w:val="20"/>
                <w:color w:val="auto"/>
              </w:rPr>
            </w:pPr>
            <w:r>
              <w:rPr>
                <w:rFonts w:ascii="Arial" w:cs="Arial" w:eastAsia="Arial" w:hAnsi="Arial"/>
                <w:sz w:val="18"/>
                <w:szCs w:val="18"/>
                <w:color w:val="auto"/>
              </w:rPr>
              <w:t>LMT 2006-6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LH06CZ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2006-BC3 DB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LH06DC</w:t>
            </w:r>
          </w:p>
        </w:tc>
        <w:tc>
          <w:tcPr>
            <w:tcW w:w="10200" w:type="dxa"/>
            <w:vAlign w:val="bottom"/>
          </w:tcPr>
          <w:p>
            <w:pPr>
              <w:ind w:left="60"/>
              <w:spacing w:after="0"/>
              <w:rPr>
                <w:sz w:val="20"/>
                <w:szCs w:val="20"/>
                <w:color w:val="auto"/>
              </w:rPr>
            </w:pPr>
            <w:r>
              <w:rPr>
                <w:rFonts w:ascii="Arial" w:cs="Arial" w:eastAsia="Arial" w:hAnsi="Arial"/>
                <w:sz w:val="18"/>
                <w:szCs w:val="18"/>
                <w:color w:val="auto"/>
              </w:rPr>
              <w:t>SAIL 2006-BNC2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LH06DZ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2006-7 DB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LH06EC</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2006-BC1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LH06FC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2006-AM1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LH06FZ</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2006-17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LH06GC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2006-4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LH06GZ</w:t>
            </w:r>
          </w:p>
        </w:tc>
        <w:tc>
          <w:tcPr>
            <w:tcW w:w="10200" w:type="dxa"/>
            <w:vAlign w:val="bottom"/>
          </w:tcPr>
          <w:p>
            <w:pPr>
              <w:ind w:left="60"/>
              <w:spacing w:after="0"/>
              <w:rPr>
                <w:sz w:val="20"/>
                <w:szCs w:val="20"/>
                <w:color w:val="auto"/>
              </w:rPr>
            </w:pPr>
            <w:r>
              <w:rPr>
                <w:rFonts w:ascii="Arial" w:cs="Arial" w:eastAsia="Arial" w:hAnsi="Arial"/>
                <w:sz w:val="18"/>
                <w:szCs w:val="18"/>
                <w:color w:val="auto"/>
              </w:rPr>
              <w:t>BNC 2006-10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LH06HC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2006-7</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8"/>
              </w:rPr>
              <w:t>LH06IZ</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2006-BC4 DB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LH06JZ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2006-19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LH06KC</w:t>
            </w:r>
          </w:p>
        </w:tc>
        <w:tc>
          <w:tcPr>
            <w:tcW w:w="10200" w:type="dxa"/>
            <w:vAlign w:val="bottom"/>
          </w:tcPr>
          <w:p>
            <w:pPr>
              <w:ind w:left="60"/>
              <w:spacing w:after="0"/>
              <w:rPr>
                <w:sz w:val="20"/>
                <w:szCs w:val="20"/>
                <w:color w:val="auto"/>
              </w:rPr>
            </w:pPr>
            <w:r>
              <w:rPr>
                <w:rFonts w:ascii="Arial" w:cs="Arial" w:eastAsia="Arial" w:hAnsi="Arial"/>
                <w:sz w:val="18"/>
                <w:szCs w:val="18"/>
                <w:color w:val="auto"/>
              </w:rPr>
              <w:t>SAIL 2006-3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LH06KZ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2006-18N</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9"/>
              </w:rPr>
              <w:t>LH06LC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2006-8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LH06MC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2006-5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rPr>
              <w:t>LH06MZ</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2006-BC5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LH06NC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2006-NC1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8"/>
              </w:rPr>
              <w:t>LH06NZ</w:t>
            </w:r>
          </w:p>
        </w:tc>
        <w:tc>
          <w:tcPr>
            <w:tcW w:w="10200" w:type="dxa"/>
            <w:vAlign w:val="bottom"/>
          </w:tcPr>
          <w:p>
            <w:pPr>
              <w:ind w:left="60"/>
              <w:spacing w:after="0"/>
              <w:rPr>
                <w:sz w:val="20"/>
                <w:szCs w:val="20"/>
                <w:color w:val="auto"/>
              </w:rPr>
            </w:pPr>
            <w:r>
              <w:rPr>
                <w:rFonts w:ascii="Arial" w:cs="Arial" w:eastAsia="Arial" w:hAnsi="Arial"/>
                <w:sz w:val="18"/>
                <w:szCs w:val="18"/>
                <w:color w:val="auto"/>
              </w:rPr>
              <w:t>LMT 2006-8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LH06PC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SAIL 2006-4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LH06QC</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2006-ARS1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LH06QZ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2006-BC6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LH06RC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2006-10N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LH06RZ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2006-9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LH06SC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2006-9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LH06SZ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2006-12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LH06UC</w:t>
            </w:r>
          </w:p>
        </w:tc>
        <w:tc>
          <w:tcPr>
            <w:tcW w:w="10200" w:type="dxa"/>
            <w:vAlign w:val="bottom"/>
          </w:tcPr>
          <w:p>
            <w:pPr>
              <w:ind w:left="60"/>
              <w:spacing w:after="0"/>
              <w:rPr>
                <w:sz w:val="20"/>
                <w:szCs w:val="20"/>
                <w:color w:val="auto"/>
              </w:rPr>
            </w:pPr>
            <w:r>
              <w:rPr>
                <w:rFonts w:ascii="Arial" w:cs="Arial" w:eastAsia="Arial" w:hAnsi="Arial"/>
                <w:sz w:val="18"/>
                <w:szCs w:val="18"/>
                <w:color w:val="auto"/>
              </w:rPr>
              <w:t>SARM 2006-7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LH06UZ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2006-20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LH06WC</w:t>
            </w:r>
          </w:p>
        </w:tc>
        <w:tc>
          <w:tcPr>
            <w:tcW w:w="10200" w:type="dxa"/>
            <w:vAlign w:val="bottom"/>
          </w:tcPr>
          <w:p>
            <w:pPr>
              <w:ind w:left="60"/>
              <w:spacing w:after="0"/>
              <w:rPr>
                <w:sz w:val="20"/>
                <w:szCs w:val="20"/>
                <w:color w:val="auto"/>
              </w:rPr>
            </w:pPr>
            <w:r>
              <w:rPr>
                <w:rFonts w:ascii="Arial" w:cs="Arial" w:eastAsia="Arial" w:hAnsi="Arial"/>
                <w:sz w:val="18"/>
                <w:szCs w:val="18"/>
                <w:color w:val="auto"/>
              </w:rPr>
              <w:t>LMT 2006-4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LH06XC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2006-11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LH06YC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2006-12N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LH06ZC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2006-8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LH071C</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2007-BC1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LH071Z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2007-18N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LH072Z</w:t>
            </w:r>
          </w:p>
        </w:tc>
        <w:tc>
          <w:tcPr>
            <w:tcW w:w="10200" w:type="dxa"/>
            <w:vAlign w:val="bottom"/>
          </w:tcPr>
          <w:p>
            <w:pPr>
              <w:ind w:left="60"/>
              <w:spacing w:after="0"/>
              <w:rPr>
                <w:sz w:val="20"/>
                <w:szCs w:val="20"/>
                <w:color w:val="auto"/>
              </w:rPr>
            </w:pPr>
            <w:r>
              <w:rPr>
                <w:rFonts w:ascii="Arial" w:cs="Arial" w:eastAsia="Arial" w:hAnsi="Arial"/>
                <w:sz w:val="18"/>
                <w:szCs w:val="18"/>
                <w:color w:val="auto"/>
              </w:rPr>
              <w:t>SARM 2007-10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LH073C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2007-1 custody only</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LH074C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2007-2N custody only</w:t>
            </w:r>
          </w:p>
        </w:tc>
      </w:tr>
    </w:tbl>
    <w:p>
      <w:pPr>
        <w:ind w:left="60"/>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LH074Z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2007-BNC1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LH075C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2007-1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LH075Z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2007-10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LH076C</w:t>
            </w:r>
          </w:p>
        </w:tc>
        <w:tc>
          <w:tcPr>
            <w:tcW w:w="10200" w:type="dxa"/>
            <w:vAlign w:val="bottom"/>
          </w:tcPr>
          <w:p>
            <w:pPr>
              <w:ind w:left="60"/>
              <w:spacing w:after="0"/>
              <w:rPr>
                <w:sz w:val="20"/>
                <w:szCs w:val="20"/>
                <w:color w:val="auto"/>
              </w:rPr>
            </w:pPr>
            <w:r>
              <w:rPr>
                <w:rFonts w:ascii="Arial" w:cs="Arial" w:eastAsia="Arial" w:hAnsi="Arial"/>
                <w:sz w:val="18"/>
                <w:szCs w:val="18"/>
                <w:color w:val="auto"/>
              </w:rPr>
              <w:t>LMT 2007-2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LH076Z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2007-20N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LH077C</w:t>
            </w:r>
          </w:p>
        </w:tc>
        <w:tc>
          <w:tcPr>
            <w:tcW w:w="10200" w:type="dxa"/>
            <w:vAlign w:val="bottom"/>
          </w:tcPr>
          <w:p>
            <w:pPr>
              <w:ind w:left="60"/>
              <w:spacing w:after="0"/>
              <w:rPr>
                <w:sz w:val="20"/>
                <w:szCs w:val="20"/>
                <w:color w:val="auto"/>
              </w:rPr>
            </w:pPr>
            <w:r>
              <w:rPr>
                <w:rFonts w:ascii="Arial" w:cs="Arial" w:eastAsia="Arial" w:hAnsi="Arial"/>
                <w:sz w:val="18"/>
                <w:szCs w:val="18"/>
                <w:color w:val="auto"/>
              </w:rPr>
              <w:t>BNC 2007-1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LH077Z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2007-11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3"/>
              </w:rPr>
              <w:t>LH078C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2007-3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LH079C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2007-4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LH079Z</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2007-BC4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LH07AZ</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BNC 2007-4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LH07BC</w:t>
            </w:r>
          </w:p>
        </w:tc>
        <w:tc>
          <w:tcPr>
            <w:tcW w:w="10200" w:type="dxa"/>
            <w:vAlign w:val="bottom"/>
          </w:tcPr>
          <w:p>
            <w:pPr>
              <w:ind w:left="60"/>
              <w:spacing w:after="0"/>
              <w:rPr>
                <w:sz w:val="20"/>
                <w:szCs w:val="20"/>
                <w:color w:val="auto"/>
              </w:rPr>
            </w:pPr>
            <w:r>
              <w:rPr>
                <w:rFonts w:ascii="Arial" w:cs="Arial" w:eastAsia="Arial" w:hAnsi="Arial"/>
                <w:sz w:val="18"/>
                <w:szCs w:val="18"/>
                <w:color w:val="auto"/>
              </w:rPr>
              <w:t>SARM 2007-3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LH07CC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2007-4</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LH07DC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2007-5H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LH07FC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BNC 2007-2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LH07GC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2007-6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LH07JC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2007-5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LH07KC</w:t>
            </w:r>
          </w:p>
        </w:tc>
        <w:tc>
          <w:tcPr>
            <w:tcW w:w="10200" w:type="dxa"/>
            <w:vAlign w:val="bottom"/>
          </w:tcPr>
          <w:p>
            <w:pPr>
              <w:ind w:left="60"/>
              <w:spacing w:after="0"/>
              <w:rPr>
                <w:sz w:val="20"/>
                <w:szCs w:val="20"/>
                <w:color w:val="auto"/>
              </w:rPr>
            </w:pPr>
            <w:r>
              <w:rPr>
                <w:rFonts w:ascii="Arial" w:cs="Arial" w:eastAsia="Arial" w:hAnsi="Arial"/>
                <w:sz w:val="18"/>
                <w:szCs w:val="18"/>
                <w:color w:val="auto"/>
              </w:rPr>
              <w:t>SASCO 2007-BC3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LH07LC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2007-9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8"/>
              </w:rPr>
              <w:t>LH07MC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2007-8h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LH07NC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SASCO 2007-OS1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5"/>
              </w:rPr>
              <w:t>LH07RC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2007-12N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LH07SC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LXS 2007-11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8"/>
              </w:rPr>
              <w:t>LH07TC</w:t>
            </w:r>
          </w:p>
        </w:tc>
        <w:tc>
          <w:tcPr>
            <w:tcW w:w="10200" w:type="dxa"/>
            <w:vAlign w:val="bottom"/>
          </w:tcPr>
          <w:p>
            <w:pPr>
              <w:ind w:left="60"/>
              <w:spacing w:after="0"/>
              <w:rPr>
                <w:sz w:val="20"/>
                <w:szCs w:val="20"/>
                <w:color w:val="auto"/>
              </w:rPr>
            </w:pPr>
            <w:r>
              <w:rPr>
                <w:rFonts w:ascii="Arial" w:cs="Arial" w:eastAsia="Arial" w:hAnsi="Arial"/>
                <w:sz w:val="18"/>
                <w:szCs w:val="18"/>
                <w:color w:val="auto"/>
              </w:rPr>
              <w:t>BNC 2007-3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LH07WC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LMT 2007-7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LH07XC</w:t>
            </w:r>
          </w:p>
        </w:tc>
        <w:tc>
          <w:tcPr>
            <w:tcW w:w="10200" w:type="dxa"/>
            <w:vAlign w:val="bottom"/>
          </w:tcPr>
          <w:p>
            <w:pPr>
              <w:ind w:left="60"/>
              <w:spacing w:after="0"/>
              <w:rPr>
                <w:sz w:val="20"/>
                <w:szCs w:val="20"/>
                <w:color w:val="auto"/>
              </w:rPr>
            </w:pPr>
            <w:r>
              <w:rPr>
                <w:rFonts w:ascii="Arial" w:cs="Arial" w:eastAsia="Arial" w:hAnsi="Arial"/>
                <w:sz w:val="18"/>
                <w:szCs w:val="18"/>
                <w:color w:val="auto"/>
              </w:rPr>
              <w:t>LXS 2007-15N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LH07ZC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SARM 2007-8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MG071C</w:t>
            </w:r>
          </w:p>
        </w:tc>
        <w:tc>
          <w:tcPr>
            <w:tcW w:w="10200" w:type="dxa"/>
            <w:vAlign w:val="bottom"/>
          </w:tcPr>
          <w:p>
            <w:pPr>
              <w:ind w:left="60"/>
              <w:spacing w:after="0"/>
              <w:rPr>
                <w:sz w:val="20"/>
                <w:szCs w:val="20"/>
                <w:color w:val="auto"/>
              </w:rPr>
            </w:pPr>
            <w:r>
              <w:rPr>
                <w:rFonts w:ascii="Arial" w:cs="Arial" w:eastAsia="Arial" w:hAnsi="Arial"/>
                <w:sz w:val="18"/>
                <w:szCs w:val="18"/>
                <w:color w:val="auto"/>
              </w:rPr>
              <w:t>MHL 2007-1/Wells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MG072C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MHL 2007-2/Wells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ML061C</w:t>
            </w:r>
          </w:p>
        </w:tc>
        <w:tc>
          <w:tcPr>
            <w:tcW w:w="10200" w:type="dxa"/>
            <w:vAlign w:val="bottom"/>
          </w:tcPr>
          <w:p>
            <w:pPr>
              <w:ind w:left="60"/>
              <w:spacing w:after="0"/>
              <w:rPr>
                <w:sz w:val="20"/>
                <w:szCs w:val="20"/>
                <w:color w:val="auto"/>
              </w:rPr>
            </w:pPr>
            <w:r>
              <w:rPr>
                <w:rFonts w:ascii="Arial" w:cs="Arial" w:eastAsia="Arial" w:hAnsi="Arial"/>
                <w:sz w:val="18"/>
                <w:szCs w:val="18"/>
                <w:color w:val="auto"/>
              </w:rPr>
              <w:t>MLMI 2006-AR1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ML072C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 2007-A3/Wells Fargo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6"/>
              </w:rPr>
              <w:t>ML073C</w:t>
            </w:r>
          </w:p>
        </w:tc>
        <w:tc>
          <w:tcPr>
            <w:tcW w:w="10200" w:type="dxa"/>
            <w:vAlign w:val="bottom"/>
          </w:tcPr>
          <w:p>
            <w:pPr>
              <w:ind w:left="60"/>
              <w:spacing w:after="0"/>
              <w:rPr>
                <w:sz w:val="20"/>
                <w:szCs w:val="20"/>
                <w:color w:val="auto"/>
              </w:rPr>
            </w:pPr>
            <w:r>
              <w:rPr>
                <w:rFonts w:ascii="Arial" w:cs="Arial" w:eastAsia="Arial" w:hAnsi="Arial"/>
                <w:sz w:val="18"/>
                <w:szCs w:val="18"/>
                <w:color w:val="auto"/>
              </w:rPr>
              <w:t>MANA 2007-AF1/Wells Fargo custody only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MS064C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MSM 2006-11custody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89"/>
              </w:rPr>
              <w:t>SG071C</w:t>
            </w:r>
          </w:p>
        </w:tc>
        <w:tc>
          <w:tcPr>
            <w:tcW w:w="10200" w:type="dxa"/>
            <w:vAlign w:val="bottom"/>
          </w:tcPr>
          <w:p>
            <w:pPr>
              <w:ind w:left="60"/>
              <w:spacing w:after="0"/>
              <w:rPr>
                <w:sz w:val="20"/>
                <w:szCs w:val="20"/>
                <w:color w:val="auto"/>
              </w:rPr>
            </w:pPr>
            <w:r>
              <w:rPr>
                <w:rFonts w:ascii="Arial" w:cs="Arial" w:eastAsia="Arial" w:hAnsi="Arial"/>
                <w:sz w:val="18"/>
                <w:szCs w:val="18"/>
                <w:color w:val="auto"/>
              </w:rPr>
              <w:t>SG Mortgage Securities Trust 2007-NC1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SU071C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STICS 2007-1/Wells Fargo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UB061C</w:t>
            </w:r>
          </w:p>
        </w:tc>
        <w:tc>
          <w:tcPr>
            <w:tcW w:w="10200" w:type="dxa"/>
            <w:vAlign w:val="bottom"/>
          </w:tcPr>
          <w:p>
            <w:pPr>
              <w:ind w:left="60"/>
              <w:spacing w:after="0"/>
              <w:rPr>
                <w:sz w:val="20"/>
                <w:szCs w:val="20"/>
                <w:color w:val="auto"/>
              </w:rPr>
            </w:pPr>
            <w:r>
              <w:rPr>
                <w:rFonts w:ascii="Arial" w:cs="Arial" w:eastAsia="Arial" w:hAnsi="Arial"/>
                <w:sz w:val="18"/>
                <w:szCs w:val="18"/>
                <w:color w:val="auto"/>
              </w:rPr>
              <w:t>UBS MASTR 2006-AM1</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UB062C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UBS MASTR 2006-NC1</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UB063C</w:t>
            </w:r>
          </w:p>
        </w:tc>
        <w:tc>
          <w:tcPr>
            <w:tcW w:w="10200" w:type="dxa"/>
            <w:vAlign w:val="bottom"/>
          </w:tcPr>
          <w:p>
            <w:pPr>
              <w:ind w:left="60"/>
              <w:spacing w:after="0"/>
              <w:rPr>
                <w:sz w:val="20"/>
                <w:szCs w:val="20"/>
                <w:color w:val="auto"/>
              </w:rPr>
            </w:pPr>
            <w:r>
              <w:rPr>
                <w:rFonts w:ascii="Arial" w:cs="Arial" w:eastAsia="Arial" w:hAnsi="Arial"/>
                <w:sz w:val="18"/>
                <w:szCs w:val="18"/>
                <w:color w:val="auto"/>
              </w:rPr>
              <w:t>Wells Fargo/ UBS MASTR 2006 HE-2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UB064C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MABS 2006-AM2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UB065C</w:t>
            </w:r>
          </w:p>
        </w:tc>
        <w:tc>
          <w:tcPr>
            <w:tcW w:w="10200" w:type="dxa"/>
            <w:vAlign w:val="bottom"/>
          </w:tcPr>
          <w:p>
            <w:pPr>
              <w:ind w:left="60"/>
              <w:spacing w:after="0"/>
              <w:rPr>
                <w:sz w:val="20"/>
                <w:szCs w:val="20"/>
                <w:color w:val="auto"/>
              </w:rPr>
            </w:pPr>
            <w:r>
              <w:rPr>
                <w:rFonts w:ascii="Arial" w:cs="Arial" w:eastAsia="Arial" w:hAnsi="Arial"/>
                <w:sz w:val="18"/>
                <w:szCs w:val="18"/>
                <w:color w:val="auto"/>
              </w:rPr>
              <w:t>Wells Fargo/ UBS MASTR 2006-NC2</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UB066C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Wells Fargo/ US Bank UBS MASTR 2006-AM3 custody only</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4"/>
              </w:rPr>
              <w:t>UB067C</w:t>
            </w:r>
          </w:p>
        </w:tc>
        <w:tc>
          <w:tcPr>
            <w:tcW w:w="10200" w:type="dxa"/>
            <w:vAlign w:val="bottom"/>
          </w:tcPr>
          <w:p>
            <w:pPr>
              <w:ind w:left="60"/>
              <w:spacing w:after="0"/>
              <w:rPr>
                <w:sz w:val="20"/>
                <w:szCs w:val="20"/>
                <w:color w:val="auto"/>
              </w:rPr>
            </w:pPr>
            <w:r>
              <w:rPr>
                <w:rFonts w:ascii="Arial" w:cs="Arial" w:eastAsia="Arial" w:hAnsi="Arial"/>
                <w:sz w:val="18"/>
                <w:szCs w:val="18"/>
                <w:color w:val="auto"/>
              </w:rPr>
              <w:t>Wells Fargo/ UBS MASTR 2006-NC3</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UB068C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Wells Fargo/ UBS MASTR 2006-HE5</w:t>
            </w:r>
          </w:p>
        </w:tc>
      </w:tr>
      <w:tr>
        <w:trPr>
          <w:trHeight w:val="216"/>
        </w:trPr>
        <w:tc>
          <w:tcPr>
            <w:tcW w:w="820" w:type="dxa"/>
            <w:vAlign w:val="bottom"/>
          </w:tcPr>
          <w:p>
            <w:pPr>
              <w:jc w:val="center"/>
              <w:spacing w:after="0"/>
              <w:rPr>
                <w:sz w:val="20"/>
                <w:szCs w:val="20"/>
                <w:color w:val="auto"/>
              </w:rPr>
            </w:pPr>
            <w:r>
              <w:rPr>
                <w:rFonts w:ascii="Arial" w:cs="Arial" w:eastAsia="Arial" w:hAnsi="Arial"/>
                <w:sz w:val="18"/>
                <w:szCs w:val="18"/>
                <w:color w:val="auto"/>
                <w:w w:val="91"/>
              </w:rPr>
              <w:t>WA071C</w:t>
            </w:r>
          </w:p>
        </w:tc>
        <w:tc>
          <w:tcPr>
            <w:tcW w:w="10200" w:type="dxa"/>
            <w:vAlign w:val="bottom"/>
          </w:tcPr>
          <w:p>
            <w:pPr>
              <w:ind w:left="60"/>
              <w:spacing w:after="0"/>
              <w:rPr>
                <w:sz w:val="20"/>
                <w:szCs w:val="20"/>
                <w:color w:val="auto"/>
              </w:rPr>
            </w:pPr>
            <w:r>
              <w:rPr>
                <w:rFonts w:ascii="Arial" w:cs="Arial" w:eastAsia="Arial" w:hAnsi="Arial"/>
                <w:sz w:val="18"/>
                <w:szCs w:val="18"/>
                <w:color w:val="auto"/>
              </w:rPr>
              <w:t>WaMu 2007-HE2/ Citi custody</w:t>
            </w:r>
          </w:p>
        </w:tc>
      </w:tr>
      <w:tr>
        <w:trPr>
          <w:trHeight w:val="216"/>
        </w:trPr>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WA072C</w:t>
            </w:r>
          </w:p>
        </w:tc>
        <w:tc>
          <w:tcPr>
            <w:tcW w:w="10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WaMu 2007-HE3/ Citi custody</w:t>
            </w:r>
          </w:p>
        </w:tc>
      </w:tr>
      <w:tr>
        <w:trPr>
          <w:trHeight w:val="230"/>
        </w:trPr>
        <w:tc>
          <w:tcPr>
            <w:tcW w:w="820" w:type="dxa"/>
            <w:vAlign w:val="bottom"/>
          </w:tcPr>
          <w:p>
            <w:pPr>
              <w:jc w:val="center"/>
              <w:spacing w:after="0"/>
              <w:rPr>
                <w:sz w:val="20"/>
                <w:szCs w:val="20"/>
                <w:color w:val="auto"/>
              </w:rPr>
            </w:pPr>
            <w:r>
              <w:rPr>
                <w:rFonts w:ascii="Arial" w:cs="Arial" w:eastAsia="Arial" w:hAnsi="Arial"/>
                <w:sz w:val="18"/>
                <w:szCs w:val="18"/>
                <w:color w:val="auto"/>
                <w:w w:val="91"/>
              </w:rPr>
              <w:t>WA073C</w:t>
            </w:r>
          </w:p>
        </w:tc>
        <w:tc>
          <w:tcPr>
            <w:tcW w:w="10200" w:type="dxa"/>
            <w:vAlign w:val="bottom"/>
          </w:tcPr>
          <w:p>
            <w:pPr>
              <w:ind w:left="60"/>
              <w:spacing w:after="0"/>
              <w:rPr>
                <w:sz w:val="20"/>
                <w:szCs w:val="20"/>
                <w:color w:val="auto"/>
              </w:rPr>
            </w:pPr>
            <w:r>
              <w:rPr>
                <w:rFonts w:ascii="Arial" w:cs="Arial" w:eastAsia="Arial" w:hAnsi="Arial"/>
                <w:sz w:val="18"/>
                <w:szCs w:val="18"/>
                <w:color w:val="auto"/>
              </w:rPr>
              <w:t>WaMu 2007-HE4/ Citi custody</w:t>
            </w:r>
          </w:p>
        </w:tc>
      </w:tr>
    </w:tbl>
    <w:p>
      <w:pPr>
        <w:ind w:left="60"/>
        <w:spacing w:after="0"/>
        <w:rPr>
          <w:sz w:val="20"/>
          <w:szCs w:val="20"/>
          <w:color w:val="auto"/>
        </w:rPr>
        <w:sectPr>
          <w:pgSz w:w="11900" w:h="16838" w:orient="portrait"/>
          <w:cols w:equalWidth="0" w:num="1">
            <w:col w:w="11020"/>
          </w:cols>
          <w:pgMar w:left="440" w:top="288"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ATTESTATION REPORT ON ASSESSMENT OF COMPLIANCE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CRITERIA FOR ASSET-BACKED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 Houston Electric,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0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have examined management of CenterPoint Energy Houston Electric, LLC’s assertion, included in the accompanying Report on Assessment of Compliance with Servicing Criteria for Asset-Backed Securities for CenterPoint Energy Houston Electric, LLC, that CenterPoint Energy Houston Electric, LLC (the “Company”) complied with the servicing criteria set forth in Item 1122(d) of the Securities and Exchange Commission’s Regulation AB for the $1,695 million original principal amount of CenterPoint Energy Transition Bond Company IV, LLC’s transition bonds (the “2012 Senior Secured Transition Bonds”), excluding criteria 1122(d)(1)(ii) (outsourcing), (1)(iii) (back-up servicing), (1)(iv) (fidelity bond), (2)(ii) (wire transfer disbursements), (2)(vi) (unissued checks), (3)(ii) (allocation and remittance), (3)(iii) (disbursements to investors), (4)(iii) (additions, removals or substitutions), (4)(v) (records regarding pool assets), (4)(ix) (adjustments to interest rates), (4)(xi) (payments on behalf of obligors), (4)(xii) (late payment penalties), (4)(xiii) (obligor disbursements), and (4)(xv) (external credit enhancement) (the “servicing criteria”), as of and for the year ended December 31, 2020, which management has determined are not applicable to the activities performed by the Company with respect to the 2012 Senior Secured Transition Bonds. Management is responsible for the Company’s compliance with the servicing criteria and its assertion. Our responsibility is to express an opinion on the Company’s compliance with the servicing criteria based on our examination.</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the Company complied, in all material respects, with the servicing criteria, and, accordingly, included examining, on a test basis, evidence about the Company’s compliance with the servicing criteria, including tests on a sample basis of the servicing activities related to the 2012 Senior Secured Transition Bonds,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2012 Senior Secured Transition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our opinion, management’s assertion that the Company complied with the aforementioned servicing criteria as of and for the year ended December 31, 2020, for the 2012 Senior Secured Transition Bonds, is fairly stated, in all material respects.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020"/>
          </w:cols>
          <w:pgMar w:left="440"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ATTESTATION REPORT ON ASSESSMENT OF COMPLIANCE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SERVICING CRITERIA FOR ASSET-BACKED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examined management’s assertion, included in the accompanying Management’s Assertion of Compliance, that Trust &amp; Agency Services department of Deutsche Bank National Trust Company and Deutsche Bank Trust Company Americas (collectively the “Company”) complied with the servicing criteria set forth in Item 1122(d) of the Securities and Exchange Commission’s Regulation AB for the publicly-issued (</w:t>
      </w:r>
      <w:r>
        <w:rPr>
          <w:rFonts w:ascii="Arial" w:cs="Arial" w:eastAsia="Arial" w:hAnsi="Arial"/>
          <w:sz w:val="17"/>
          <w:szCs w:val="17"/>
          <w:i w:val="1"/>
          <w:iCs w:val="1"/>
          <w:color w:val="auto"/>
        </w:rPr>
        <w:t>i.e</w:t>
      </w:r>
      <w:r>
        <w:rPr>
          <w:rFonts w:ascii="Arial" w:cs="Arial" w:eastAsia="Arial" w:hAnsi="Arial"/>
          <w:sz w:val="17"/>
          <w:szCs w:val="17"/>
          <w:color w:val="auto"/>
        </w:rPr>
        <w:t>., transaction-level reporting required under the Securities Exchange Act of 1934, as amended) and certain privately-issued (</w:t>
      </w:r>
      <w:r>
        <w:rPr>
          <w:rFonts w:ascii="Arial" w:cs="Arial" w:eastAsia="Arial" w:hAnsi="Arial"/>
          <w:sz w:val="17"/>
          <w:szCs w:val="17"/>
          <w:i w:val="1"/>
          <w:iCs w:val="1"/>
          <w:color w:val="auto"/>
        </w:rPr>
        <w:t>i.e</w:t>
      </w:r>
      <w:r>
        <w:rPr>
          <w:rFonts w:ascii="Arial" w:cs="Arial" w:eastAsia="Arial" w:hAnsi="Arial"/>
          <w:sz w:val="17"/>
          <w:szCs w:val="17"/>
          <w:color w:val="auto"/>
        </w:rPr>
        <w:t>., for which transaction-level reporting is required pursuant to contractual obligation) residential mortgage-backed securities, commercial mortgage-backed securities and other asset-backed securities issued on or after January 1, 2006, for which the Company provides trustee, certificate administrator, securities administration, paying agent or custodian services, as defined in the transaction agreements, excluding publicly issued securities sponsored or issued by any government sponsored entity (the “Platform”), as of and for the year ended December 31, 2020, except for criteria 1122(d)(4)(iv) – 1122(d)(4)(xiv), which the Company has determined are not applicable to the activities it performs with respect to the servicing platform covered by this report. Refer to Appendix A of Management’s Assertion of Compliance for the asset backed transactions covered by this platform. Management is responsible for the Company’s compliance with those servicing criteria. Our responsibility is to express an opinion on management’s assertion about the Company’s compliance with the servicing criteria based on our examination.</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criteria 1122(d)(1)(ii), 1122(d)(1)(iii), 1122(d)(2)(iii) and 1122(d)(4)(iii) of Regulation AB, there were no occurrences of events that would require the Company to perform such activities during the year ended December 31, 2020. We believe that the evidence we obtained is sufficient and appropriate to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In our opinion, management’s assertion that the Company complied with the aforementioned servicing criteria as of and for the year ended December 31, 2020 for the Platform is fairly stated, in all material respects.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020"/>
          </w:cols>
          <w:pgMar w:left="440" w:top="121"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COMPLIANCE</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undersigned hereby certifies that she is the duly elected and acting Senior Vice President and Treasurer of CenterPoint Energy Houston Electric, LLC as servicer (the “Servicer”) under the Transition Property Servicing Agreement dated as of January 19, 2012 (the “Servicing Agreement”) between the Servicer and CenterPoint Energy Transition Bond Company IV, LLC (the “Issuer”) and further that:</w:t>
      </w:r>
    </w:p>
    <w:p>
      <w:pPr>
        <w:spacing w:after="0" w:line="89" w:lineRule="exact"/>
        <w:rPr>
          <w:sz w:val="20"/>
          <w:szCs w:val="20"/>
          <w:color w:val="auto"/>
        </w:rPr>
      </w:pPr>
    </w:p>
    <w:p>
      <w:pPr>
        <w:ind w:left="960" w:right="360" w:hanging="532"/>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review of the activities of the Servicer and of its performance under the Servicing Agreement during the twelve months ended December 31, 2020 has been made under the supervision of the undersigned pursuant to Section 3.03 of the Servicing Agreement; and</w:t>
      </w:r>
    </w:p>
    <w:p>
      <w:pPr>
        <w:spacing w:after="0" w:line="29" w:lineRule="exact"/>
        <w:rPr>
          <w:rFonts w:ascii="Arial" w:cs="Arial" w:eastAsia="Arial" w:hAnsi="Arial"/>
          <w:sz w:val="16"/>
          <w:szCs w:val="16"/>
          <w:color w:val="auto"/>
        </w:rPr>
      </w:pPr>
    </w:p>
    <w:p>
      <w:pPr>
        <w:ind w:left="960" w:right="30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best of the undersigned’s knowledge, based on such review, the Servicer has fulfilled all of its obligations in all material respects under the Servicing Agreement throughout the twelve months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this 25th day of March,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CenterPoint Energy Houston Electric, LLC, as servicer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Stacey 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Stacey L. Peterson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Financial Planning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020"/>
          </w:cols>
          <w:pgMar w:left="440" w:top="121" w:right="43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to Certificate of Compliance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LIST OF SERVICER DEFAULTS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Servicer Defaults, or events which with the giving of notice, the lapse of time, or both, would become Servicer Defaults known to the undersigned occurred during the year ended December 31, 2020:</w:t>
      </w:r>
    </w:p>
    <w:p>
      <w:pPr>
        <w:spacing w:after="0" w:line="193" w:lineRule="exact"/>
        <w:rPr>
          <w:sz w:val="20"/>
          <w:szCs w:val="20"/>
          <w:color w:val="auto"/>
        </w:rPr>
      </w:pPr>
    </w:p>
    <w:p>
      <w:pPr>
        <w:spacing w:after="0"/>
        <w:tabs>
          <w:tab w:leader="none" w:pos="8180" w:val="left"/>
        </w:tabs>
        <w:rPr>
          <w:sz w:val="20"/>
          <w:szCs w:val="20"/>
          <w:color w:val="auto"/>
        </w:rPr>
      </w:pPr>
      <w:r>
        <w:rPr>
          <w:rFonts w:ascii="Arial" w:cs="Arial" w:eastAsia="Arial" w:hAnsi="Arial"/>
          <w:sz w:val="14"/>
          <w:szCs w:val="14"/>
          <w:u w:val="single" w:color="auto"/>
          <w:color w:val="auto"/>
        </w:rPr>
        <w:t>Nature of Default</w:t>
      </w:r>
      <w:r>
        <w:rPr>
          <w:sz w:val="20"/>
          <w:szCs w:val="20"/>
          <w:color w:val="auto"/>
        </w:rPr>
        <w:tab/>
      </w:r>
      <w:r>
        <w:rPr>
          <w:rFonts w:ascii="Arial" w:cs="Arial" w:eastAsia="Arial" w:hAnsi="Arial"/>
          <w:sz w:val="11"/>
          <w:szCs w:val="1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12700</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sectPr>
      <w:pgSz w:w="11900" w:h="16838" w:orient="portrait"/>
      <w:cols w:equalWidth="0" w:num="1">
        <w:col w:w="10680"/>
      </w:cols>
      <w:pgMar w:left="440" w:top="27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24" Type="http://schemas.openxmlformats.org/officeDocument/2006/relationships/hyperlink" Target="http://www.sec.gov/Archives/edgar/data/48732/000119312511292295/d249248dex33.htm" TargetMode="External"/><Relationship Id="rId25" Type="http://schemas.openxmlformats.org/officeDocument/2006/relationships/hyperlink" Target="http://www.sec.gov/Archives/edgar/data/48732/000119312512015701/d284746dex31.htm" TargetMode="External"/><Relationship Id="rId26" Type="http://schemas.openxmlformats.org/officeDocument/2006/relationships/hyperlink" Target="http://www.sec.gov/Archives/edgar/data/48732/000119312512015701/d284746dex41.htm" TargetMode="External"/><Relationship Id="rId27" Type="http://schemas.openxmlformats.org/officeDocument/2006/relationships/hyperlink" Target="http://www.sec.gov/Archives/edgar/data/48732/000119312512015701/d284746dex42.htm" TargetMode="External"/><Relationship Id="rId28" Type="http://schemas.openxmlformats.org/officeDocument/2006/relationships/hyperlink" Target="http://www.sec.gov/Archives/edgar/data/48732/000119312512015701/d284746dex101.htm" TargetMode="External"/><Relationship Id="rId29" Type="http://schemas.openxmlformats.org/officeDocument/2006/relationships/hyperlink" Target="http://www.sec.gov/Archives/edgar/data/48732/000119312512015701/d284746dex102.htm" TargetMode="External"/><Relationship Id="rId30" Type="http://schemas.openxmlformats.org/officeDocument/2006/relationships/hyperlink" Target="http://www.sec.gov/Archives/edgar/data/48732/000119312512015701/d28474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2021-03-28T05:30:11Z</dcterms:created>
  <dcterms:modified xsi:type="dcterms:W3CDTF">2021-03-28T05:30:11Z</dcterms:modified>
</cp:coreProperties>
</file>