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7410d1_8k.htm"/>
      <w:bookmarkStart w:id="1" w:name="kstm267410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5_edei--DocumentType_c2026022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8_edei--EntityRegistrantName_c2026"/>
      <w:bookmarkEnd w:id="4"/>
      <w:r>
        <w:rPr>
          <w:rFonts w:ascii="Times New Roman;Times;Serif" w:hAnsi="Times New Roman;Times;Serif"/>
          <w:b/>
          <w:i w:val="false"/>
          <w:caps w:val="false"/>
          <w:smallCaps w:val="false"/>
          <w:sz w:val="28"/>
        </w:rPr>
        <w:t>CENTERPOINT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165"/>
        <w:gridCol w:w="60"/>
        <w:gridCol w:w="2210"/>
        <w:gridCol w:w="60"/>
        <w:gridCol w:w="15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226"/>
            <w:bookmarkEnd w:id="6"/>
            <w:r>
              <w:rPr>
                <w:rFonts w:ascii="Times New Roman;Times;Serif" w:hAnsi="Times New Roman;Times;Serif"/>
                <w:b/>
                <w:sz w:val="20"/>
              </w:rPr>
              <w:t>1-31447</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74-0694415</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 </w:t>
            </w:r>
            <w:r>
              <w:rPr>
                <w:rFonts w:ascii="Times New Roman;Times;Serif" w:hAnsi="Times New Roman;Times;Serif"/>
                <w:sz w:val="20"/>
              </w:rPr>
              <w:t>Identification No.)</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b/>
              </w:rPr>
            </w:pPr>
            <w:bookmarkStart w:id="8" w:name="xdx_906_edei--EntityAddressAddressLine1_"/>
            <w:bookmarkEnd w:id="8"/>
            <w:r>
              <w:rPr>
                <w:b/>
              </w:rPr>
              <w:t>1111 Louisiana</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bookmarkStart w:id="9" w:name="xdx_903_edei--EntityAddressCityOrTown_c2"/>
            <w:bookmarkEnd w:id="9"/>
            <w:r>
              <w:rPr>
                <w:rFonts w:ascii="Times New Roman;Times;Serif" w:hAnsi="Times New Roman;Times;Serif"/>
                <w:b/>
                <w:sz w:val="20"/>
              </w:rPr>
              <w:t>Houston</w:t>
            </w:r>
            <w:r>
              <w:rPr/>
              <w:t xml:space="preserve"> </w:t>
            </w:r>
            <w:bookmarkStart w:id="10" w:name="xdx_909_edei--EntityAddressStateOrProvin"/>
            <w:bookmarkEnd w:id="10"/>
            <w:r>
              <w:rPr>
                <w:rFonts w:ascii="Times New Roman;Times;Serif" w:hAnsi="Times New Roman;Times;Serif"/>
                <w:b/>
                <w:sz w:val="20"/>
              </w:rPr>
              <w:t>Texas</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0_edei--EntityAddressPostalZipCode"/>
            <w:bookmarkEnd w:id="11"/>
            <w:r>
              <w:rPr>
                <w:rFonts w:ascii="Times New Roman;Times;Serif" w:hAnsi="Times New Roman;Times;Serif"/>
                <w:b/>
                <w:sz w:val="20"/>
              </w:rPr>
              <w:t>77002</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tbl>
      <w:tblPr>
        <w:tblW w:w="5665" w:type="dxa"/>
        <w:jc w:val="left"/>
        <w:tblInd w:w="0" w:type="dxa"/>
        <w:tblLayout w:type="fixed"/>
        <w:tblCellMar>
          <w:top w:w="0" w:type="dxa"/>
          <w:left w:w="0" w:type="dxa"/>
          <w:bottom w:w="0" w:type="dxa"/>
          <w:right w:w="0" w:type="dxa"/>
        </w:tblCellMar>
      </w:tblPr>
      <w:tblGrid>
        <w:gridCol w:w="4280"/>
        <w:gridCol w:w="1310"/>
        <w:gridCol w:w="75"/>
      </w:tblGrid>
      <w:tr>
        <w:trPr/>
        <w:tc>
          <w:tcPr>
            <w:tcW w:w="4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Registrant’s telephone number, including area code:</w:t>
            </w:r>
          </w:p>
        </w:tc>
        <w:tc>
          <w:tcPr>
            <w:tcW w:w="1310" w:type="dxa"/>
            <w:tcBorders/>
            <w:vAlign w:val="center"/>
          </w:tcPr>
          <w:p>
            <w:pPr>
              <w:pStyle w:val="TableContents"/>
              <w:bidi w:val="0"/>
              <w:spacing w:before="0" w:after="283"/>
              <w:jc w:val="center"/>
              <w:rPr/>
            </w:pPr>
            <w:r>
              <w:rPr>
                <w:rFonts w:ascii="Times New Roman;Times;Serif" w:hAnsi="Times New Roman;Times;Serif"/>
                <w:b/>
                <w:sz w:val="20"/>
              </w:rPr>
              <w:t>(</w:t>
            </w:r>
            <w:bookmarkStart w:id="12" w:name="xdx_903_edei--CityAreaCode_c20260226__20"/>
            <w:bookmarkEnd w:id="12"/>
            <w:r>
              <w:rPr>
                <w:rFonts w:ascii="Times New Roman;Times;Serif" w:hAnsi="Times New Roman;Times;Serif"/>
                <w:b/>
                <w:sz w:val="20"/>
              </w:rPr>
              <w:t>713)</w:t>
            </w:r>
            <w:r>
              <w:rPr/>
              <w:t xml:space="preserve"> </w:t>
            </w:r>
            <w:bookmarkStart w:id="13" w:name="xdx_901_edei--LocalPhoneNumber_c20260226"/>
            <w:bookmarkEnd w:id="13"/>
            <w:r>
              <w:rPr>
                <w:rFonts w:ascii="Times New Roman;Times;Serif" w:hAnsi="Times New Roman;Times;Serif"/>
                <w:b/>
                <w:sz w:val="20"/>
              </w:rPr>
              <w:t>207-1111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4" w:name="xdx_900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5" w:name="xdx_909_edei--SolicitingMaterial_c202602"/>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6" w:name="xdx_907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7" w:name="xdx_90F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2645"/>
        <w:gridCol w:w="1535"/>
        <w:gridCol w:w="3590"/>
      </w:tblGrid>
      <w:tr>
        <w:trPr/>
        <w:tc>
          <w:tcPr>
            <w:tcW w:w="77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7770" w:type="dxa"/>
            <w:gridSpan w:val="3"/>
            <w:tcBorders/>
            <w:vAlign w:val="center"/>
          </w:tcPr>
          <w:p>
            <w:pPr>
              <w:pStyle w:val="TableContents"/>
              <w:bidi w:val="0"/>
              <w:spacing w:before="0" w:after="283"/>
              <w:jc w:val="left"/>
              <w:rPr/>
            </w:pPr>
            <w:r>
              <w:rPr/>
              <w:t> </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45" w:type="dxa"/>
            <w:tcBorders/>
            <w:vAlign w:val="center"/>
          </w:tcPr>
          <w:p>
            <w:pPr>
              <w:pStyle w:val="TableContents"/>
              <w:bidi w:val="0"/>
              <w:spacing w:before="0" w:after="283"/>
              <w:jc w:val="center"/>
              <w:rPr>
                <w:rFonts w:ascii="Times New Roman;Times;Serif" w:hAnsi="Times New Roman;Times;Serif"/>
                <w:sz w:val="20"/>
              </w:rPr>
            </w:pPr>
            <w:bookmarkStart w:id="18" w:name="xdx_90F_edei--Security12bTitle_c20260226"/>
            <w:bookmarkEnd w:id="18"/>
            <w:r>
              <w:rPr>
                <w:rFonts w:ascii="Times New Roman;Times;Serif" w:hAnsi="Times New Roman;Times;Serif"/>
                <w:sz w:val="20"/>
              </w:rPr>
              <w:t>Common Stock, $0.01 par value</w:t>
            </w:r>
          </w:p>
        </w:tc>
        <w:tc>
          <w:tcPr>
            <w:tcW w:w="1535" w:type="dxa"/>
            <w:tcBorders/>
            <w:vAlign w:val="center"/>
          </w:tcPr>
          <w:p>
            <w:pPr>
              <w:pStyle w:val="TableContents"/>
              <w:bidi w:val="0"/>
              <w:spacing w:before="0" w:after="283"/>
              <w:jc w:val="center"/>
              <w:rPr>
                <w:rFonts w:ascii="Times New Roman;Times;Serif" w:hAnsi="Times New Roman;Times;Serif"/>
                <w:sz w:val="20"/>
              </w:rPr>
            </w:pPr>
            <w:bookmarkStart w:id="19" w:name="xdx_901_edei--TradingSymbol_c20260226__2"/>
            <w:bookmarkEnd w:id="19"/>
            <w:r>
              <w:rPr>
                <w:rFonts w:ascii="Times New Roman;Times;Serif" w:hAnsi="Times New Roman;Times;Serif"/>
                <w:sz w:val="20"/>
              </w:rPr>
              <w:t>CNP</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D_edei--SecurityExchangeName_c2026"/>
            <w:bookmarkEnd w:id="20"/>
            <w:r>
              <w:rPr>
                <w:rFonts w:ascii="Times New Roman;Times;Serif" w:hAnsi="Times New Roman;Times;Serif"/>
                <w:sz w:val="20"/>
              </w:rPr>
              <w:t>New York Stock Exchange</w:t>
            </w:r>
          </w:p>
        </w:tc>
      </w:tr>
      <w:tr>
        <w:trPr/>
        <w:tc>
          <w:tcPr>
            <w:tcW w:w="2645"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sz w:val="20"/>
              </w:rPr>
            </w:pPr>
            <w:r>
              <w:rPr>
                <w:sz w:val="20"/>
              </w:rPr>
              <w:t>NYSE 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pPr>
            <w:r>
              <w:rPr>
                <w:b/>
                <w:shd w:fill="FFFFFF" w:val="clear"/>
              </w:rPr>
              <w:t>Entry into a Material Definitive Agreement</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CenterPoint Energy, Inc. (the “Company”) completed the sale of $650,000,000 aggregate principal amount of 2.875% Convertible Senior Notes due 2029 (the “Notes”), which amount included an additional $50,000,000 aggregate principal amount of Notes purchased pursuant to the full exercise of the option granted to the Initial Purchasers (as defined herein) pursuant to the Purchase Agreement (as defined herein). The Notes were sold in a private offering to the initial purchasers in reliance on the exemption from the registration requirements provided by Section 4(a)(2) of the Securities Act of 1933, as amended (the “Securities Act”), and were resold to persons reasonably believed to be qualified institutional buyers pursuant to Rule 144A promulgated under the Securities Act. The Notes were sold under a purchase agreement (the “Purchase Agreement”) dated February 23, 2026 among the Company and the initial purchasers (the “Initial Purchasers”) party thereto. The Notes and any Common Stock (as defined below) issuable upon any conversion of the Notes may be offered and resold only in transactions that are exempt from registration under the Securities Act and other applicable securities laws. The net proceeds from the sale of the $650,000,000 aggregate principal amount of Notes, after deducting estimated initial purchaser discounts and other offering expenses, were approximately $641.5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Notes pursuant to an Indenture (the “Indenture”), dated as of February 26, 2026 by and between the Company and The Bank of New York Mellon Trust Company, National Association, as trustee (the “Trustee”). The Notes will bear interest at a rate of 2.875% per year until maturity. Interest on the Notes is payable semiannually in arrears on May 15 and November 15 of each year, beginning on November 15, 2026. The Notes will mature on May 15, 2029, unless earlier converted or repurchased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close of business on the business day immediately preceding February 15, 2029, the Notes will be convertible only under certain conditions. On or after February 15, 2029 until the close of business on the second scheduled trading day immediately preceding the maturity date, holders may convert all or any portion of their Notes at any time at the conversion rate then in effect, irrespective of the conditions. The Company may not redeem the Notes prior to the maturity date and no sinking fund is provided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of the Notes, the Company will pay cash up to the aggregate principal amount of the Notes to be converted and pay or deliver, as the case may be, cash, shares of the Company’s common stock, par value $0.01 per share (the “Common Stock”), or a combination of cash and shares of Common Stock, at the Company’s election, in respect of the remainder, if any, of the Company’s conversion obligation in excess of the aggregate principal amount of the Notes being converted. The conversion rate for the Notes will initially be 18.6524 shares of Common Stock per $1,000 principal amount of Notes (equivalent to an initial conversion price of approximately $53.61 per share of Common Stock). The initial conversion price of the Notes represents a premium of approximately 25.0% over the last reported sale price of the Common Stock on the New York Stock Exchange on February 23, 2026. Initially, a maximum of 15,155,010 shares of Common Stock may be issued upon conversion of the Notes based on the initial maximum conversion rate of 23.3154 shares of Common Stock per $1,000 principal amount of Notes. The conversion rate will be subject to adjustment in some events (as described in the Indenture) but will not be adjusted for any accrued and unpaid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following certain corporate events that occur prior to the maturity date, the Company will, in certain circumstances, increase the conversion rate for a holder who elects to convert its Notes in connection with such a corporate event. If the Company undergoes a fundamental change (as described in the Indenture) (other than an exempted fundamental change, as described in the Indenture), holders of the Notes may require the Company to repurchase for cash all or any portion of their Notes properly surrendered and not validly withdrawn (as described in the Indenture) at a fundamental change repurchase price equal to 100% of the principal amount of the Notes to be repurchased, plus accrued and unpaid interest to, but excluding, the fundamental change repurchase date (as described in the Indenture). In addition, if a make-whole fundamental change occurs (as described in the Indenture), the Company may be required, in certain circumstances, to increase the conversion rate for any Notes converted in connection with such make-whole fundamental change by a specified number of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for customary events of default, which include (subject in certain cases to grace and cure periods), among others: nonpayment of principal or interest when due and payable; breach of covenants or other agreements in the Indenture (including defaults under certain other indebtedness of the Company); and certain events of bankruptcy, insolvency or reorganization. Generally, if an event of default occurs and is continuing under the Indenture for 90 days after written notice, either the Trustee or the holders of at least 33% in aggregate principal amount of the Notes then outstanding may declare the principal amount plus accrued and unpaid interest on the Notes to be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the Company and will rank senior in right of payment to any of the Company’s indebtedness that is expressly subordinated in right of payment to the Notes; rank equal in right of payment to any of the Company’s unsecured indebtedness that is not so subordinated, including the Company’s 4.25% Convertible Senior Notes due 2026 and the Company’s 3.00% Convertible Senior Notes due 2028; effectively rank junior in right of payment to any of the Company’s secured indebtedness the Company may incur in the future to the extent of the value of the assets securing such future secured indebtedness; and rank structurally junior to all indebtedness and other liabilities (including trade payables but excluding intercompany obligations and liabilities of a type not required to be reflected on a balance sheet of such subsidiaries in accordance with generally accepted accounting principles)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Indenture and the Notes above is not complete and is qualified in its entirety by reference to the full text of the Indenture and the Form of 2.875% Convertible Senior Notes due 2029, which are filed as Exhibits 4.1 and 4.2,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91"/>
        <w:gridCol w:w="9276"/>
      </w:tblGrid>
      <w:tr>
        <w:trPr/>
        <w:tc>
          <w:tcPr>
            <w:tcW w:w="3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b/>
              </w:rPr>
            </w:pPr>
            <w:r>
              <w:rPr>
                <w:b/>
              </w:rPr>
              <w:t>Item 2.03.</w:t>
            </w:r>
          </w:p>
        </w:tc>
        <w:tc>
          <w:tcPr>
            <w:tcW w:w="9276"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02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both"/>
              <w:rPr>
                <w:b/>
              </w:rPr>
            </w:pPr>
            <w:r>
              <w:rPr>
                <w:b/>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of this Current Report on Form 8-K is incorporated by reference into this Item 3.02.</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02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forms of agreements included as exhibits are included only to provide information to investors regarding their terms. Agreements and forms of agreements listed below may contain representations, warranties and other provisions that were made, among other things, to provide the parties thereto with specified rights and obligations and to allocate risk among them, and no such agreement or form of agreement should be relied upon as constituting or providing any factual disclosures about the Company, any other person, any state of affairs or other matters.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9"/>
        <w:gridCol w:w="60"/>
        <w:gridCol w:w="9226"/>
      </w:tblGrid>
      <w:tr>
        <w:trPr/>
        <w:tc>
          <w:tcPr>
            <w:tcW w:w="919" w:type="dxa"/>
            <w:tcBorders>
              <w:bottom w:val="single" w:sz="8" w:space="0" w:color="000000"/>
            </w:tcBorders>
            <w:vAlign w:val="center"/>
          </w:tcPr>
          <w:p>
            <w:pPr>
              <w:pStyle w:val="TableContents"/>
              <w:bidi w:val="0"/>
              <w:spacing w:before="0" w:after="283"/>
              <w:jc w:val="center"/>
              <w:rPr/>
            </w:pPr>
            <w:r>
              <w:rPr>
                <w:b/>
                <w:sz w:val="20"/>
              </w:rPr>
              <w:t>EXHIBIT</w:t>
            </w:r>
            <w:r>
              <w:rPr/>
              <w:t xml:space="preserve"> </w:t>
            </w:r>
            <w:r>
              <w:rPr>
                <w:b/>
                <w:sz w:val="20"/>
              </w:rPr>
              <w:br/>
              <w:t>NUMBER</w:t>
            </w:r>
          </w:p>
        </w:tc>
        <w:tc>
          <w:tcPr>
            <w:tcW w:w="60" w:type="dxa"/>
            <w:tcBorders/>
            <w:tcMar>
              <w:bottom w:w="0" w:type="dxa"/>
            </w:tcMar>
            <w:vAlign w:val="center"/>
          </w:tcPr>
          <w:p>
            <w:pPr>
              <w:pStyle w:val="TableContents"/>
              <w:bidi w:val="0"/>
              <w:spacing w:before="0" w:after="283"/>
              <w:jc w:val="left"/>
              <w:rPr/>
            </w:pPr>
            <w:r>
              <w:rPr/>
              <w:t> </w:t>
            </w:r>
          </w:p>
        </w:tc>
        <w:tc>
          <w:tcPr>
            <w:tcW w:w="9226" w:type="dxa"/>
            <w:tcBorders>
              <w:bottom w:val="single" w:sz="8" w:space="0" w:color="000000"/>
            </w:tcBorders>
            <w:vAlign w:val="center"/>
          </w:tcPr>
          <w:p>
            <w:pPr>
              <w:pStyle w:val="TableContents"/>
              <w:bidi w:val="0"/>
              <w:spacing w:before="0" w:after="283"/>
              <w:jc w:val="left"/>
              <w:rPr>
                <w:b/>
                <w:sz w:val="20"/>
              </w:rPr>
            </w:pPr>
            <w:r>
              <w:rPr>
                <w:b/>
                <w:sz w:val="20"/>
              </w:rPr>
              <w:t>EXHIBIT DESCRIPTION</w:t>
            </w:r>
          </w:p>
        </w:tc>
      </w:tr>
      <w:tr>
        <w:trPr/>
        <w:tc>
          <w:tcPr>
            <w:tcW w:w="91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26" w:type="dxa"/>
            <w:tcBorders/>
            <w:tcMar>
              <w:bottom w:w="0" w:type="dxa"/>
            </w:tcMar>
            <w:vAlign w:val="center"/>
          </w:tcPr>
          <w:p>
            <w:pPr>
              <w:pStyle w:val="TableContents"/>
              <w:bidi w:val="0"/>
              <w:spacing w:before="0" w:after="283"/>
              <w:jc w:val="left"/>
              <w:rPr/>
            </w:pPr>
            <w:r>
              <w:rPr/>
              <w:t> </w:t>
            </w:r>
          </w:p>
        </w:tc>
      </w:tr>
      <w:tr>
        <w:trPr/>
        <w:tc>
          <w:tcPr>
            <w:tcW w:w="919" w:type="dxa"/>
            <w:tcBorders/>
            <w:tcMar>
              <w:bottom w:w="0" w:type="dxa"/>
            </w:tcMar>
            <w:vAlign w:val="center"/>
          </w:tcPr>
          <w:p>
            <w:pPr>
              <w:pStyle w:val="TableContents"/>
              <w:bidi w:val="0"/>
              <w:spacing w:before="0" w:after="283"/>
              <w:jc w:val="center"/>
              <w:rPr/>
            </w:pPr>
            <w:hyperlink w:anchor="tm267410d1_ex4-1.htm">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26" w:type="dxa"/>
            <w:tcBorders/>
            <w:tcMar>
              <w:bottom w:w="0" w:type="dxa"/>
            </w:tcMar>
            <w:vAlign w:val="center"/>
          </w:tcPr>
          <w:p>
            <w:pPr>
              <w:pStyle w:val="TableContents"/>
              <w:bidi w:val="0"/>
              <w:spacing w:before="0" w:after="283"/>
              <w:jc w:val="both"/>
              <w:rPr/>
            </w:pPr>
            <w:hyperlink w:anchor="tm267410d1_ex4-1.htm">
              <w:r>
                <w:rPr>
                  <w:rStyle w:val="InternetLink"/>
                  <w:rFonts w:ascii="Times New Roman;Times;Serif" w:hAnsi="Times New Roman;Times;Serif"/>
                  <w:sz w:val="20"/>
                </w:rPr>
                <w:t>Indenture dated as of February 26, 2026, between CenterPoint Energy, Inc. and The Bank of New York Mellon Trust Company, National Association, as trustee.</w:t>
              </w:r>
            </w:hyperlink>
          </w:p>
        </w:tc>
      </w:tr>
      <w:tr>
        <w:trPr/>
        <w:tc>
          <w:tcPr>
            <w:tcW w:w="91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26" w:type="dxa"/>
            <w:tcBorders/>
            <w:tcMar>
              <w:bottom w:w="0" w:type="dxa"/>
            </w:tcMar>
            <w:vAlign w:val="center"/>
          </w:tcPr>
          <w:p>
            <w:pPr>
              <w:pStyle w:val="TableContents"/>
              <w:bidi w:val="0"/>
              <w:spacing w:before="0" w:after="283"/>
              <w:jc w:val="left"/>
              <w:rPr/>
            </w:pPr>
            <w:r>
              <w:rPr/>
              <w:t> </w:t>
            </w:r>
          </w:p>
        </w:tc>
      </w:tr>
      <w:tr>
        <w:trPr/>
        <w:tc>
          <w:tcPr>
            <w:tcW w:w="919" w:type="dxa"/>
            <w:tcBorders/>
            <w:tcMar>
              <w:bottom w:w="0" w:type="dxa"/>
            </w:tcMar>
            <w:vAlign w:val="center"/>
          </w:tcPr>
          <w:p>
            <w:pPr>
              <w:pStyle w:val="TableContents"/>
              <w:bidi w:val="0"/>
              <w:spacing w:before="0" w:after="283"/>
              <w:jc w:val="center"/>
              <w:rPr/>
            </w:pPr>
            <w:hyperlink w:anchor="tm267410d1_ex4-1.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26" w:type="dxa"/>
            <w:tcBorders/>
            <w:tcMar>
              <w:bottom w:w="0" w:type="dxa"/>
            </w:tcMar>
            <w:vAlign w:val="center"/>
          </w:tcPr>
          <w:p>
            <w:pPr>
              <w:pStyle w:val="TableContents"/>
              <w:bidi w:val="0"/>
              <w:spacing w:before="0" w:after="283"/>
              <w:jc w:val="left"/>
              <w:rPr/>
            </w:pPr>
            <w:hyperlink w:anchor="tm267410d1_ex4-1.htm">
              <w:r>
                <w:rPr>
                  <w:rStyle w:val="InternetLink"/>
                  <w:rFonts w:ascii="Times New Roman;Times;Serif" w:hAnsi="Times New Roman;Times;Serif"/>
                  <w:sz w:val="20"/>
                </w:rPr>
                <w:t>Form of 2.875% Convertible Senior Note due 2029 (included in Exhibit 4.1).</w:t>
              </w:r>
            </w:hyperlink>
          </w:p>
        </w:tc>
      </w:tr>
      <w:tr>
        <w:trPr/>
        <w:tc>
          <w:tcPr>
            <w:tcW w:w="91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26" w:type="dxa"/>
            <w:tcBorders/>
            <w:tcMar>
              <w:bottom w:w="0" w:type="dxa"/>
            </w:tcMar>
            <w:vAlign w:val="center"/>
          </w:tcPr>
          <w:p>
            <w:pPr>
              <w:pStyle w:val="TableContents"/>
              <w:bidi w:val="0"/>
              <w:spacing w:before="0" w:after="283"/>
              <w:jc w:val="left"/>
              <w:rPr/>
            </w:pPr>
            <w:r>
              <w:rPr/>
              <w:t> </w:t>
            </w:r>
          </w:p>
        </w:tc>
      </w:tr>
      <w:tr>
        <w:trPr/>
        <w:tc>
          <w:tcPr>
            <w:tcW w:w="91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2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045"/>
        <w:gridCol w:w="380"/>
        <w:gridCol w:w="4220"/>
      </w:tblGrid>
      <w:tr>
        <w:trPr/>
        <w:tc>
          <w:tcPr>
            <w:tcW w:w="2045" w:type="dxa"/>
            <w:tcBorders/>
            <w:vAlign w:val="center"/>
          </w:tcPr>
          <w:p>
            <w:pPr>
              <w:pStyle w:val="TableContents"/>
              <w:bidi w:val="0"/>
              <w:spacing w:before="0" w:after="283"/>
              <w:jc w:val="left"/>
              <w:rPr/>
            </w:pPr>
            <w:r>
              <w:rPr/>
              <w:t> </w:t>
            </w:r>
          </w:p>
        </w:tc>
        <w:tc>
          <w:tcPr>
            <w:tcW w:w="46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INC.</w:t>
            </w:r>
          </w:p>
        </w:tc>
      </w:tr>
      <w:tr>
        <w:trPr/>
        <w:tc>
          <w:tcPr>
            <w:tcW w:w="20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26, 2026</w:t>
            </w:r>
          </w:p>
        </w:tc>
        <w:tc>
          <w:tcPr>
            <w:tcW w:w="380" w:type="dxa"/>
            <w:tcBorders/>
            <w:vAlign w:val="center"/>
          </w:tcPr>
          <w:p>
            <w:pPr>
              <w:pStyle w:val="TableContents"/>
              <w:bidi w:val="0"/>
              <w:spacing w:before="0" w:after="283"/>
              <w:jc w:val="left"/>
              <w:rPr/>
            </w:pPr>
            <w:r>
              <w:rPr>
                <w:rFonts w:ascii="Times New Roman;Times;Serif" w:hAnsi="Times New Roman;Times;Serif"/>
                <w:sz w:val="20"/>
              </w:rPr>
              <w:t>By:</w:t>
            </w:r>
            <w:r>
              <w:rPr/>
              <w:t> </w:t>
            </w:r>
          </w:p>
        </w:tc>
        <w:tc>
          <w:tcPr>
            <w:tcW w:w="42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Kristie L. Colvin</w:t>
            </w:r>
          </w:p>
        </w:tc>
      </w:tr>
      <w:tr>
        <w:trPr/>
        <w:tc>
          <w:tcPr>
            <w:tcW w:w="20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Kristie L. Colvin</w:t>
            </w:r>
          </w:p>
        </w:tc>
      </w:tr>
      <w:tr>
        <w:trPr/>
        <w:tc>
          <w:tcPr>
            <w:tcW w:w="20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7410d1_ex4-1.htm"/>
      <w:bookmarkStart w:id="23" w:name="kstm267410d1_ex4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pBdr>
          <w:top w:val="double" w:sz="6"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 Convertible Senior Notes due 2029</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1100"/>
        <w:gridCol w:w="6995"/>
        <w:gridCol w:w="485"/>
      </w:tblGrid>
      <w:tr>
        <w:trPr/>
        <w:tc>
          <w:tcPr>
            <w:tcW w:w="1100" w:type="dxa"/>
            <w:tcBorders/>
            <w:vAlign w:val="center"/>
          </w:tcPr>
          <w:p>
            <w:pPr>
              <w:pStyle w:val="TableContents"/>
              <w:bidi w:val="0"/>
              <w:spacing w:before="0" w:after="283"/>
              <w:jc w:val="left"/>
              <w:rPr>
                <w:smallCaps/>
              </w:rPr>
            </w:pPr>
            <w:r>
              <w:rPr>
                <w:smallCaps/>
              </w:rPr>
              <w:t> </w:t>
            </w:r>
          </w:p>
        </w:tc>
        <w:tc>
          <w:tcPr>
            <w:tcW w:w="69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mallCaps/>
                <w:sz w:val="20"/>
                <w:u w:val="single"/>
              </w:rPr>
            </w:pPr>
            <w:r>
              <w:rPr>
                <w:smallCaps/>
                <w:sz w:val="20"/>
                <w:u w:val="single"/>
              </w:rPr>
              <w:t>Page</w:t>
            </w:r>
          </w:p>
        </w:tc>
      </w:tr>
      <w:tr>
        <w:trPr/>
        <w:tc>
          <w:tcPr>
            <w:tcW w:w="8580" w:type="dxa"/>
            <w:gridSpan w:val="3"/>
            <w:tcBorders/>
            <w:vAlign w:val="center"/>
          </w:tcPr>
          <w:p>
            <w:pPr>
              <w:pStyle w:val="TableContents"/>
              <w:bidi w:val="0"/>
              <w:jc w:val="center"/>
              <w:rPr>
                <w:caps/>
                <w:sz w:val="20"/>
              </w:rPr>
            </w:pPr>
            <w:r>
              <w:rPr>
                <w:caps/>
                <w:sz w:val="20"/>
              </w:rPr>
              <w:t>Article 1</w:t>
            </w:r>
          </w:p>
          <w:p>
            <w:pPr>
              <w:pStyle w:val="TableContents"/>
              <w:bidi w:val="0"/>
              <w:spacing w:before="0" w:after="283"/>
              <w:jc w:val="center"/>
              <w:rPr>
                <w:smallCaps/>
                <w:sz w:val="20"/>
              </w:rPr>
            </w:pPr>
            <w:r>
              <w:rPr>
                <w:smallCaps/>
                <w:sz w:val="20"/>
              </w:rPr>
              <w:t>Definitions</w:t>
            </w:r>
          </w:p>
        </w:tc>
      </w:tr>
      <w:tr>
        <w:trPr/>
        <w:tc>
          <w:tcPr>
            <w:tcW w:w="8095" w:type="dxa"/>
            <w:gridSpan w:val="2"/>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1.01</w:t>
            </w:r>
            <w:r>
              <w:rPr>
                <w:i/>
                <w:sz w:val="20"/>
              </w:rPr>
              <w:t>.</w:t>
            </w:r>
          </w:p>
        </w:tc>
        <w:tc>
          <w:tcPr>
            <w:tcW w:w="6995" w:type="dxa"/>
            <w:tcBorders/>
            <w:vAlign w:val="center"/>
          </w:tcPr>
          <w:p>
            <w:pPr>
              <w:pStyle w:val="TableContents"/>
              <w:bidi w:val="0"/>
              <w:spacing w:before="0" w:after="283"/>
              <w:jc w:val="left"/>
              <w:rPr>
                <w:i/>
                <w:sz w:val="20"/>
              </w:rPr>
            </w:pPr>
            <w:r>
              <w:rPr>
                <w:i/>
                <w:sz w:val="20"/>
              </w:rPr>
              <w:t>Definitions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100" w:type="dxa"/>
            <w:tcBorders/>
            <w:vAlign w:val="center"/>
          </w:tcPr>
          <w:p>
            <w:pPr>
              <w:pStyle w:val="TableContents"/>
              <w:bidi w:val="0"/>
              <w:spacing w:before="0" w:after="283"/>
              <w:jc w:val="left"/>
              <w:rPr>
                <w:sz w:val="20"/>
              </w:rPr>
            </w:pPr>
            <w:r>
              <w:rPr>
                <w:sz w:val="20"/>
              </w:rPr>
              <w:t>Section 1.02</w:t>
            </w:r>
            <w:r>
              <w:rPr>
                <w:i/>
                <w:sz w:val="20"/>
              </w:rPr>
              <w:t>.</w:t>
            </w:r>
          </w:p>
        </w:tc>
        <w:tc>
          <w:tcPr>
            <w:tcW w:w="6995" w:type="dxa"/>
            <w:tcBorders/>
            <w:vAlign w:val="center"/>
          </w:tcPr>
          <w:p>
            <w:pPr>
              <w:pStyle w:val="TableContents"/>
              <w:bidi w:val="0"/>
              <w:spacing w:before="0" w:after="283"/>
              <w:jc w:val="left"/>
              <w:rPr>
                <w:i/>
                <w:sz w:val="20"/>
              </w:rPr>
            </w:pPr>
            <w:r>
              <w:rPr>
                <w:i/>
                <w:sz w:val="20"/>
              </w:rPr>
              <w:t>References to Interest</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0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580" w:type="dxa"/>
            <w:gridSpan w:val="3"/>
            <w:tcBorders/>
            <w:vAlign w:val="center"/>
          </w:tcPr>
          <w:p>
            <w:pPr>
              <w:pStyle w:val="TableContents"/>
              <w:bidi w:val="0"/>
              <w:spacing w:before="0" w:after="283"/>
              <w:jc w:val="center"/>
              <w:rPr/>
            </w:pPr>
            <w:r>
              <w:rPr>
                <w:caps/>
                <w:sz w:val="20"/>
              </w:rPr>
              <w:t>Article 2</w:t>
              <w:br/>
            </w:r>
            <w:r>
              <w:rPr>
                <w:smallCaps/>
                <w:sz w:val="20"/>
              </w:rPr>
              <w:t>Issue, Description, Execution, Registration and Exchange Of Notes</w:t>
            </w:r>
          </w:p>
        </w:tc>
      </w:tr>
      <w:tr>
        <w:trPr/>
        <w:tc>
          <w:tcPr>
            <w:tcW w:w="8095" w:type="dxa"/>
            <w:gridSpan w:val="2"/>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2.01</w:t>
            </w:r>
            <w:r>
              <w:rPr>
                <w:i/>
                <w:sz w:val="20"/>
              </w:rPr>
              <w:t>.</w:t>
            </w:r>
          </w:p>
        </w:tc>
        <w:tc>
          <w:tcPr>
            <w:tcW w:w="6995" w:type="dxa"/>
            <w:tcBorders/>
            <w:vAlign w:val="center"/>
          </w:tcPr>
          <w:p>
            <w:pPr>
              <w:pStyle w:val="TableContents"/>
              <w:bidi w:val="0"/>
              <w:spacing w:before="0" w:after="283"/>
              <w:jc w:val="left"/>
              <w:rPr>
                <w:i/>
                <w:sz w:val="20"/>
              </w:rPr>
            </w:pPr>
            <w:r>
              <w:rPr>
                <w:i/>
                <w:sz w:val="20"/>
              </w:rPr>
              <w:t>Designation and Amount</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00" w:type="dxa"/>
            <w:tcBorders/>
            <w:vAlign w:val="center"/>
          </w:tcPr>
          <w:p>
            <w:pPr>
              <w:pStyle w:val="TableContents"/>
              <w:bidi w:val="0"/>
              <w:spacing w:before="0" w:after="283"/>
              <w:jc w:val="left"/>
              <w:rPr>
                <w:sz w:val="20"/>
              </w:rPr>
            </w:pPr>
            <w:r>
              <w:rPr>
                <w:sz w:val="20"/>
              </w:rPr>
              <w:t>Section 2.02</w:t>
            </w:r>
            <w:r>
              <w:rPr>
                <w:i/>
                <w:sz w:val="20"/>
              </w:rPr>
              <w:t>.</w:t>
            </w:r>
          </w:p>
        </w:tc>
        <w:tc>
          <w:tcPr>
            <w:tcW w:w="6995" w:type="dxa"/>
            <w:tcBorders/>
            <w:vAlign w:val="center"/>
          </w:tcPr>
          <w:p>
            <w:pPr>
              <w:pStyle w:val="TableContents"/>
              <w:bidi w:val="0"/>
              <w:spacing w:before="0" w:after="283"/>
              <w:jc w:val="left"/>
              <w:rPr>
                <w:i/>
                <w:sz w:val="20"/>
              </w:rPr>
            </w:pPr>
            <w:r>
              <w:rPr>
                <w:i/>
                <w:sz w:val="20"/>
              </w:rPr>
              <w:t>Form of Notes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100" w:type="dxa"/>
            <w:tcBorders/>
            <w:vAlign w:val="center"/>
          </w:tcPr>
          <w:p>
            <w:pPr>
              <w:pStyle w:val="TableContents"/>
              <w:bidi w:val="0"/>
              <w:spacing w:before="0" w:after="283"/>
              <w:jc w:val="left"/>
              <w:rPr>
                <w:sz w:val="20"/>
              </w:rPr>
            </w:pPr>
            <w:r>
              <w:rPr>
                <w:sz w:val="20"/>
              </w:rPr>
              <w:t>Section 2.03</w:t>
            </w:r>
            <w:r>
              <w:rPr>
                <w:i/>
                <w:sz w:val="20"/>
              </w:rPr>
              <w:t>.</w:t>
            </w:r>
          </w:p>
        </w:tc>
        <w:tc>
          <w:tcPr>
            <w:tcW w:w="6995" w:type="dxa"/>
            <w:tcBorders/>
            <w:vAlign w:val="center"/>
          </w:tcPr>
          <w:p>
            <w:pPr>
              <w:pStyle w:val="TableContents"/>
              <w:bidi w:val="0"/>
              <w:spacing w:before="0" w:after="283"/>
              <w:jc w:val="left"/>
              <w:rPr>
                <w:i/>
                <w:sz w:val="20"/>
              </w:rPr>
            </w:pPr>
            <w:r>
              <w:rPr>
                <w:i/>
                <w:sz w:val="20"/>
              </w:rPr>
              <w:t>Date and Denomination of Notes; Payments of Interest and Defaulted Amounts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100" w:type="dxa"/>
            <w:tcBorders/>
            <w:vAlign w:val="center"/>
          </w:tcPr>
          <w:p>
            <w:pPr>
              <w:pStyle w:val="TableContents"/>
              <w:bidi w:val="0"/>
              <w:spacing w:before="0" w:after="283"/>
              <w:jc w:val="left"/>
              <w:rPr>
                <w:sz w:val="20"/>
              </w:rPr>
            </w:pPr>
            <w:r>
              <w:rPr>
                <w:sz w:val="20"/>
              </w:rPr>
              <w:t>Section 2.04</w:t>
            </w:r>
            <w:r>
              <w:rPr>
                <w:i/>
                <w:sz w:val="20"/>
              </w:rPr>
              <w:t>.</w:t>
            </w:r>
          </w:p>
        </w:tc>
        <w:tc>
          <w:tcPr>
            <w:tcW w:w="6995" w:type="dxa"/>
            <w:tcBorders/>
            <w:vAlign w:val="center"/>
          </w:tcPr>
          <w:p>
            <w:pPr>
              <w:pStyle w:val="TableContents"/>
              <w:bidi w:val="0"/>
              <w:spacing w:before="0" w:after="283"/>
              <w:jc w:val="left"/>
              <w:rPr>
                <w:i/>
                <w:sz w:val="20"/>
              </w:rPr>
            </w:pPr>
            <w:r>
              <w:rPr>
                <w:i/>
                <w:sz w:val="20"/>
              </w:rPr>
              <w:t>Execution, Authentication and Delivery of Notes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00" w:type="dxa"/>
            <w:tcBorders/>
            <w:vAlign w:val="center"/>
          </w:tcPr>
          <w:p>
            <w:pPr>
              <w:pStyle w:val="TableContents"/>
              <w:bidi w:val="0"/>
              <w:spacing w:before="0" w:after="283"/>
              <w:jc w:val="left"/>
              <w:rPr>
                <w:sz w:val="20"/>
              </w:rPr>
            </w:pPr>
            <w:r>
              <w:rPr>
                <w:sz w:val="20"/>
              </w:rPr>
              <w:t>Section 2.05</w:t>
            </w:r>
            <w:r>
              <w:rPr>
                <w:i/>
                <w:sz w:val="20"/>
              </w:rPr>
              <w:t>.</w:t>
            </w:r>
          </w:p>
        </w:tc>
        <w:tc>
          <w:tcPr>
            <w:tcW w:w="6995" w:type="dxa"/>
            <w:tcBorders/>
            <w:vAlign w:val="center"/>
          </w:tcPr>
          <w:p>
            <w:pPr>
              <w:pStyle w:val="TableContents"/>
              <w:bidi w:val="0"/>
              <w:spacing w:before="0" w:after="283"/>
              <w:jc w:val="left"/>
              <w:rPr>
                <w:i/>
                <w:sz w:val="20"/>
              </w:rPr>
            </w:pPr>
            <w:r>
              <w:rPr>
                <w:i/>
                <w:sz w:val="20"/>
              </w:rPr>
              <w:t>Exchange and Registration of Transfer of Notes; Restrictions on Transfer; Depositary</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100" w:type="dxa"/>
            <w:tcBorders/>
            <w:vAlign w:val="center"/>
          </w:tcPr>
          <w:p>
            <w:pPr>
              <w:pStyle w:val="TableContents"/>
              <w:bidi w:val="0"/>
              <w:spacing w:before="0" w:after="283"/>
              <w:jc w:val="left"/>
              <w:rPr>
                <w:sz w:val="20"/>
              </w:rPr>
            </w:pPr>
            <w:r>
              <w:rPr>
                <w:sz w:val="20"/>
              </w:rPr>
              <w:t>Section 2.06</w:t>
            </w:r>
            <w:r>
              <w:rPr>
                <w:i/>
                <w:sz w:val="20"/>
              </w:rPr>
              <w:t>.</w:t>
            </w:r>
          </w:p>
        </w:tc>
        <w:tc>
          <w:tcPr>
            <w:tcW w:w="6995" w:type="dxa"/>
            <w:tcBorders/>
            <w:vAlign w:val="center"/>
          </w:tcPr>
          <w:p>
            <w:pPr>
              <w:pStyle w:val="TableContents"/>
              <w:bidi w:val="0"/>
              <w:spacing w:before="0" w:after="283"/>
              <w:jc w:val="left"/>
              <w:rPr>
                <w:i/>
                <w:sz w:val="20"/>
              </w:rPr>
            </w:pPr>
            <w:r>
              <w:rPr>
                <w:i/>
                <w:sz w:val="20"/>
              </w:rPr>
              <w:t>Mutilated, Destroyed, Lost or Stolen Notes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100" w:type="dxa"/>
            <w:tcBorders/>
            <w:vAlign w:val="center"/>
          </w:tcPr>
          <w:p>
            <w:pPr>
              <w:pStyle w:val="TableContents"/>
              <w:bidi w:val="0"/>
              <w:spacing w:before="0" w:after="283"/>
              <w:jc w:val="left"/>
              <w:rPr>
                <w:sz w:val="20"/>
              </w:rPr>
            </w:pPr>
            <w:r>
              <w:rPr>
                <w:sz w:val="20"/>
              </w:rPr>
              <w:t>Section 2.07</w:t>
            </w:r>
            <w:r>
              <w:rPr>
                <w:i/>
                <w:sz w:val="20"/>
              </w:rPr>
              <w:t>.</w:t>
            </w:r>
          </w:p>
        </w:tc>
        <w:tc>
          <w:tcPr>
            <w:tcW w:w="6995" w:type="dxa"/>
            <w:tcBorders/>
            <w:vAlign w:val="center"/>
          </w:tcPr>
          <w:p>
            <w:pPr>
              <w:pStyle w:val="TableContents"/>
              <w:bidi w:val="0"/>
              <w:spacing w:before="0" w:after="283"/>
              <w:jc w:val="left"/>
              <w:rPr>
                <w:i/>
                <w:sz w:val="20"/>
              </w:rPr>
            </w:pPr>
            <w:r>
              <w:rPr>
                <w:i/>
                <w:sz w:val="20"/>
              </w:rPr>
              <w:t>Temporary Notes</w:t>
            </w:r>
          </w:p>
        </w:tc>
        <w:tc>
          <w:tcPr>
            <w:tcW w:w="485" w:type="dxa"/>
            <w:tcBorders/>
            <w:vAlign w:val="center"/>
          </w:tcPr>
          <w:p>
            <w:pPr>
              <w:pStyle w:val="TableContents"/>
              <w:bidi w:val="0"/>
              <w:spacing w:before="0" w:after="283"/>
              <w:jc w:val="right"/>
              <w:rPr/>
            </w:pPr>
            <w:r>
              <w:rPr/>
              <w:t>29</w:t>
            </w:r>
          </w:p>
        </w:tc>
      </w:tr>
      <w:tr>
        <w:trPr/>
        <w:tc>
          <w:tcPr>
            <w:tcW w:w="1100" w:type="dxa"/>
            <w:tcBorders/>
            <w:vAlign w:val="center"/>
          </w:tcPr>
          <w:p>
            <w:pPr>
              <w:pStyle w:val="TableContents"/>
              <w:bidi w:val="0"/>
              <w:spacing w:before="0" w:after="283"/>
              <w:jc w:val="left"/>
              <w:rPr>
                <w:sz w:val="20"/>
              </w:rPr>
            </w:pPr>
            <w:r>
              <w:rPr>
                <w:sz w:val="20"/>
              </w:rPr>
              <w:t>Section 2.08</w:t>
            </w:r>
            <w:r>
              <w:rPr>
                <w:i/>
                <w:sz w:val="20"/>
              </w:rPr>
              <w:t>.</w:t>
            </w:r>
          </w:p>
        </w:tc>
        <w:tc>
          <w:tcPr>
            <w:tcW w:w="6995" w:type="dxa"/>
            <w:tcBorders/>
            <w:vAlign w:val="center"/>
          </w:tcPr>
          <w:p>
            <w:pPr>
              <w:pStyle w:val="TableContents"/>
              <w:bidi w:val="0"/>
              <w:spacing w:before="0" w:after="283"/>
              <w:jc w:val="left"/>
              <w:rPr>
                <w:i/>
                <w:sz w:val="20"/>
              </w:rPr>
            </w:pPr>
            <w:r>
              <w:rPr>
                <w:i/>
                <w:sz w:val="20"/>
              </w:rPr>
              <w:t>Cancellation of Notes Paid, Converted, Etc.</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sz w:val="20"/>
              </w:rPr>
            </w:pPr>
            <w:r>
              <w:rPr>
                <w:sz w:val="20"/>
              </w:rPr>
              <w:t>Section 2.09</w:t>
            </w:r>
            <w:r>
              <w:rPr>
                <w:i/>
                <w:sz w:val="20"/>
              </w:rPr>
              <w:t>.</w:t>
            </w:r>
          </w:p>
        </w:tc>
        <w:tc>
          <w:tcPr>
            <w:tcW w:w="6995" w:type="dxa"/>
            <w:tcBorders/>
            <w:vAlign w:val="center"/>
          </w:tcPr>
          <w:p>
            <w:pPr>
              <w:pStyle w:val="TableContents"/>
              <w:bidi w:val="0"/>
              <w:spacing w:before="0" w:after="283"/>
              <w:jc w:val="left"/>
              <w:rPr>
                <w:i/>
                <w:sz w:val="20"/>
              </w:rPr>
            </w:pPr>
            <w:r>
              <w:rPr>
                <w:i/>
                <w:sz w:val="20"/>
              </w:rPr>
              <w:t>CUSIP Numbers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100" w:type="dxa"/>
            <w:tcBorders/>
            <w:vAlign w:val="center"/>
          </w:tcPr>
          <w:p>
            <w:pPr>
              <w:pStyle w:val="TableContents"/>
              <w:bidi w:val="0"/>
              <w:spacing w:before="0" w:after="283"/>
              <w:jc w:val="left"/>
              <w:rPr>
                <w:sz w:val="20"/>
              </w:rPr>
            </w:pPr>
            <w:r>
              <w:rPr>
                <w:sz w:val="20"/>
              </w:rPr>
              <w:t>Section 2.10</w:t>
            </w:r>
            <w:r>
              <w:rPr>
                <w:i/>
                <w:sz w:val="20"/>
              </w:rPr>
              <w:t>.</w:t>
            </w:r>
          </w:p>
        </w:tc>
        <w:tc>
          <w:tcPr>
            <w:tcW w:w="6995" w:type="dxa"/>
            <w:tcBorders/>
            <w:vAlign w:val="center"/>
          </w:tcPr>
          <w:p>
            <w:pPr>
              <w:pStyle w:val="TableContents"/>
              <w:bidi w:val="0"/>
              <w:spacing w:before="0" w:after="283"/>
              <w:jc w:val="left"/>
              <w:rPr>
                <w:i/>
                <w:sz w:val="20"/>
              </w:rPr>
            </w:pPr>
            <w:r>
              <w:rPr>
                <w:i/>
                <w:sz w:val="20"/>
              </w:rPr>
              <w:t>Additional Notes; Repurchases</w:t>
            </w:r>
          </w:p>
        </w:tc>
        <w:tc>
          <w:tcPr>
            <w:tcW w:w="485" w:type="dxa"/>
            <w:tcBorders/>
            <w:vAlign w:val="center"/>
          </w:tcPr>
          <w:p>
            <w:pPr>
              <w:pStyle w:val="TableContents"/>
              <w:bidi w:val="0"/>
              <w:spacing w:before="0" w:after="283"/>
              <w:jc w:val="right"/>
              <w:rPr/>
            </w:pPr>
            <w:r>
              <w:rPr/>
              <w:t>30</w:t>
            </w:r>
          </w:p>
        </w:tc>
      </w:tr>
      <w:tr>
        <w:trPr/>
        <w:tc>
          <w:tcPr>
            <w:tcW w:w="110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580" w:type="dxa"/>
            <w:gridSpan w:val="3"/>
            <w:tcBorders/>
            <w:vAlign w:val="center"/>
          </w:tcPr>
          <w:p>
            <w:pPr>
              <w:pStyle w:val="TableContents"/>
              <w:bidi w:val="0"/>
              <w:spacing w:before="0" w:after="283"/>
              <w:jc w:val="center"/>
              <w:rPr/>
            </w:pPr>
            <w:r>
              <w:rPr>
                <w:caps/>
                <w:sz w:val="20"/>
              </w:rPr>
              <w:t>Article 3</w:t>
            </w:r>
            <w:r>
              <w:rPr>
                <w:sz w:val="20"/>
              </w:rPr>
              <w:br/>
            </w:r>
            <w:r>
              <w:rPr>
                <w:smallCaps/>
                <w:sz w:val="20"/>
              </w:rPr>
              <w:t>Satisfaction and Discharge</w:t>
            </w:r>
          </w:p>
        </w:tc>
      </w:tr>
      <w:tr>
        <w:trPr/>
        <w:tc>
          <w:tcPr>
            <w:tcW w:w="8095" w:type="dxa"/>
            <w:gridSpan w:val="2"/>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3.01</w:t>
            </w:r>
            <w:r>
              <w:rPr>
                <w:i/>
                <w:sz w:val="20"/>
              </w:rPr>
              <w:t>.</w:t>
            </w:r>
          </w:p>
        </w:tc>
        <w:tc>
          <w:tcPr>
            <w:tcW w:w="6995" w:type="dxa"/>
            <w:tcBorders/>
            <w:vAlign w:val="center"/>
          </w:tcPr>
          <w:p>
            <w:pPr>
              <w:pStyle w:val="TableContents"/>
              <w:bidi w:val="0"/>
              <w:spacing w:before="0" w:after="283"/>
              <w:jc w:val="left"/>
              <w:rPr>
                <w:i/>
                <w:sz w:val="20"/>
              </w:rPr>
            </w:pPr>
            <w:r>
              <w:rPr>
                <w:i/>
                <w:sz w:val="20"/>
              </w:rPr>
              <w:t>Satisfaction and Discharge</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10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8580" w:type="dxa"/>
            <w:gridSpan w:val="3"/>
            <w:tcBorders/>
            <w:vAlign w:val="center"/>
          </w:tcPr>
          <w:p>
            <w:pPr>
              <w:pStyle w:val="TableContents"/>
              <w:bidi w:val="0"/>
              <w:spacing w:before="0" w:after="283"/>
              <w:jc w:val="center"/>
              <w:rPr>
                <w:smallCaps/>
              </w:rPr>
            </w:pPr>
            <w:r>
              <w:rPr>
                <w:caps/>
                <w:sz w:val="20"/>
              </w:rPr>
              <w:t>Article 4</w:t>
            </w:r>
            <w:r>
              <w:rPr>
                <w:smallCaps/>
                <w:sz w:val="20"/>
              </w:rPr>
              <w:br/>
              <w:t>Particular Covenants of the Company</w:t>
            </w:r>
          </w:p>
        </w:tc>
      </w:tr>
      <w:tr>
        <w:trPr/>
        <w:tc>
          <w:tcPr>
            <w:tcW w:w="8095" w:type="dxa"/>
            <w:gridSpan w:val="2"/>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4.01</w:t>
            </w:r>
            <w:r>
              <w:rPr>
                <w:i/>
                <w:sz w:val="20"/>
              </w:rPr>
              <w:t>.</w:t>
            </w:r>
          </w:p>
        </w:tc>
        <w:tc>
          <w:tcPr>
            <w:tcW w:w="6995" w:type="dxa"/>
            <w:tcBorders/>
            <w:vAlign w:val="center"/>
          </w:tcPr>
          <w:p>
            <w:pPr>
              <w:pStyle w:val="TableContents"/>
              <w:bidi w:val="0"/>
              <w:spacing w:before="0" w:after="283"/>
              <w:jc w:val="left"/>
              <w:rPr>
                <w:i/>
                <w:sz w:val="20"/>
              </w:rPr>
            </w:pPr>
            <w:r>
              <w:rPr>
                <w:i/>
                <w:sz w:val="20"/>
              </w:rPr>
              <w:t>Payment of Principal and Interest</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sz w:val="20"/>
              </w:rPr>
            </w:pPr>
            <w:r>
              <w:rPr>
                <w:sz w:val="20"/>
              </w:rPr>
              <w:t>Section 4.02</w:t>
            </w:r>
            <w:r>
              <w:rPr>
                <w:i/>
                <w:sz w:val="20"/>
              </w:rPr>
              <w:t>.</w:t>
            </w:r>
          </w:p>
        </w:tc>
        <w:tc>
          <w:tcPr>
            <w:tcW w:w="6995" w:type="dxa"/>
            <w:tcBorders/>
            <w:vAlign w:val="center"/>
          </w:tcPr>
          <w:p>
            <w:pPr>
              <w:pStyle w:val="TableContents"/>
              <w:bidi w:val="0"/>
              <w:spacing w:before="0" w:after="283"/>
              <w:jc w:val="left"/>
              <w:rPr>
                <w:i/>
                <w:sz w:val="20"/>
              </w:rPr>
            </w:pPr>
            <w:r>
              <w:rPr>
                <w:i/>
                <w:sz w:val="20"/>
              </w:rPr>
              <w:t>Maintenance of Office or Agency</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sz w:val="20"/>
              </w:rPr>
            </w:pPr>
            <w:r>
              <w:rPr>
                <w:sz w:val="20"/>
              </w:rPr>
              <w:t>Section 4.03</w:t>
            </w:r>
            <w:r>
              <w:rPr>
                <w:i/>
                <w:sz w:val="20"/>
              </w:rPr>
              <w:t>.</w:t>
            </w:r>
          </w:p>
        </w:tc>
        <w:tc>
          <w:tcPr>
            <w:tcW w:w="6995" w:type="dxa"/>
            <w:tcBorders/>
            <w:vAlign w:val="center"/>
          </w:tcPr>
          <w:p>
            <w:pPr>
              <w:pStyle w:val="TableContents"/>
              <w:bidi w:val="0"/>
              <w:spacing w:before="0" w:after="283"/>
              <w:jc w:val="left"/>
              <w:rPr>
                <w:i/>
                <w:sz w:val="20"/>
              </w:rPr>
            </w:pPr>
            <w:r>
              <w:rPr>
                <w:i/>
                <w:sz w:val="20"/>
              </w:rPr>
              <w:t>Appointments to Fill Vacancies in Trustee’s Office</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100" w:type="dxa"/>
            <w:tcBorders/>
            <w:vAlign w:val="center"/>
          </w:tcPr>
          <w:p>
            <w:pPr>
              <w:pStyle w:val="TableContents"/>
              <w:bidi w:val="0"/>
              <w:spacing w:before="0" w:after="283"/>
              <w:jc w:val="left"/>
              <w:rPr>
                <w:sz w:val="20"/>
              </w:rPr>
            </w:pPr>
            <w:r>
              <w:rPr>
                <w:sz w:val="20"/>
              </w:rPr>
              <w:t>Section 4.04</w:t>
            </w:r>
            <w:r>
              <w:rPr>
                <w:i/>
                <w:sz w:val="20"/>
              </w:rPr>
              <w:t>.</w:t>
            </w:r>
          </w:p>
        </w:tc>
        <w:tc>
          <w:tcPr>
            <w:tcW w:w="6995" w:type="dxa"/>
            <w:tcBorders/>
            <w:vAlign w:val="center"/>
          </w:tcPr>
          <w:p>
            <w:pPr>
              <w:pStyle w:val="TableContents"/>
              <w:bidi w:val="0"/>
              <w:spacing w:before="0" w:after="283"/>
              <w:jc w:val="left"/>
              <w:rPr>
                <w:i/>
                <w:sz w:val="20"/>
              </w:rPr>
            </w:pPr>
            <w:r>
              <w:rPr>
                <w:i/>
                <w:sz w:val="20"/>
              </w:rPr>
              <w:t>Provisions as to Paying Agent</w:t>
            </w:r>
          </w:p>
        </w:tc>
        <w:tc>
          <w:tcPr>
            <w:tcW w:w="485" w:type="dxa"/>
            <w:tcBorders/>
            <w:vAlign w:val="center"/>
          </w:tcPr>
          <w:p>
            <w:pPr>
              <w:pStyle w:val="TableContents"/>
              <w:bidi w:val="0"/>
              <w:spacing w:before="0" w:after="283"/>
              <w:jc w:val="right"/>
              <w:rPr/>
            </w:pPr>
            <w:r>
              <w:rPr/>
              <w:t>32</w:t>
            </w:r>
          </w:p>
        </w:tc>
      </w:tr>
      <w:tr>
        <w:trPr/>
        <w:tc>
          <w:tcPr>
            <w:tcW w:w="1100" w:type="dxa"/>
            <w:tcBorders/>
            <w:vAlign w:val="center"/>
          </w:tcPr>
          <w:p>
            <w:pPr>
              <w:pStyle w:val="TableContents"/>
              <w:bidi w:val="0"/>
              <w:spacing w:before="0" w:after="283"/>
              <w:jc w:val="left"/>
              <w:rPr>
                <w:sz w:val="20"/>
              </w:rPr>
            </w:pPr>
            <w:r>
              <w:rPr>
                <w:sz w:val="20"/>
              </w:rPr>
              <w:t>Section 4.05</w:t>
            </w:r>
            <w:r>
              <w:rPr>
                <w:i/>
                <w:sz w:val="20"/>
              </w:rPr>
              <w:t>.</w:t>
            </w:r>
          </w:p>
        </w:tc>
        <w:tc>
          <w:tcPr>
            <w:tcW w:w="6995" w:type="dxa"/>
            <w:tcBorders/>
            <w:vAlign w:val="center"/>
          </w:tcPr>
          <w:p>
            <w:pPr>
              <w:pStyle w:val="TableContents"/>
              <w:bidi w:val="0"/>
              <w:spacing w:before="0" w:after="283"/>
              <w:jc w:val="left"/>
              <w:rPr>
                <w:i/>
                <w:sz w:val="20"/>
              </w:rPr>
            </w:pPr>
            <w:r>
              <w:rPr>
                <w:i/>
                <w:sz w:val="20"/>
              </w:rPr>
              <w:t>Existence</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sz w:val="20"/>
              </w:rPr>
            </w:pPr>
            <w:r>
              <w:rPr>
                <w:sz w:val="20"/>
              </w:rPr>
              <w:t>Section 4.06</w:t>
            </w:r>
            <w:r>
              <w:rPr>
                <w:i/>
                <w:sz w:val="20"/>
              </w:rPr>
              <w:t>.</w:t>
            </w:r>
          </w:p>
        </w:tc>
        <w:tc>
          <w:tcPr>
            <w:tcW w:w="6995" w:type="dxa"/>
            <w:tcBorders/>
            <w:vAlign w:val="center"/>
          </w:tcPr>
          <w:p>
            <w:pPr>
              <w:pStyle w:val="TableContents"/>
              <w:bidi w:val="0"/>
              <w:spacing w:before="0" w:after="283"/>
              <w:jc w:val="left"/>
              <w:rPr>
                <w:i/>
                <w:sz w:val="20"/>
              </w:rPr>
            </w:pPr>
            <w:r>
              <w:rPr>
                <w:i/>
                <w:sz w:val="20"/>
              </w:rPr>
              <w:t>Rule 144A Information Requirement and Annual Reports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100" w:type="dxa"/>
            <w:tcBorders/>
            <w:vAlign w:val="center"/>
          </w:tcPr>
          <w:p>
            <w:pPr>
              <w:pStyle w:val="TableContents"/>
              <w:bidi w:val="0"/>
              <w:spacing w:before="0" w:after="283"/>
              <w:jc w:val="left"/>
              <w:rPr>
                <w:sz w:val="20"/>
              </w:rPr>
            </w:pPr>
            <w:r>
              <w:rPr>
                <w:sz w:val="20"/>
              </w:rPr>
              <w:t>Section 4.07</w:t>
            </w:r>
            <w:r>
              <w:rPr>
                <w:i/>
                <w:sz w:val="20"/>
              </w:rPr>
              <w:t>.</w:t>
            </w:r>
          </w:p>
        </w:tc>
        <w:tc>
          <w:tcPr>
            <w:tcW w:w="6995" w:type="dxa"/>
            <w:tcBorders/>
            <w:vAlign w:val="center"/>
          </w:tcPr>
          <w:p>
            <w:pPr>
              <w:pStyle w:val="TableContents"/>
              <w:bidi w:val="0"/>
              <w:spacing w:before="0" w:after="283"/>
              <w:jc w:val="left"/>
              <w:rPr>
                <w:i/>
                <w:sz w:val="20"/>
              </w:rPr>
            </w:pPr>
            <w:r>
              <w:rPr>
                <w:i/>
                <w:sz w:val="20"/>
              </w:rPr>
              <w:t>Stay, Extension and Usury Laws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00" w:type="dxa"/>
            <w:tcBorders/>
            <w:vAlign w:val="center"/>
          </w:tcPr>
          <w:p>
            <w:pPr>
              <w:pStyle w:val="TableContents"/>
              <w:bidi w:val="0"/>
              <w:spacing w:before="0" w:after="283"/>
              <w:jc w:val="left"/>
              <w:rPr>
                <w:sz w:val="20"/>
              </w:rPr>
            </w:pPr>
            <w:r>
              <w:rPr>
                <w:sz w:val="20"/>
              </w:rPr>
              <w:t>Section 4.08</w:t>
            </w:r>
            <w:r>
              <w:rPr>
                <w:i/>
                <w:sz w:val="20"/>
              </w:rPr>
              <w:t>.</w:t>
            </w:r>
          </w:p>
        </w:tc>
        <w:tc>
          <w:tcPr>
            <w:tcW w:w="6995" w:type="dxa"/>
            <w:tcBorders/>
            <w:vAlign w:val="center"/>
          </w:tcPr>
          <w:p>
            <w:pPr>
              <w:pStyle w:val="TableContents"/>
              <w:bidi w:val="0"/>
              <w:spacing w:before="0" w:after="283"/>
              <w:jc w:val="left"/>
              <w:rPr>
                <w:i/>
                <w:sz w:val="20"/>
              </w:rPr>
            </w:pPr>
            <w:r>
              <w:rPr>
                <w:i/>
                <w:sz w:val="20"/>
              </w:rPr>
              <w:t>Compliance Certificate; Statements as to Defaults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100" w:type="dxa"/>
            <w:tcBorders/>
            <w:vAlign w:val="center"/>
          </w:tcPr>
          <w:p>
            <w:pPr>
              <w:pStyle w:val="TableContents"/>
              <w:bidi w:val="0"/>
              <w:spacing w:before="0" w:after="283"/>
              <w:jc w:val="left"/>
              <w:rPr>
                <w:sz w:val="20"/>
              </w:rPr>
            </w:pPr>
            <w:r>
              <w:rPr>
                <w:sz w:val="20"/>
              </w:rPr>
              <w:t>Section 4.09</w:t>
            </w:r>
            <w:r>
              <w:rPr>
                <w:i/>
                <w:sz w:val="20"/>
              </w:rPr>
              <w:t>.</w:t>
            </w:r>
          </w:p>
        </w:tc>
        <w:tc>
          <w:tcPr>
            <w:tcW w:w="6995" w:type="dxa"/>
            <w:tcBorders/>
            <w:vAlign w:val="center"/>
          </w:tcPr>
          <w:p>
            <w:pPr>
              <w:pStyle w:val="TableContents"/>
              <w:bidi w:val="0"/>
              <w:spacing w:before="0" w:after="283"/>
              <w:jc w:val="left"/>
              <w:rPr>
                <w:i/>
                <w:sz w:val="20"/>
              </w:rPr>
            </w:pPr>
            <w:r>
              <w:rPr>
                <w:i/>
                <w:sz w:val="20"/>
              </w:rPr>
              <w:t>Further Instruments and Acts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30" w:type="dxa"/>
        <w:jc w:val="left"/>
        <w:tblInd w:w="0" w:type="dxa"/>
        <w:tblLayout w:type="fixed"/>
        <w:tblCellMar>
          <w:top w:w="0" w:type="dxa"/>
          <w:left w:w="0" w:type="dxa"/>
          <w:bottom w:w="0" w:type="dxa"/>
          <w:right w:w="0" w:type="dxa"/>
        </w:tblCellMar>
      </w:tblPr>
      <w:tblGrid>
        <w:gridCol w:w="1100"/>
        <w:gridCol w:w="8255"/>
        <w:gridCol w:w="275"/>
      </w:tblGrid>
      <w:tr>
        <w:trPr/>
        <w:tc>
          <w:tcPr>
            <w:tcW w:w="9630" w:type="dxa"/>
            <w:gridSpan w:val="3"/>
            <w:tcBorders/>
            <w:vAlign w:val="center"/>
          </w:tcPr>
          <w:p>
            <w:pPr>
              <w:pStyle w:val="TableContents"/>
              <w:bidi w:val="0"/>
              <w:spacing w:before="0" w:after="283"/>
              <w:jc w:val="center"/>
              <w:rPr>
                <w:smallCaps/>
              </w:rPr>
            </w:pPr>
            <w:r>
              <w:rPr>
                <w:caps/>
                <w:sz w:val="20"/>
              </w:rPr>
              <w:t>Article 5</w:t>
              <w:br/>
            </w:r>
            <w:r>
              <w:rPr>
                <w:smallCaps/>
                <w:sz w:val="20"/>
              </w:rPr>
              <w:t>Lists of Holders and Reports by the Company and the Trustee</w:t>
            </w:r>
          </w:p>
        </w:tc>
      </w:tr>
      <w:tr>
        <w:trPr/>
        <w:tc>
          <w:tcPr>
            <w:tcW w:w="935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5.01</w:t>
            </w:r>
            <w:r>
              <w:rPr>
                <w:i/>
                <w:sz w:val="20"/>
              </w:rPr>
              <w:t>.</w:t>
            </w:r>
          </w:p>
        </w:tc>
        <w:tc>
          <w:tcPr>
            <w:tcW w:w="8255" w:type="dxa"/>
            <w:tcBorders/>
            <w:vAlign w:val="center"/>
          </w:tcPr>
          <w:p>
            <w:pPr>
              <w:pStyle w:val="TableContents"/>
              <w:bidi w:val="0"/>
              <w:spacing w:before="0" w:after="283"/>
              <w:jc w:val="left"/>
              <w:rPr>
                <w:i/>
                <w:sz w:val="20"/>
              </w:rPr>
            </w:pPr>
            <w:r>
              <w:rPr>
                <w:i/>
                <w:sz w:val="20"/>
              </w:rPr>
              <w:t>Lists of Holders</w:t>
            </w:r>
          </w:p>
        </w:tc>
        <w:tc>
          <w:tcPr>
            <w:tcW w:w="275" w:type="dxa"/>
            <w:tcBorders/>
            <w:vAlign w:val="center"/>
          </w:tcPr>
          <w:p>
            <w:pPr>
              <w:pStyle w:val="TableContents"/>
              <w:bidi w:val="0"/>
              <w:spacing w:before="0" w:after="283"/>
              <w:jc w:val="right"/>
              <w:rPr/>
            </w:pPr>
            <w:r>
              <w:rPr/>
              <w:t>36</w:t>
            </w:r>
          </w:p>
        </w:tc>
      </w:tr>
      <w:tr>
        <w:trPr/>
        <w:tc>
          <w:tcPr>
            <w:tcW w:w="1100" w:type="dxa"/>
            <w:tcBorders/>
            <w:vAlign w:val="center"/>
          </w:tcPr>
          <w:p>
            <w:pPr>
              <w:pStyle w:val="TableContents"/>
              <w:bidi w:val="0"/>
              <w:spacing w:before="0" w:after="283"/>
              <w:jc w:val="left"/>
              <w:rPr>
                <w:sz w:val="20"/>
              </w:rPr>
            </w:pPr>
            <w:r>
              <w:rPr>
                <w:sz w:val="20"/>
              </w:rPr>
              <w:t>Section 5.02</w:t>
            </w:r>
            <w:r>
              <w:rPr>
                <w:i/>
                <w:sz w:val="20"/>
              </w:rPr>
              <w:t>.</w:t>
            </w:r>
          </w:p>
        </w:tc>
        <w:tc>
          <w:tcPr>
            <w:tcW w:w="8255" w:type="dxa"/>
            <w:tcBorders/>
            <w:vAlign w:val="center"/>
          </w:tcPr>
          <w:p>
            <w:pPr>
              <w:pStyle w:val="TableContents"/>
              <w:bidi w:val="0"/>
              <w:spacing w:before="0" w:after="283"/>
              <w:jc w:val="left"/>
              <w:rPr>
                <w:i/>
                <w:sz w:val="20"/>
              </w:rPr>
            </w:pPr>
            <w:r>
              <w:rPr>
                <w:i/>
                <w:sz w:val="20"/>
              </w:rPr>
              <w:t>Preservation and Disclosure of Lists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630" w:type="dxa"/>
            <w:gridSpan w:val="3"/>
            <w:tcBorders/>
            <w:vAlign w:val="center"/>
          </w:tcPr>
          <w:p>
            <w:pPr>
              <w:pStyle w:val="TableContents"/>
              <w:bidi w:val="0"/>
              <w:spacing w:before="0" w:after="283"/>
              <w:jc w:val="center"/>
              <w:rPr>
                <w:smallCaps/>
              </w:rPr>
            </w:pPr>
            <w:r>
              <w:rPr>
                <w:caps/>
                <w:sz w:val="20"/>
              </w:rPr>
              <w:t>Article 6</w:t>
              <w:br/>
            </w:r>
            <w:r>
              <w:rPr>
                <w:smallCaps/>
                <w:sz w:val="20"/>
              </w:rPr>
              <w:t>Defaults and Remedies</w:t>
            </w:r>
          </w:p>
        </w:tc>
      </w:tr>
      <w:tr>
        <w:trPr/>
        <w:tc>
          <w:tcPr>
            <w:tcW w:w="935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6.01</w:t>
            </w:r>
            <w:r>
              <w:rPr>
                <w:i/>
                <w:sz w:val="20"/>
              </w:rPr>
              <w:t>.</w:t>
            </w:r>
          </w:p>
        </w:tc>
        <w:tc>
          <w:tcPr>
            <w:tcW w:w="8255" w:type="dxa"/>
            <w:tcBorders/>
            <w:vAlign w:val="center"/>
          </w:tcPr>
          <w:p>
            <w:pPr>
              <w:pStyle w:val="TableContents"/>
              <w:bidi w:val="0"/>
              <w:spacing w:before="0" w:after="283"/>
              <w:jc w:val="left"/>
              <w:rPr>
                <w:i/>
                <w:sz w:val="20"/>
              </w:rPr>
            </w:pPr>
            <w:r>
              <w:rPr>
                <w:i/>
                <w:sz w:val="20"/>
              </w:rPr>
              <w:t>Events of Default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100" w:type="dxa"/>
            <w:tcBorders/>
            <w:vAlign w:val="center"/>
          </w:tcPr>
          <w:p>
            <w:pPr>
              <w:pStyle w:val="TableContents"/>
              <w:bidi w:val="0"/>
              <w:spacing w:before="0" w:after="283"/>
              <w:jc w:val="left"/>
              <w:rPr>
                <w:sz w:val="20"/>
              </w:rPr>
            </w:pPr>
            <w:r>
              <w:rPr>
                <w:sz w:val="20"/>
              </w:rPr>
              <w:t>Section 6.02.</w:t>
            </w:r>
          </w:p>
        </w:tc>
        <w:tc>
          <w:tcPr>
            <w:tcW w:w="8255" w:type="dxa"/>
            <w:tcBorders/>
            <w:vAlign w:val="center"/>
          </w:tcPr>
          <w:p>
            <w:pPr>
              <w:pStyle w:val="TableContents"/>
              <w:bidi w:val="0"/>
              <w:spacing w:before="0" w:after="283"/>
              <w:jc w:val="left"/>
              <w:rPr>
                <w:i/>
                <w:sz w:val="20"/>
              </w:rPr>
            </w:pPr>
            <w:r>
              <w:rPr>
                <w:i/>
                <w:sz w:val="20"/>
              </w:rPr>
              <w:t>Acceleration; Rescission and Annulment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100" w:type="dxa"/>
            <w:tcBorders/>
            <w:vAlign w:val="center"/>
          </w:tcPr>
          <w:p>
            <w:pPr>
              <w:pStyle w:val="TableContents"/>
              <w:bidi w:val="0"/>
              <w:spacing w:before="0" w:after="283"/>
              <w:jc w:val="left"/>
              <w:rPr>
                <w:sz w:val="20"/>
              </w:rPr>
            </w:pPr>
            <w:r>
              <w:rPr>
                <w:sz w:val="20"/>
              </w:rPr>
              <w:t>Section 6.03.</w:t>
            </w:r>
          </w:p>
        </w:tc>
        <w:tc>
          <w:tcPr>
            <w:tcW w:w="8255" w:type="dxa"/>
            <w:tcBorders/>
            <w:vAlign w:val="center"/>
          </w:tcPr>
          <w:p>
            <w:pPr>
              <w:pStyle w:val="TableContents"/>
              <w:bidi w:val="0"/>
              <w:spacing w:before="0" w:after="283"/>
              <w:jc w:val="left"/>
              <w:rPr>
                <w:i/>
                <w:sz w:val="20"/>
              </w:rPr>
            </w:pPr>
            <w:r>
              <w:rPr>
                <w:i/>
                <w:sz w:val="20"/>
              </w:rPr>
              <w:t>Additional Interest</w:t>
            </w:r>
          </w:p>
        </w:tc>
        <w:tc>
          <w:tcPr>
            <w:tcW w:w="275" w:type="dxa"/>
            <w:tcBorders/>
            <w:vAlign w:val="center"/>
          </w:tcPr>
          <w:p>
            <w:pPr>
              <w:pStyle w:val="TableContents"/>
              <w:bidi w:val="0"/>
              <w:spacing w:before="0" w:after="283"/>
              <w:jc w:val="right"/>
              <w:rPr/>
            </w:pPr>
            <w:r>
              <w:rPr/>
              <w:t>39</w:t>
            </w:r>
          </w:p>
        </w:tc>
      </w:tr>
      <w:tr>
        <w:trPr/>
        <w:tc>
          <w:tcPr>
            <w:tcW w:w="1100" w:type="dxa"/>
            <w:tcBorders/>
            <w:vAlign w:val="center"/>
          </w:tcPr>
          <w:p>
            <w:pPr>
              <w:pStyle w:val="TableContents"/>
              <w:bidi w:val="0"/>
              <w:spacing w:before="0" w:after="283"/>
              <w:jc w:val="left"/>
              <w:rPr>
                <w:sz w:val="20"/>
              </w:rPr>
            </w:pPr>
            <w:r>
              <w:rPr>
                <w:sz w:val="20"/>
              </w:rPr>
              <w:t>Section 6.04</w:t>
            </w:r>
            <w:r>
              <w:rPr>
                <w:i/>
                <w:sz w:val="20"/>
              </w:rPr>
              <w:t>.</w:t>
            </w:r>
          </w:p>
        </w:tc>
        <w:tc>
          <w:tcPr>
            <w:tcW w:w="8255" w:type="dxa"/>
            <w:tcBorders/>
            <w:vAlign w:val="center"/>
          </w:tcPr>
          <w:p>
            <w:pPr>
              <w:pStyle w:val="TableContents"/>
              <w:bidi w:val="0"/>
              <w:spacing w:before="0" w:after="283"/>
              <w:jc w:val="left"/>
              <w:rPr>
                <w:i/>
                <w:sz w:val="20"/>
              </w:rPr>
            </w:pPr>
            <w:r>
              <w:rPr>
                <w:i/>
                <w:sz w:val="20"/>
              </w:rPr>
              <w:t>Payments of Notes on Default; Suit Therefor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100" w:type="dxa"/>
            <w:tcBorders/>
            <w:vAlign w:val="center"/>
          </w:tcPr>
          <w:p>
            <w:pPr>
              <w:pStyle w:val="TableContents"/>
              <w:bidi w:val="0"/>
              <w:spacing w:before="0" w:after="283"/>
              <w:jc w:val="left"/>
              <w:rPr>
                <w:sz w:val="20"/>
              </w:rPr>
            </w:pPr>
            <w:r>
              <w:rPr>
                <w:sz w:val="20"/>
              </w:rPr>
              <w:t>Section 6.05</w:t>
            </w:r>
            <w:r>
              <w:rPr>
                <w:i/>
                <w:sz w:val="20"/>
              </w:rPr>
              <w:t>.</w:t>
            </w:r>
          </w:p>
        </w:tc>
        <w:tc>
          <w:tcPr>
            <w:tcW w:w="8255" w:type="dxa"/>
            <w:tcBorders/>
            <w:vAlign w:val="center"/>
          </w:tcPr>
          <w:p>
            <w:pPr>
              <w:pStyle w:val="TableContents"/>
              <w:bidi w:val="0"/>
              <w:spacing w:before="0" w:after="283"/>
              <w:jc w:val="left"/>
              <w:rPr>
                <w:i/>
                <w:sz w:val="20"/>
              </w:rPr>
            </w:pPr>
            <w:r>
              <w:rPr>
                <w:i/>
                <w:sz w:val="20"/>
              </w:rPr>
              <w:t>Application of Monies Collected by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00" w:type="dxa"/>
            <w:tcBorders/>
            <w:vAlign w:val="center"/>
          </w:tcPr>
          <w:p>
            <w:pPr>
              <w:pStyle w:val="TableContents"/>
              <w:bidi w:val="0"/>
              <w:spacing w:before="0" w:after="283"/>
              <w:jc w:val="left"/>
              <w:rPr>
                <w:sz w:val="20"/>
              </w:rPr>
            </w:pPr>
            <w:r>
              <w:rPr>
                <w:sz w:val="20"/>
              </w:rPr>
              <w:t>Section 6.06</w:t>
            </w:r>
            <w:r>
              <w:rPr>
                <w:i/>
                <w:sz w:val="20"/>
              </w:rPr>
              <w:t>.</w:t>
            </w:r>
          </w:p>
        </w:tc>
        <w:tc>
          <w:tcPr>
            <w:tcW w:w="8255" w:type="dxa"/>
            <w:tcBorders/>
            <w:vAlign w:val="center"/>
          </w:tcPr>
          <w:p>
            <w:pPr>
              <w:pStyle w:val="TableContents"/>
              <w:bidi w:val="0"/>
              <w:spacing w:before="0" w:after="283"/>
              <w:jc w:val="left"/>
              <w:rPr>
                <w:i/>
                <w:sz w:val="20"/>
              </w:rPr>
            </w:pPr>
            <w:r>
              <w:rPr>
                <w:i/>
                <w:sz w:val="20"/>
              </w:rPr>
              <w:t>Proceedings by 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100" w:type="dxa"/>
            <w:tcBorders/>
            <w:vAlign w:val="center"/>
          </w:tcPr>
          <w:p>
            <w:pPr>
              <w:pStyle w:val="TableContents"/>
              <w:bidi w:val="0"/>
              <w:spacing w:before="0" w:after="283"/>
              <w:jc w:val="left"/>
              <w:rPr>
                <w:sz w:val="20"/>
              </w:rPr>
            </w:pPr>
            <w:r>
              <w:rPr>
                <w:sz w:val="20"/>
              </w:rPr>
              <w:t>Section 6.07</w:t>
            </w:r>
            <w:r>
              <w:rPr>
                <w:i/>
                <w:sz w:val="20"/>
              </w:rPr>
              <w:t>.</w:t>
            </w:r>
          </w:p>
        </w:tc>
        <w:tc>
          <w:tcPr>
            <w:tcW w:w="8255" w:type="dxa"/>
            <w:tcBorders/>
            <w:vAlign w:val="center"/>
          </w:tcPr>
          <w:p>
            <w:pPr>
              <w:pStyle w:val="TableContents"/>
              <w:bidi w:val="0"/>
              <w:spacing w:before="0" w:after="283"/>
              <w:jc w:val="left"/>
              <w:rPr>
                <w:i/>
                <w:sz w:val="20"/>
              </w:rPr>
            </w:pPr>
            <w:r>
              <w:rPr>
                <w:i/>
                <w:sz w:val="20"/>
              </w:rPr>
              <w:t>Proceedings by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100" w:type="dxa"/>
            <w:tcBorders/>
            <w:vAlign w:val="center"/>
          </w:tcPr>
          <w:p>
            <w:pPr>
              <w:pStyle w:val="TableContents"/>
              <w:bidi w:val="0"/>
              <w:spacing w:before="0" w:after="283"/>
              <w:jc w:val="left"/>
              <w:rPr>
                <w:sz w:val="20"/>
              </w:rPr>
            </w:pPr>
            <w:r>
              <w:rPr>
                <w:sz w:val="20"/>
              </w:rPr>
              <w:t>Section 6.08</w:t>
            </w:r>
            <w:r>
              <w:rPr>
                <w:i/>
                <w:sz w:val="20"/>
              </w:rPr>
              <w:t>.</w:t>
            </w:r>
          </w:p>
        </w:tc>
        <w:tc>
          <w:tcPr>
            <w:tcW w:w="8255" w:type="dxa"/>
            <w:tcBorders/>
            <w:vAlign w:val="center"/>
          </w:tcPr>
          <w:p>
            <w:pPr>
              <w:pStyle w:val="TableContents"/>
              <w:bidi w:val="0"/>
              <w:spacing w:before="0" w:after="283"/>
              <w:jc w:val="left"/>
              <w:rPr>
                <w:i/>
                <w:sz w:val="20"/>
              </w:rPr>
            </w:pPr>
            <w:r>
              <w:rPr>
                <w:i/>
                <w:sz w:val="20"/>
              </w:rPr>
              <w:t>Remedies Cumulative and Continuing</w:t>
            </w:r>
          </w:p>
        </w:tc>
        <w:tc>
          <w:tcPr>
            <w:tcW w:w="275" w:type="dxa"/>
            <w:tcBorders/>
            <w:vAlign w:val="center"/>
          </w:tcPr>
          <w:p>
            <w:pPr>
              <w:pStyle w:val="TableContents"/>
              <w:bidi w:val="0"/>
              <w:spacing w:before="0" w:after="283"/>
              <w:jc w:val="right"/>
              <w:rPr/>
            </w:pPr>
            <w:r>
              <w:rPr/>
              <w:t>44</w:t>
            </w:r>
          </w:p>
        </w:tc>
      </w:tr>
      <w:tr>
        <w:trPr/>
        <w:tc>
          <w:tcPr>
            <w:tcW w:w="1100" w:type="dxa"/>
            <w:tcBorders/>
            <w:vAlign w:val="center"/>
          </w:tcPr>
          <w:p>
            <w:pPr>
              <w:pStyle w:val="TableContents"/>
              <w:bidi w:val="0"/>
              <w:spacing w:before="0" w:after="283"/>
              <w:jc w:val="left"/>
              <w:rPr>
                <w:sz w:val="20"/>
              </w:rPr>
            </w:pPr>
            <w:r>
              <w:rPr>
                <w:sz w:val="20"/>
              </w:rPr>
              <w:t>Section 6.09</w:t>
            </w:r>
            <w:r>
              <w:rPr>
                <w:i/>
                <w:sz w:val="20"/>
              </w:rPr>
              <w:t>.</w:t>
            </w:r>
          </w:p>
        </w:tc>
        <w:tc>
          <w:tcPr>
            <w:tcW w:w="8255" w:type="dxa"/>
            <w:tcBorders/>
            <w:vAlign w:val="center"/>
          </w:tcPr>
          <w:p>
            <w:pPr>
              <w:pStyle w:val="TableContents"/>
              <w:bidi w:val="0"/>
              <w:spacing w:before="0" w:after="283"/>
              <w:jc w:val="left"/>
              <w:rPr>
                <w:i/>
                <w:sz w:val="20"/>
              </w:rPr>
            </w:pPr>
            <w:r>
              <w:rPr>
                <w:i/>
                <w:sz w:val="20"/>
              </w:rPr>
              <w:t>Direction of Proceedings and Waiver of Defaults by Majority of 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00" w:type="dxa"/>
            <w:tcBorders/>
            <w:vAlign w:val="center"/>
          </w:tcPr>
          <w:p>
            <w:pPr>
              <w:pStyle w:val="TableContents"/>
              <w:bidi w:val="0"/>
              <w:spacing w:before="0" w:after="283"/>
              <w:jc w:val="left"/>
              <w:rPr>
                <w:sz w:val="20"/>
              </w:rPr>
            </w:pPr>
            <w:r>
              <w:rPr>
                <w:sz w:val="20"/>
              </w:rPr>
              <w:t>Section 6.10</w:t>
            </w:r>
            <w:r>
              <w:rPr>
                <w:i/>
                <w:sz w:val="20"/>
              </w:rPr>
              <w:t>.</w:t>
            </w:r>
          </w:p>
        </w:tc>
        <w:tc>
          <w:tcPr>
            <w:tcW w:w="8255" w:type="dxa"/>
            <w:tcBorders/>
            <w:vAlign w:val="center"/>
          </w:tcPr>
          <w:p>
            <w:pPr>
              <w:pStyle w:val="TableContents"/>
              <w:bidi w:val="0"/>
              <w:spacing w:before="0" w:after="283"/>
              <w:jc w:val="left"/>
              <w:rPr>
                <w:i/>
                <w:sz w:val="20"/>
              </w:rPr>
            </w:pPr>
            <w:r>
              <w:rPr>
                <w:i/>
                <w:sz w:val="20"/>
              </w:rPr>
              <w:t>Notice of Defaults</w:t>
            </w:r>
          </w:p>
        </w:tc>
        <w:tc>
          <w:tcPr>
            <w:tcW w:w="275" w:type="dxa"/>
            <w:tcBorders/>
            <w:vAlign w:val="center"/>
          </w:tcPr>
          <w:p>
            <w:pPr>
              <w:pStyle w:val="TableContents"/>
              <w:bidi w:val="0"/>
              <w:spacing w:before="0" w:after="283"/>
              <w:jc w:val="right"/>
              <w:rPr/>
            </w:pPr>
            <w:r>
              <w:rPr/>
              <w:t>45</w:t>
            </w:r>
          </w:p>
        </w:tc>
      </w:tr>
      <w:tr>
        <w:trPr/>
        <w:tc>
          <w:tcPr>
            <w:tcW w:w="1100" w:type="dxa"/>
            <w:tcBorders/>
            <w:vAlign w:val="center"/>
          </w:tcPr>
          <w:p>
            <w:pPr>
              <w:pStyle w:val="TableContents"/>
              <w:bidi w:val="0"/>
              <w:spacing w:before="0" w:after="283"/>
              <w:jc w:val="left"/>
              <w:rPr>
                <w:sz w:val="20"/>
              </w:rPr>
            </w:pPr>
            <w:r>
              <w:rPr>
                <w:sz w:val="20"/>
              </w:rPr>
              <w:t>Section 6.11</w:t>
            </w:r>
            <w:r>
              <w:rPr>
                <w:i/>
                <w:sz w:val="20"/>
              </w:rPr>
              <w:t>.</w:t>
            </w:r>
          </w:p>
        </w:tc>
        <w:tc>
          <w:tcPr>
            <w:tcW w:w="8255" w:type="dxa"/>
            <w:tcBorders/>
            <w:vAlign w:val="center"/>
          </w:tcPr>
          <w:p>
            <w:pPr>
              <w:pStyle w:val="TableContents"/>
              <w:bidi w:val="0"/>
              <w:spacing w:before="0" w:after="283"/>
              <w:jc w:val="left"/>
              <w:rPr>
                <w:i/>
                <w:sz w:val="20"/>
              </w:rPr>
            </w:pPr>
            <w:r>
              <w:rPr>
                <w:i/>
                <w:sz w:val="20"/>
              </w:rPr>
              <w:t>Undertaking to Pay Costs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0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630" w:type="dxa"/>
            <w:gridSpan w:val="3"/>
            <w:tcBorders/>
            <w:vAlign w:val="center"/>
          </w:tcPr>
          <w:p>
            <w:pPr>
              <w:pStyle w:val="TableContents"/>
              <w:bidi w:val="0"/>
              <w:spacing w:before="0" w:after="283"/>
              <w:jc w:val="center"/>
              <w:rPr>
                <w:smallCaps/>
              </w:rPr>
            </w:pPr>
            <w:r>
              <w:rPr>
                <w:caps/>
                <w:sz w:val="20"/>
              </w:rPr>
              <w:t>Article 7</w:t>
            </w:r>
            <w:r>
              <w:rPr>
                <w:smallCaps/>
                <w:sz w:val="20"/>
              </w:rPr>
              <w:br/>
              <w:t>Concerning the Trustee</w:t>
            </w:r>
          </w:p>
        </w:tc>
      </w:tr>
      <w:tr>
        <w:trPr/>
        <w:tc>
          <w:tcPr>
            <w:tcW w:w="935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7.01</w:t>
            </w:r>
            <w:r>
              <w:rPr>
                <w:i/>
                <w:sz w:val="20"/>
              </w:rPr>
              <w:t>.</w:t>
            </w:r>
          </w:p>
        </w:tc>
        <w:tc>
          <w:tcPr>
            <w:tcW w:w="8255" w:type="dxa"/>
            <w:tcBorders/>
            <w:vAlign w:val="center"/>
          </w:tcPr>
          <w:p>
            <w:pPr>
              <w:pStyle w:val="TableContents"/>
              <w:bidi w:val="0"/>
              <w:spacing w:before="0" w:after="283"/>
              <w:jc w:val="left"/>
              <w:rPr>
                <w:i/>
                <w:sz w:val="20"/>
              </w:rPr>
            </w:pPr>
            <w:r>
              <w:rPr>
                <w:i/>
                <w:sz w:val="20"/>
              </w:rPr>
              <w:t>Duties and Responsibilities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00" w:type="dxa"/>
            <w:tcBorders/>
            <w:vAlign w:val="center"/>
          </w:tcPr>
          <w:p>
            <w:pPr>
              <w:pStyle w:val="TableContents"/>
              <w:bidi w:val="0"/>
              <w:spacing w:before="0" w:after="283"/>
              <w:jc w:val="left"/>
              <w:rPr>
                <w:sz w:val="20"/>
              </w:rPr>
            </w:pPr>
            <w:r>
              <w:rPr>
                <w:sz w:val="20"/>
              </w:rPr>
              <w:t>Section 7.02</w:t>
            </w:r>
            <w:r>
              <w:rPr>
                <w:i/>
                <w:sz w:val="20"/>
              </w:rPr>
              <w:t>.</w:t>
            </w:r>
          </w:p>
        </w:tc>
        <w:tc>
          <w:tcPr>
            <w:tcW w:w="8255" w:type="dxa"/>
            <w:tcBorders/>
            <w:vAlign w:val="center"/>
          </w:tcPr>
          <w:p>
            <w:pPr>
              <w:pStyle w:val="TableContents"/>
              <w:bidi w:val="0"/>
              <w:spacing w:before="0" w:after="283"/>
              <w:jc w:val="left"/>
              <w:rPr>
                <w:i/>
                <w:sz w:val="20"/>
              </w:rPr>
            </w:pPr>
            <w:r>
              <w:rPr>
                <w:i/>
                <w:sz w:val="20"/>
              </w:rPr>
              <w:t>Reliance on Documents, Opinions,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00" w:type="dxa"/>
            <w:tcBorders/>
            <w:vAlign w:val="center"/>
          </w:tcPr>
          <w:p>
            <w:pPr>
              <w:pStyle w:val="TableContents"/>
              <w:bidi w:val="0"/>
              <w:spacing w:before="0" w:after="283"/>
              <w:jc w:val="left"/>
              <w:rPr>
                <w:sz w:val="20"/>
              </w:rPr>
            </w:pPr>
            <w:r>
              <w:rPr>
                <w:sz w:val="20"/>
              </w:rPr>
              <w:t>Section 7.03</w:t>
            </w:r>
            <w:r>
              <w:rPr>
                <w:i/>
                <w:sz w:val="20"/>
              </w:rPr>
              <w:t>.</w:t>
            </w:r>
          </w:p>
        </w:tc>
        <w:tc>
          <w:tcPr>
            <w:tcW w:w="8255" w:type="dxa"/>
            <w:tcBorders/>
            <w:vAlign w:val="center"/>
          </w:tcPr>
          <w:p>
            <w:pPr>
              <w:pStyle w:val="TableContents"/>
              <w:bidi w:val="0"/>
              <w:spacing w:before="0" w:after="283"/>
              <w:jc w:val="left"/>
              <w:rPr>
                <w:i/>
                <w:sz w:val="20"/>
              </w:rPr>
            </w:pPr>
            <w:r>
              <w:rPr>
                <w:i/>
                <w:sz w:val="20"/>
              </w:rPr>
              <w:t>No Responsibility for Recitals,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00" w:type="dxa"/>
            <w:tcBorders/>
            <w:vAlign w:val="center"/>
          </w:tcPr>
          <w:p>
            <w:pPr>
              <w:pStyle w:val="TableContents"/>
              <w:bidi w:val="0"/>
              <w:spacing w:before="0" w:after="283"/>
              <w:jc w:val="left"/>
              <w:rPr>
                <w:sz w:val="20"/>
              </w:rPr>
            </w:pPr>
            <w:r>
              <w:rPr>
                <w:sz w:val="20"/>
              </w:rPr>
              <w:t>Section 7.04</w:t>
            </w:r>
            <w:r>
              <w:rPr>
                <w:i/>
                <w:sz w:val="20"/>
              </w:rPr>
              <w:t>.</w:t>
            </w:r>
          </w:p>
        </w:tc>
        <w:tc>
          <w:tcPr>
            <w:tcW w:w="8255" w:type="dxa"/>
            <w:tcBorders/>
            <w:vAlign w:val="center"/>
          </w:tcPr>
          <w:p>
            <w:pPr>
              <w:pStyle w:val="TableContents"/>
              <w:bidi w:val="0"/>
              <w:spacing w:before="0" w:after="283"/>
              <w:jc w:val="left"/>
              <w:rPr>
                <w:i/>
                <w:sz w:val="20"/>
              </w:rPr>
            </w:pPr>
            <w:r>
              <w:rPr>
                <w:i/>
                <w:sz w:val="20"/>
              </w:rPr>
              <w:t>Trustee, Paying Agents, Conversion Agents, Bid Solicitation Agent or Note Registrar May Own Notes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100" w:type="dxa"/>
            <w:tcBorders/>
            <w:vAlign w:val="center"/>
          </w:tcPr>
          <w:p>
            <w:pPr>
              <w:pStyle w:val="TableContents"/>
              <w:bidi w:val="0"/>
              <w:spacing w:before="0" w:after="283"/>
              <w:jc w:val="left"/>
              <w:rPr>
                <w:sz w:val="20"/>
              </w:rPr>
            </w:pPr>
            <w:r>
              <w:rPr>
                <w:sz w:val="20"/>
              </w:rPr>
              <w:t>Section 7.05</w:t>
            </w:r>
            <w:r>
              <w:rPr>
                <w:i/>
                <w:sz w:val="20"/>
              </w:rPr>
              <w:t>.</w:t>
            </w:r>
          </w:p>
        </w:tc>
        <w:tc>
          <w:tcPr>
            <w:tcW w:w="8255" w:type="dxa"/>
            <w:tcBorders/>
            <w:vAlign w:val="center"/>
          </w:tcPr>
          <w:p>
            <w:pPr>
              <w:pStyle w:val="TableContents"/>
              <w:bidi w:val="0"/>
              <w:spacing w:before="0" w:after="283"/>
              <w:jc w:val="left"/>
              <w:rPr>
                <w:i/>
                <w:sz w:val="20"/>
              </w:rPr>
            </w:pPr>
            <w:r>
              <w:rPr>
                <w:i/>
                <w:sz w:val="20"/>
              </w:rPr>
              <w:t>Monies and Shares of Common Stock to Be Held in Trust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00" w:type="dxa"/>
            <w:tcBorders/>
            <w:vAlign w:val="center"/>
          </w:tcPr>
          <w:p>
            <w:pPr>
              <w:pStyle w:val="TableContents"/>
              <w:bidi w:val="0"/>
              <w:spacing w:before="0" w:after="283"/>
              <w:jc w:val="left"/>
              <w:rPr>
                <w:sz w:val="20"/>
              </w:rPr>
            </w:pPr>
            <w:r>
              <w:rPr>
                <w:sz w:val="20"/>
              </w:rPr>
              <w:t>Section 7.06</w:t>
            </w:r>
            <w:r>
              <w:rPr>
                <w:i/>
                <w:sz w:val="20"/>
              </w:rPr>
              <w:t>.</w:t>
            </w:r>
          </w:p>
        </w:tc>
        <w:tc>
          <w:tcPr>
            <w:tcW w:w="8255" w:type="dxa"/>
            <w:tcBorders/>
            <w:vAlign w:val="center"/>
          </w:tcPr>
          <w:p>
            <w:pPr>
              <w:pStyle w:val="TableContents"/>
              <w:bidi w:val="0"/>
              <w:spacing w:before="0" w:after="283"/>
              <w:jc w:val="left"/>
              <w:rPr>
                <w:i/>
                <w:sz w:val="20"/>
              </w:rPr>
            </w:pPr>
            <w:r>
              <w:rPr>
                <w:i/>
                <w:sz w:val="20"/>
              </w:rPr>
              <w:t>Compensation and Expenses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100" w:type="dxa"/>
            <w:tcBorders/>
            <w:vAlign w:val="center"/>
          </w:tcPr>
          <w:p>
            <w:pPr>
              <w:pStyle w:val="TableContents"/>
              <w:bidi w:val="0"/>
              <w:spacing w:before="0" w:after="283"/>
              <w:jc w:val="left"/>
              <w:rPr>
                <w:sz w:val="20"/>
              </w:rPr>
            </w:pPr>
            <w:r>
              <w:rPr>
                <w:sz w:val="20"/>
              </w:rPr>
              <w:t>Section 7.07</w:t>
            </w:r>
            <w:r>
              <w:rPr>
                <w:i/>
                <w:sz w:val="20"/>
              </w:rPr>
              <w:t>.</w:t>
            </w:r>
          </w:p>
        </w:tc>
        <w:tc>
          <w:tcPr>
            <w:tcW w:w="8255" w:type="dxa"/>
            <w:tcBorders/>
            <w:vAlign w:val="center"/>
          </w:tcPr>
          <w:p>
            <w:pPr>
              <w:pStyle w:val="TableContents"/>
              <w:bidi w:val="0"/>
              <w:spacing w:before="0" w:after="283"/>
              <w:jc w:val="left"/>
              <w:rPr>
                <w:i/>
                <w:sz w:val="20"/>
              </w:rPr>
            </w:pPr>
            <w:r>
              <w:rPr>
                <w:i/>
                <w:sz w:val="20"/>
              </w:rPr>
              <w:t>Officers’ Certificate as Evidence</w:t>
            </w:r>
          </w:p>
        </w:tc>
        <w:tc>
          <w:tcPr>
            <w:tcW w:w="275" w:type="dxa"/>
            <w:tcBorders/>
            <w:vAlign w:val="center"/>
          </w:tcPr>
          <w:p>
            <w:pPr>
              <w:pStyle w:val="TableContents"/>
              <w:bidi w:val="0"/>
              <w:spacing w:before="0" w:after="283"/>
              <w:jc w:val="right"/>
              <w:rPr/>
            </w:pPr>
            <w:r>
              <w:rPr/>
              <w:t>49</w:t>
            </w:r>
          </w:p>
        </w:tc>
      </w:tr>
      <w:tr>
        <w:trPr/>
        <w:tc>
          <w:tcPr>
            <w:tcW w:w="1100" w:type="dxa"/>
            <w:tcBorders/>
            <w:vAlign w:val="center"/>
          </w:tcPr>
          <w:p>
            <w:pPr>
              <w:pStyle w:val="TableContents"/>
              <w:bidi w:val="0"/>
              <w:spacing w:before="0" w:after="283"/>
              <w:jc w:val="left"/>
              <w:rPr>
                <w:sz w:val="20"/>
              </w:rPr>
            </w:pPr>
            <w:r>
              <w:rPr>
                <w:sz w:val="20"/>
              </w:rPr>
              <w:t>Section 7.08</w:t>
            </w:r>
            <w:r>
              <w:rPr>
                <w:i/>
                <w:sz w:val="20"/>
              </w:rPr>
              <w:t>.</w:t>
            </w:r>
          </w:p>
        </w:tc>
        <w:tc>
          <w:tcPr>
            <w:tcW w:w="8255" w:type="dxa"/>
            <w:tcBorders/>
            <w:vAlign w:val="center"/>
          </w:tcPr>
          <w:p>
            <w:pPr>
              <w:pStyle w:val="TableContents"/>
              <w:bidi w:val="0"/>
              <w:spacing w:before="0" w:after="283"/>
              <w:jc w:val="left"/>
              <w:rPr>
                <w:i/>
                <w:sz w:val="20"/>
              </w:rPr>
            </w:pPr>
            <w:r>
              <w:rPr>
                <w:i/>
                <w:sz w:val="20"/>
              </w:rPr>
              <w:t>Eligibility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00" w:type="dxa"/>
            <w:tcBorders/>
            <w:vAlign w:val="center"/>
          </w:tcPr>
          <w:p>
            <w:pPr>
              <w:pStyle w:val="TableContents"/>
              <w:bidi w:val="0"/>
              <w:spacing w:before="0" w:after="283"/>
              <w:jc w:val="left"/>
              <w:rPr>
                <w:sz w:val="20"/>
              </w:rPr>
            </w:pPr>
            <w:r>
              <w:rPr>
                <w:sz w:val="20"/>
              </w:rPr>
              <w:t>Section 7.09</w:t>
            </w:r>
            <w:r>
              <w:rPr>
                <w:i/>
                <w:sz w:val="20"/>
              </w:rPr>
              <w:t>.</w:t>
            </w:r>
          </w:p>
        </w:tc>
        <w:tc>
          <w:tcPr>
            <w:tcW w:w="8255" w:type="dxa"/>
            <w:tcBorders/>
            <w:vAlign w:val="center"/>
          </w:tcPr>
          <w:p>
            <w:pPr>
              <w:pStyle w:val="TableContents"/>
              <w:bidi w:val="0"/>
              <w:spacing w:before="0" w:after="283"/>
              <w:jc w:val="left"/>
              <w:rPr>
                <w:i/>
                <w:sz w:val="20"/>
              </w:rPr>
            </w:pPr>
            <w:r>
              <w:rPr>
                <w:i/>
                <w:sz w:val="20"/>
              </w:rPr>
              <w:t>Resignation or Removal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100" w:type="dxa"/>
            <w:tcBorders/>
            <w:vAlign w:val="center"/>
          </w:tcPr>
          <w:p>
            <w:pPr>
              <w:pStyle w:val="TableContents"/>
              <w:bidi w:val="0"/>
              <w:spacing w:before="0" w:after="283"/>
              <w:jc w:val="left"/>
              <w:rPr>
                <w:sz w:val="20"/>
              </w:rPr>
            </w:pPr>
            <w:r>
              <w:rPr>
                <w:sz w:val="20"/>
              </w:rPr>
              <w:t>Section 7.10</w:t>
            </w:r>
            <w:r>
              <w:rPr>
                <w:i/>
                <w:sz w:val="20"/>
              </w:rPr>
              <w:t>.</w:t>
            </w:r>
          </w:p>
        </w:tc>
        <w:tc>
          <w:tcPr>
            <w:tcW w:w="8255" w:type="dxa"/>
            <w:tcBorders/>
            <w:vAlign w:val="center"/>
          </w:tcPr>
          <w:p>
            <w:pPr>
              <w:pStyle w:val="TableContents"/>
              <w:bidi w:val="0"/>
              <w:spacing w:before="0" w:after="283"/>
              <w:jc w:val="left"/>
              <w:rPr>
                <w:i/>
                <w:sz w:val="20"/>
              </w:rPr>
            </w:pPr>
            <w:r>
              <w:rPr>
                <w:i/>
                <w:sz w:val="20"/>
              </w:rPr>
              <w:t>Acceptance by Successor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100" w:type="dxa"/>
            <w:tcBorders/>
            <w:vAlign w:val="center"/>
          </w:tcPr>
          <w:p>
            <w:pPr>
              <w:pStyle w:val="TableContents"/>
              <w:bidi w:val="0"/>
              <w:spacing w:before="0" w:after="283"/>
              <w:jc w:val="left"/>
              <w:rPr>
                <w:sz w:val="20"/>
              </w:rPr>
            </w:pPr>
            <w:r>
              <w:rPr>
                <w:sz w:val="20"/>
              </w:rPr>
              <w:t>Section 7.11</w:t>
            </w:r>
            <w:r>
              <w:rPr>
                <w:i/>
                <w:sz w:val="20"/>
              </w:rPr>
              <w:t>.</w:t>
            </w:r>
          </w:p>
        </w:tc>
        <w:tc>
          <w:tcPr>
            <w:tcW w:w="8255" w:type="dxa"/>
            <w:tcBorders/>
            <w:vAlign w:val="center"/>
          </w:tcPr>
          <w:p>
            <w:pPr>
              <w:pStyle w:val="TableContents"/>
              <w:bidi w:val="0"/>
              <w:spacing w:before="0" w:after="283"/>
              <w:jc w:val="left"/>
              <w:rPr>
                <w:i/>
                <w:sz w:val="20"/>
              </w:rPr>
            </w:pPr>
            <w:r>
              <w:rPr>
                <w:i/>
                <w:sz w:val="20"/>
              </w:rPr>
              <w:t>Succession by Merger,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00" w:type="dxa"/>
            <w:tcBorders/>
            <w:vAlign w:val="center"/>
          </w:tcPr>
          <w:p>
            <w:pPr>
              <w:pStyle w:val="TableContents"/>
              <w:bidi w:val="0"/>
              <w:spacing w:before="0" w:after="283"/>
              <w:jc w:val="left"/>
              <w:rPr>
                <w:sz w:val="20"/>
              </w:rPr>
            </w:pPr>
            <w:r>
              <w:rPr>
                <w:sz w:val="20"/>
              </w:rPr>
              <w:t>Section 7.12</w:t>
            </w:r>
            <w:r>
              <w:rPr>
                <w:i/>
                <w:sz w:val="20"/>
              </w:rPr>
              <w:t>.</w:t>
            </w:r>
          </w:p>
        </w:tc>
        <w:tc>
          <w:tcPr>
            <w:tcW w:w="8255" w:type="dxa"/>
            <w:tcBorders/>
            <w:vAlign w:val="center"/>
          </w:tcPr>
          <w:p>
            <w:pPr>
              <w:pStyle w:val="TableContents"/>
              <w:bidi w:val="0"/>
              <w:spacing w:before="0" w:after="283"/>
              <w:jc w:val="left"/>
              <w:rPr>
                <w:i/>
                <w:sz w:val="20"/>
              </w:rPr>
            </w:pPr>
            <w:r>
              <w:rPr>
                <w:i/>
                <w:sz w:val="20"/>
              </w:rPr>
              <w:t>Trustee’s Application for Instructions from the Company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10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630" w:type="dxa"/>
            <w:gridSpan w:val="3"/>
            <w:tcBorders/>
            <w:vAlign w:val="center"/>
          </w:tcPr>
          <w:p>
            <w:pPr>
              <w:pStyle w:val="TableContents"/>
              <w:bidi w:val="0"/>
              <w:spacing w:before="0" w:after="283"/>
              <w:jc w:val="center"/>
              <w:rPr>
                <w:smallCaps/>
              </w:rPr>
            </w:pPr>
            <w:r>
              <w:rPr>
                <w:caps/>
                <w:sz w:val="20"/>
              </w:rPr>
              <w:t>Article 8</w:t>
              <w:br/>
            </w:r>
            <w:r>
              <w:rPr>
                <w:smallCaps/>
                <w:sz w:val="20"/>
              </w:rPr>
              <w:t>Concerning the Holders</w:t>
            </w:r>
          </w:p>
        </w:tc>
      </w:tr>
      <w:tr>
        <w:trPr/>
        <w:tc>
          <w:tcPr>
            <w:tcW w:w="935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sz w:val="20"/>
              </w:rPr>
            </w:pPr>
            <w:r>
              <w:rPr>
                <w:sz w:val="20"/>
              </w:rPr>
              <w:t>Section 8.01</w:t>
            </w:r>
            <w:r>
              <w:rPr>
                <w:i/>
                <w:sz w:val="20"/>
              </w:rPr>
              <w:t>.</w:t>
            </w:r>
          </w:p>
        </w:tc>
        <w:tc>
          <w:tcPr>
            <w:tcW w:w="8255" w:type="dxa"/>
            <w:tcBorders/>
            <w:vAlign w:val="center"/>
          </w:tcPr>
          <w:p>
            <w:pPr>
              <w:pStyle w:val="TableContents"/>
              <w:bidi w:val="0"/>
              <w:spacing w:before="0" w:after="283"/>
              <w:jc w:val="left"/>
              <w:rPr>
                <w:i/>
                <w:sz w:val="20"/>
              </w:rPr>
            </w:pPr>
            <w:r>
              <w:rPr>
                <w:i/>
                <w:sz w:val="20"/>
              </w:rPr>
              <w:t>Action by Holders</w:t>
            </w:r>
          </w:p>
        </w:tc>
        <w:tc>
          <w:tcPr>
            <w:tcW w:w="275" w:type="dxa"/>
            <w:tcBorders/>
            <w:vAlign w:val="center"/>
          </w:tcPr>
          <w:p>
            <w:pPr>
              <w:pStyle w:val="TableContents"/>
              <w:bidi w:val="0"/>
              <w:spacing w:before="0" w:after="283"/>
              <w:jc w:val="right"/>
              <w:rPr/>
            </w:pPr>
            <w:r>
              <w:rPr/>
              <w:t>52</w:t>
            </w:r>
          </w:p>
        </w:tc>
      </w:tr>
      <w:tr>
        <w:trPr/>
        <w:tc>
          <w:tcPr>
            <w:tcW w:w="1100" w:type="dxa"/>
            <w:tcBorders/>
            <w:vAlign w:val="center"/>
          </w:tcPr>
          <w:p>
            <w:pPr>
              <w:pStyle w:val="TableContents"/>
              <w:bidi w:val="0"/>
              <w:spacing w:before="0" w:after="283"/>
              <w:jc w:val="left"/>
              <w:rPr>
                <w:sz w:val="20"/>
              </w:rPr>
            </w:pPr>
            <w:r>
              <w:rPr>
                <w:sz w:val="20"/>
              </w:rPr>
              <w:t>Section 8.02</w:t>
            </w:r>
            <w:r>
              <w:rPr>
                <w:i/>
                <w:sz w:val="20"/>
              </w:rPr>
              <w:t>.</w:t>
            </w:r>
          </w:p>
        </w:tc>
        <w:tc>
          <w:tcPr>
            <w:tcW w:w="8255" w:type="dxa"/>
            <w:tcBorders/>
            <w:vAlign w:val="center"/>
          </w:tcPr>
          <w:p>
            <w:pPr>
              <w:pStyle w:val="TableContents"/>
              <w:bidi w:val="0"/>
              <w:spacing w:before="0" w:after="283"/>
              <w:jc w:val="left"/>
              <w:rPr>
                <w:i/>
                <w:sz w:val="20"/>
              </w:rPr>
            </w:pPr>
            <w:r>
              <w:rPr>
                <w:i/>
                <w:sz w:val="20"/>
              </w:rPr>
              <w:t>Proof of Execution by Holders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00" w:type="dxa"/>
            <w:tcBorders/>
            <w:vAlign w:val="center"/>
          </w:tcPr>
          <w:p>
            <w:pPr>
              <w:pStyle w:val="TableContents"/>
              <w:bidi w:val="0"/>
              <w:spacing w:before="0" w:after="283"/>
              <w:jc w:val="left"/>
              <w:rPr>
                <w:sz w:val="20"/>
              </w:rPr>
            </w:pPr>
            <w:r>
              <w:rPr>
                <w:sz w:val="20"/>
              </w:rPr>
              <w:t>Section 8.03</w:t>
            </w:r>
            <w:r>
              <w:rPr>
                <w:i/>
                <w:sz w:val="20"/>
              </w:rPr>
              <w:t>.</w:t>
            </w:r>
          </w:p>
        </w:tc>
        <w:tc>
          <w:tcPr>
            <w:tcW w:w="8255" w:type="dxa"/>
            <w:tcBorders/>
            <w:vAlign w:val="center"/>
          </w:tcPr>
          <w:p>
            <w:pPr>
              <w:pStyle w:val="TableContents"/>
              <w:bidi w:val="0"/>
              <w:spacing w:before="0" w:after="283"/>
              <w:jc w:val="left"/>
              <w:rPr>
                <w:i/>
                <w:sz w:val="20"/>
              </w:rPr>
            </w:pPr>
            <w:r>
              <w:rPr>
                <w:i/>
                <w:sz w:val="20"/>
              </w:rPr>
              <w:t>Who Are Deemed Absolute Owners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100" w:type="dxa"/>
            <w:tcBorders/>
            <w:vAlign w:val="center"/>
          </w:tcPr>
          <w:p>
            <w:pPr>
              <w:pStyle w:val="TableContents"/>
              <w:bidi w:val="0"/>
              <w:spacing w:before="0" w:after="283"/>
              <w:jc w:val="left"/>
              <w:rPr>
                <w:sz w:val="20"/>
              </w:rPr>
            </w:pPr>
            <w:r>
              <w:rPr>
                <w:sz w:val="20"/>
              </w:rPr>
              <w:t>Section 8.04</w:t>
            </w:r>
            <w:r>
              <w:rPr>
                <w:i/>
                <w:sz w:val="20"/>
              </w:rPr>
              <w:t>.</w:t>
            </w:r>
          </w:p>
        </w:tc>
        <w:tc>
          <w:tcPr>
            <w:tcW w:w="8255" w:type="dxa"/>
            <w:tcBorders/>
            <w:vAlign w:val="center"/>
          </w:tcPr>
          <w:p>
            <w:pPr>
              <w:pStyle w:val="TableContents"/>
              <w:bidi w:val="0"/>
              <w:spacing w:before="0" w:after="283"/>
              <w:jc w:val="left"/>
              <w:rPr>
                <w:i/>
                <w:sz w:val="20"/>
              </w:rPr>
            </w:pPr>
            <w:r>
              <w:rPr>
                <w:i/>
                <w:sz w:val="20"/>
              </w:rPr>
              <w:t>Company-Owned Notes Disregarded</w:t>
            </w:r>
          </w:p>
        </w:tc>
        <w:tc>
          <w:tcPr>
            <w:tcW w:w="275" w:type="dxa"/>
            <w:tcBorders/>
            <w:vAlign w:val="center"/>
          </w:tcPr>
          <w:p>
            <w:pPr>
              <w:pStyle w:val="TableContents"/>
              <w:bidi w:val="0"/>
              <w:spacing w:before="0" w:after="283"/>
              <w:jc w:val="right"/>
              <w:rPr/>
            </w:pPr>
            <w:r>
              <w:rPr/>
              <w:t>53</w:t>
            </w:r>
          </w:p>
        </w:tc>
      </w:tr>
      <w:tr>
        <w:trPr/>
        <w:tc>
          <w:tcPr>
            <w:tcW w:w="1100" w:type="dxa"/>
            <w:tcBorders/>
            <w:vAlign w:val="center"/>
          </w:tcPr>
          <w:p>
            <w:pPr>
              <w:pStyle w:val="TableContents"/>
              <w:bidi w:val="0"/>
              <w:spacing w:before="0" w:after="283"/>
              <w:jc w:val="left"/>
              <w:rPr>
                <w:sz w:val="20"/>
              </w:rPr>
            </w:pPr>
            <w:r>
              <w:rPr>
                <w:sz w:val="20"/>
              </w:rPr>
              <w:t>Section 8.05</w:t>
            </w:r>
            <w:r>
              <w:rPr>
                <w:i/>
                <w:sz w:val="20"/>
              </w:rPr>
              <w:t>.</w:t>
            </w:r>
          </w:p>
        </w:tc>
        <w:tc>
          <w:tcPr>
            <w:tcW w:w="8255" w:type="dxa"/>
            <w:tcBorders/>
            <w:vAlign w:val="center"/>
          </w:tcPr>
          <w:p>
            <w:pPr>
              <w:pStyle w:val="TableContents"/>
              <w:bidi w:val="0"/>
              <w:spacing w:before="0" w:after="283"/>
              <w:jc w:val="left"/>
              <w:rPr>
                <w:i/>
                <w:sz w:val="20"/>
              </w:rPr>
            </w:pPr>
            <w:r>
              <w:rPr>
                <w:i/>
                <w:sz w:val="20"/>
              </w:rPr>
              <w:t>Revocation of Consents; Future Holders Bound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3"/>
        <w:gridCol w:w="8806"/>
        <w:gridCol w:w="276"/>
      </w:tblGrid>
      <w:tr>
        <w:trPr/>
        <w:tc>
          <w:tcPr>
            <w:tcW w:w="10205" w:type="dxa"/>
            <w:gridSpan w:val="3"/>
            <w:tcBorders/>
            <w:vAlign w:val="center"/>
          </w:tcPr>
          <w:p>
            <w:pPr>
              <w:pStyle w:val="TableContents"/>
              <w:bidi w:val="0"/>
              <w:spacing w:before="0" w:after="283"/>
              <w:jc w:val="center"/>
              <w:rPr>
                <w:smallCaps/>
              </w:rPr>
            </w:pPr>
            <w:r>
              <w:rPr>
                <w:caps/>
                <w:sz w:val="20"/>
              </w:rPr>
              <w:t>Article 9</w:t>
              <w:br/>
            </w:r>
            <w:r>
              <w:rPr>
                <w:smallCaps/>
                <w:sz w:val="20"/>
              </w:rPr>
              <w:t>Holders’ Meetings</w:t>
            </w:r>
          </w:p>
        </w:tc>
      </w:tr>
      <w:tr>
        <w:trPr/>
        <w:tc>
          <w:tcPr>
            <w:tcW w:w="9929" w:type="dxa"/>
            <w:gridSpan w:val="2"/>
            <w:tcBorders/>
            <w:vAlign w:val="center"/>
          </w:tcPr>
          <w:p>
            <w:pPr>
              <w:pStyle w:val="TableContents"/>
              <w:bidi w:val="0"/>
              <w:spacing w:before="0" w:after="283"/>
              <w:jc w:val="center"/>
              <w:rPr/>
            </w:pPr>
            <w:r>
              <w:rPr/>
              <w:t> </w:t>
            </w:r>
          </w:p>
        </w:tc>
        <w:tc>
          <w:tcPr>
            <w:tcW w:w="276" w:type="dxa"/>
            <w:tcBorders/>
            <w:vAlign w:val="center"/>
          </w:tcPr>
          <w:p>
            <w:pPr>
              <w:pStyle w:val="TableContents"/>
              <w:bidi w:val="0"/>
              <w:spacing w:before="0" w:after="283"/>
              <w:jc w:val="right"/>
              <w:rPr/>
            </w:pPr>
            <w:r>
              <w:rPr/>
              <w:t> </w:t>
            </w:r>
          </w:p>
        </w:tc>
      </w:tr>
      <w:tr>
        <w:trPr/>
        <w:tc>
          <w:tcPr>
            <w:tcW w:w="1123" w:type="dxa"/>
            <w:tcBorders/>
            <w:vAlign w:val="center"/>
          </w:tcPr>
          <w:p>
            <w:pPr>
              <w:pStyle w:val="TableContents"/>
              <w:bidi w:val="0"/>
              <w:spacing w:before="0" w:after="283"/>
              <w:jc w:val="left"/>
              <w:rPr>
                <w:sz w:val="20"/>
              </w:rPr>
            </w:pPr>
            <w:r>
              <w:rPr>
                <w:sz w:val="20"/>
              </w:rPr>
              <w:t>Section 9.01</w:t>
            </w:r>
            <w:r>
              <w:rPr>
                <w:i/>
                <w:sz w:val="20"/>
              </w:rPr>
              <w:t>.</w:t>
            </w:r>
          </w:p>
        </w:tc>
        <w:tc>
          <w:tcPr>
            <w:tcW w:w="8806" w:type="dxa"/>
            <w:tcBorders/>
            <w:vAlign w:val="center"/>
          </w:tcPr>
          <w:p>
            <w:pPr>
              <w:pStyle w:val="TableContents"/>
              <w:bidi w:val="0"/>
              <w:spacing w:before="0" w:after="283"/>
              <w:jc w:val="left"/>
              <w:rPr>
                <w:i/>
                <w:sz w:val="20"/>
              </w:rPr>
            </w:pPr>
            <w:r>
              <w:rPr>
                <w:i/>
                <w:sz w:val="20"/>
              </w:rPr>
              <w:t>Purpose of Meetings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123" w:type="dxa"/>
            <w:tcBorders/>
            <w:vAlign w:val="center"/>
          </w:tcPr>
          <w:p>
            <w:pPr>
              <w:pStyle w:val="TableContents"/>
              <w:bidi w:val="0"/>
              <w:spacing w:before="0" w:after="283"/>
              <w:jc w:val="left"/>
              <w:rPr>
                <w:sz w:val="20"/>
              </w:rPr>
            </w:pPr>
            <w:r>
              <w:rPr>
                <w:sz w:val="20"/>
              </w:rPr>
              <w:t>Section 9.02</w:t>
            </w:r>
            <w:r>
              <w:rPr>
                <w:i/>
                <w:sz w:val="20"/>
              </w:rPr>
              <w:t>.</w:t>
            </w:r>
          </w:p>
        </w:tc>
        <w:tc>
          <w:tcPr>
            <w:tcW w:w="8806" w:type="dxa"/>
            <w:tcBorders/>
            <w:vAlign w:val="center"/>
          </w:tcPr>
          <w:p>
            <w:pPr>
              <w:pStyle w:val="TableContents"/>
              <w:bidi w:val="0"/>
              <w:spacing w:before="0" w:after="283"/>
              <w:jc w:val="left"/>
              <w:rPr>
                <w:i/>
                <w:sz w:val="20"/>
              </w:rPr>
            </w:pPr>
            <w:r>
              <w:rPr>
                <w:i/>
                <w:sz w:val="20"/>
              </w:rPr>
              <w:t>Call of Meetings by Trustee</w:t>
            </w:r>
          </w:p>
        </w:tc>
        <w:tc>
          <w:tcPr>
            <w:tcW w:w="276" w:type="dxa"/>
            <w:tcBorders/>
            <w:vAlign w:val="center"/>
          </w:tcPr>
          <w:p>
            <w:pPr>
              <w:pStyle w:val="TableContents"/>
              <w:bidi w:val="0"/>
              <w:spacing w:before="0" w:after="283"/>
              <w:jc w:val="right"/>
              <w:rPr/>
            </w:pPr>
            <w:r>
              <w:rPr/>
              <w:t>54</w:t>
            </w:r>
          </w:p>
        </w:tc>
      </w:tr>
      <w:tr>
        <w:trPr/>
        <w:tc>
          <w:tcPr>
            <w:tcW w:w="1123" w:type="dxa"/>
            <w:tcBorders/>
            <w:vAlign w:val="center"/>
          </w:tcPr>
          <w:p>
            <w:pPr>
              <w:pStyle w:val="TableContents"/>
              <w:bidi w:val="0"/>
              <w:spacing w:before="0" w:after="283"/>
              <w:jc w:val="left"/>
              <w:rPr>
                <w:sz w:val="20"/>
              </w:rPr>
            </w:pPr>
            <w:r>
              <w:rPr>
                <w:sz w:val="20"/>
              </w:rPr>
              <w:t>Section 9.03</w:t>
            </w:r>
            <w:r>
              <w:rPr>
                <w:i/>
                <w:sz w:val="20"/>
              </w:rPr>
              <w:t>.</w:t>
            </w:r>
          </w:p>
        </w:tc>
        <w:tc>
          <w:tcPr>
            <w:tcW w:w="8806" w:type="dxa"/>
            <w:tcBorders/>
            <w:vAlign w:val="center"/>
          </w:tcPr>
          <w:p>
            <w:pPr>
              <w:pStyle w:val="TableContents"/>
              <w:bidi w:val="0"/>
              <w:spacing w:before="0" w:after="283"/>
              <w:jc w:val="left"/>
              <w:rPr>
                <w:i/>
                <w:sz w:val="20"/>
              </w:rPr>
            </w:pPr>
            <w:r>
              <w:rPr>
                <w:i/>
                <w:sz w:val="20"/>
              </w:rPr>
              <w:t>Call of Meetings by Company or Holders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23" w:type="dxa"/>
            <w:tcBorders/>
            <w:vAlign w:val="center"/>
          </w:tcPr>
          <w:p>
            <w:pPr>
              <w:pStyle w:val="TableContents"/>
              <w:bidi w:val="0"/>
              <w:spacing w:before="0" w:after="283"/>
              <w:jc w:val="left"/>
              <w:rPr>
                <w:sz w:val="20"/>
              </w:rPr>
            </w:pPr>
            <w:r>
              <w:rPr>
                <w:sz w:val="20"/>
              </w:rPr>
              <w:t>Section 9.04</w:t>
            </w:r>
            <w:r>
              <w:rPr>
                <w:i/>
                <w:sz w:val="20"/>
              </w:rPr>
              <w:t>.</w:t>
            </w:r>
          </w:p>
        </w:tc>
        <w:tc>
          <w:tcPr>
            <w:tcW w:w="8806" w:type="dxa"/>
            <w:tcBorders/>
            <w:vAlign w:val="center"/>
          </w:tcPr>
          <w:p>
            <w:pPr>
              <w:pStyle w:val="TableContents"/>
              <w:bidi w:val="0"/>
              <w:spacing w:before="0" w:after="283"/>
              <w:jc w:val="left"/>
              <w:rPr>
                <w:i/>
                <w:sz w:val="20"/>
              </w:rPr>
            </w:pPr>
            <w:r>
              <w:rPr>
                <w:i/>
                <w:sz w:val="20"/>
              </w:rPr>
              <w:t>Qualifications for Voting</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23" w:type="dxa"/>
            <w:tcBorders/>
            <w:vAlign w:val="center"/>
          </w:tcPr>
          <w:p>
            <w:pPr>
              <w:pStyle w:val="TableContents"/>
              <w:bidi w:val="0"/>
              <w:spacing w:before="0" w:after="283"/>
              <w:jc w:val="left"/>
              <w:rPr>
                <w:sz w:val="20"/>
              </w:rPr>
            </w:pPr>
            <w:r>
              <w:rPr>
                <w:sz w:val="20"/>
              </w:rPr>
              <w:t>Section 9.05</w:t>
            </w:r>
            <w:r>
              <w:rPr>
                <w:i/>
                <w:sz w:val="20"/>
              </w:rPr>
              <w:t>.</w:t>
            </w:r>
          </w:p>
        </w:tc>
        <w:tc>
          <w:tcPr>
            <w:tcW w:w="8806" w:type="dxa"/>
            <w:tcBorders/>
            <w:vAlign w:val="center"/>
          </w:tcPr>
          <w:p>
            <w:pPr>
              <w:pStyle w:val="TableContents"/>
              <w:bidi w:val="0"/>
              <w:spacing w:before="0" w:after="283"/>
              <w:jc w:val="left"/>
              <w:rPr>
                <w:i/>
                <w:sz w:val="20"/>
              </w:rPr>
            </w:pPr>
            <w:r>
              <w:rPr>
                <w:i/>
                <w:sz w:val="20"/>
              </w:rPr>
              <w:t>Regulations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123" w:type="dxa"/>
            <w:tcBorders/>
            <w:vAlign w:val="center"/>
          </w:tcPr>
          <w:p>
            <w:pPr>
              <w:pStyle w:val="TableContents"/>
              <w:bidi w:val="0"/>
              <w:spacing w:before="0" w:after="283"/>
              <w:jc w:val="left"/>
              <w:rPr>
                <w:sz w:val="20"/>
              </w:rPr>
            </w:pPr>
            <w:r>
              <w:rPr>
                <w:sz w:val="20"/>
              </w:rPr>
              <w:t>Section 9.06</w:t>
            </w:r>
            <w:r>
              <w:rPr>
                <w:i/>
                <w:sz w:val="20"/>
              </w:rPr>
              <w:t>.</w:t>
            </w:r>
          </w:p>
        </w:tc>
        <w:tc>
          <w:tcPr>
            <w:tcW w:w="8806" w:type="dxa"/>
            <w:tcBorders/>
            <w:vAlign w:val="center"/>
          </w:tcPr>
          <w:p>
            <w:pPr>
              <w:pStyle w:val="TableContents"/>
              <w:bidi w:val="0"/>
              <w:spacing w:before="0" w:after="283"/>
              <w:jc w:val="left"/>
              <w:rPr>
                <w:i/>
                <w:sz w:val="20"/>
              </w:rPr>
            </w:pPr>
            <w:r>
              <w:rPr>
                <w:i/>
                <w:sz w:val="20"/>
              </w:rPr>
              <w:t>Voting</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23" w:type="dxa"/>
            <w:tcBorders/>
            <w:vAlign w:val="center"/>
          </w:tcPr>
          <w:p>
            <w:pPr>
              <w:pStyle w:val="TableContents"/>
              <w:bidi w:val="0"/>
              <w:spacing w:before="0" w:after="283"/>
              <w:jc w:val="left"/>
              <w:rPr>
                <w:sz w:val="20"/>
              </w:rPr>
            </w:pPr>
            <w:r>
              <w:rPr>
                <w:sz w:val="20"/>
              </w:rPr>
              <w:t>Section 9.07</w:t>
            </w:r>
            <w:r>
              <w:rPr>
                <w:i/>
                <w:sz w:val="20"/>
              </w:rPr>
              <w:t>.</w:t>
            </w:r>
          </w:p>
        </w:tc>
        <w:tc>
          <w:tcPr>
            <w:tcW w:w="8806" w:type="dxa"/>
            <w:tcBorders/>
            <w:vAlign w:val="center"/>
          </w:tcPr>
          <w:p>
            <w:pPr>
              <w:pStyle w:val="TableContents"/>
              <w:bidi w:val="0"/>
              <w:spacing w:before="0" w:after="283"/>
              <w:jc w:val="left"/>
              <w:rPr>
                <w:i/>
                <w:sz w:val="20"/>
              </w:rPr>
            </w:pPr>
            <w:r>
              <w:rPr>
                <w:i/>
                <w:sz w:val="20"/>
              </w:rPr>
              <w:t>No Delay of Rights by Meeting</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23" w:type="dxa"/>
            <w:tcBorders/>
            <w:vAlign w:val="center"/>
          </w:tcPr>
          <w:p>
            <w:pPr>
              <w:pStyle w:val="TableContents"/>
              <w:bidi w:val="0"/>
              <w:spacing w:before="0" w:after="283"/>
              <w:jc w:val="left"/>
              <w:rPr/>
            </w:pPr>
            <w:r>
              <w:rPr/>
              <w:t> </w:t>
            </w:r>
          </w:p>
        </w:tc>
        <w:tc>
          <w:tcPr>
            <w:tcW w:w="880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smallCaps/>
              </w:rPr>
            </w:pPr>
            <w:r>
              <w:rPr>
                <w:caps/>
                <w:sz w:val="20"/>
              </w:rPr>
              <w:t>Article 10</w:t>
            </w:r>
            <w:r>
              <w:rPr>
                <w:smallCaps/>
                <w:sz w:val="20"/>
              </w:rPr>
              <w:br/>
              <w:t>Supplemental Indentures</w:t>
            </w:r>
          </w:p>
        </w:tc>
      </w:tr>
      <w:tr>
        <w:trPr/>
        <w:tc>
          <w:tcPr>
            <w:tcW w:w="9929" w:type="dxa"/>
            <w:gridSpan w:val="2"/>
            <w:tcBorders/>
            <w:vAlign w:val="center"/>
          </w:tcPr>
          <w:p>
            <w:pPr>
              <w:pStyle w:val="TableContents"/>
              <w:bidi w:val="0"/>
              <w:spacing w:before="0" w:after="283"/>
              <w:jc w:val="center"/>
              <w:rPr/>
            </w:pPr>
            <w:r>
              <w:rPr/>
              <w:t> </w:t>
            </w:r>
          </w:p>
        </w:tc>
        <w:tc>
          <w:tcPr>
            <w:tcW w:w="276" w:type="dxa"/>
            <w:tcBorders/>
            <w:vAlign w:val="center"/>
          </w:tcPr>
          <w:p>
            <w:pPr>
              <w:pStyle w:val="TableContents"/>
              <w:bidi w:val="0"/>
              <w:spacing w:before="0" w:after="283"/>
              <w:jc w:val="right"/>
              <w:rPr/>
            </w:pPr>
            <w:r>
              <w:rPr/>
              <w:t> </w:t>
            </w:r>
          </w:p>
        </w:tc>
      </w:tr>
      <w:tr>
        <w:trPr/>
        <w:tc>
          <w:tcPr>
            <w:tcW w:w="1123" w:type="dxa"/>
            <w:tcBorders/>
            <w:vAlign w:val="center"/>
          </w:tcPr>
          <w:p>
            <w:pPr>
              <w:pStyle w:val="TableContents"/>
              <w:bidi w:val="0"/>
              <w:spacing w:before="0" w:after="283"/>
              <w:jc w:val="left"/>
              <w:rPr>
                <w:sz w:val="20"/>
              </w:rPr>
            </w:pPr>
            <w:r>
              <w:rPr>
                <w:sz w:val="20"/>
              </w:rPr>
              <w:t>Section 10.01</w:t>
            </w:r>
            <w:r>
              <w:rPr>
                <w:i/>
                <w:sz w:val="20"/>
              </w:rPr>
              <w:t>.</w:t>
            </w:r>
          </w:p>
        </w:tc>
        <w:tc>
          <w:tcPr>
            <w:tcW w:w="8806" w:type="dxa"/>
            <w:tcBorders/>
            <w:vAlign w:val="center"/>
          </w:tcPr>
          <w:p>
            <w:pPr>
              <w:pStyle w:val="TableContents"/>
              <w:bidi w:val="0"/>
              <w:spacing w:before="0" w:after="283"/>
              <w:jc w:val="left"/>
              <w:rPr>
                <w:i/>
                <w:sz w:val="20"/>
              </w:rPr>
            </w:pPr>
            <w:r>
              <w:rPr>
                <w:i/>
                <w:sz w:val="20"/>
              </w:rPr>
              <w:t>Supplemental Indentures Without Consent of Holders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123" w:type="dxa"/>
            <w:tcBorders/>
            <w:vAlign w:val="center"/>
          </w:tcPr>
          <w:p>
            <w:pPr>
              <w:pStyle w:val="TableContents"/>
              <w:bidi w:val="0"/>
              <w:spacing w:before="0" w:after="283"/>
              <w:jc w:val="left"/>
              <w:rPr>
                <w:sz w:val="20"/>
              </w:rPr>
            </w:pPr>
            <w:r>
              <w:rPr>
                <w:sz w:val="20"/>
              </w:rPr>
              <w:t>Section 10.02</w:t>
            </w:r>
            <w:r>
              <w:rPr>
                <w:i/>
                <w:sz w:val="20"/>
              </w:rPr>
              <w:t>.</w:t>
            </w:r>
          </w:p>
        </w:tc>
        <w:tc>
          <w:tcPr>
            <w:tcW w:w="8806" w:type="dxa"/>
            <w:tcBorders/>
            <w:vAlign w:val="center"/>
          </w:tcPr>
          <w:p>
            <w:pPr>
              <w:pStyle w:val="TableContents"/>
              <w:bidi w:val="0"/>
              <w:spacing w:before="0" w:after="283"/>
              <w:jc w:val="left"/>
              <w:rPr>
                <w:i/>
                <w:sz w:val="20"/>
              </w:rPr>
            </w:pPr>
            <w:r>
              <w:rPr>
                <w:i/>
                <w:sz w:val="20"/>
              </w:rPr>
              <w:t>Supplemental Indentures with Consent of Holders</w:t>
            </w:r>
          </w:p>
        </w:tc>
        <w:tc>
          <w:tcPr>
            <w:tcW w:w="276" w:type="dxa"/>
            <w:tcBorders/>
            <w:vAlign w:val="center"/>
          </w:tcPr>
          <w:p>
            <w:pPr>
              <w:pStyle w:val="TableContents"/>
              <w:bidi w:val="0"/>
              <w:spacing w:before="0" w:after="283"/>
              <w:jc w:val="right"/>
              <w:rPr/>
            </w:pPr>
            <w:r>
              <w:rPr/>
              <w:t>57</w:t>
            </w:r>
          </w:p>
        </w:tc>
      </w:tr>
      <w:tr>
        <w:trPr/>
        <w:tc>
          <w:tcPr>
            <w:tcW w:w="1123" w:type="dxa"/>
            <w:tcBorders/>
            <w:vAlign w:val="center"/>
          </w:tcPr>
          <w:p>
            <w:pPr>
              <w:pStyle w:val="TableContents"/>
              <w:bidi w:val="0"/>
              <w:spacing w:before="0" w:after="283"/>
              <w:jc w:val="left"/>
              <w:rPr>
                <w:sz w:val="20"/>
              </w:rPr>
            </w:pPr>
            <w:r>
              <w:rPr>
                <w:sz w:val="20"/>
              </w:rPr>
              <w:t>Section 10.03</w:t>
            </w:r>
            <w:r>
              <w:rPr>
                <w:i/>
                <w:sz w:val="20"/>
              </w:rPr>
              <w:t>.</w:t>
            </w:r>
          </w:p>
        </w:tc>
        <w:tc>
          <w:tcPr>
            <w:tcW w:w="8806" w:type="dxa"/>
            <w:tcBorders/>
            <w:vAlign w:val="center"/>
          </w:tcPr>
          <w:p>
            <w:pPr>
              <w:pStyle w:val="TableContents"/>
              <w:bidi w:val="0"/>
              <w:spacing w:before="0" w:after="283"/>
              <w:jc w:val="left"/>
              <w:rPr>
                <w:i/>
                <w:sz w:val="20"/>
              </w:rPr>
            </w:pPr>
            <w:r>
              <w:rPr>
                <w:i/>
                <w:sz w:val="20"/>
              </w:rPr>
              <w:t>Effect of Supplemental Indentures</w:t>
            </w:r>
          </w:p>
        </w:tc>
        <w:tc>
          <w:tcPr>
            <w:tcW w:w="276" w:type="dxa"/>
            <w:tcBorders/>
            <w:vAlign w:val="center"/>
          </w:tcPr>
          <w:p>
            <w:pPr>
              <w:pStyle w:val="TableContents"/>
              <w:bidi w:val="0"/>
              <w:spacing w:before="0" w:after="283"/>
              <w:jc w:val="right"/>
              <w:rPr/>
            </w:pPr>
            <w:r>
              <w:rPr/>
              <w:t>58</w:t>
            </w:r>
          </w:p>
        </w:tc>
      </w:tr>
      <w:tr>
        <w:trPr/>
        <w:tc>
          <w:tcPr>
            <w:tcW w:w="1123" w:type="dxa"/>
            <w:tcBorders/>
            <w:vAlign w:val="center"/>
          </w:tcPr>
          <w:p>
            <w:pPr>
              <w:pStyle w:val="TableContents"/>
              <w:bidi w:val="0"/>
              <w:spacing w:before="0" w:after="283"/>
              <w:jc w:val="left"/>
              <w:rPr>
                <w:sz w:val="20"/>
              </w:rPr>
            </w:pPr>
            <w:r>
              <w:rPr>
                <w:sz w:val="20"/>
              </w:rPr>
              <w:t>Section 10.04</w:t>
            </w:r>
            <w:r>
              <w:rPr>
                <w:i/>
                <w:sz w:val="20"/>
              </w:rPr>
              <w:t>.</w:t>
            </w:r>
          </w:p>
        </w:tc>
        <w:tc>
          <w:tcPr>
            <w:tcW w:w="8806" w:type="dxa"/>
            <w:tcBorders/>
            <w:vAlign w:val="center"/>
          </w:tcPr>
          <w:p>
            <w:pPr>
              <w:pStyle w:val="TableContents"/>
              <w:bidi w:val="0"/>
              <w:spacing w:before="0" w:after="283"/>
              <w:jc w:val="left"/>
              <w:rPr>
                <w:i/>
                <w:sz w:val="20"/>
              </w:rPr>
            </w:pPr>
            <w:r>
              <w:rPr>
                <w:i/>
                <w:sz w:val="20"/>
              </w:rPr>
              <w:t>Notation on Notes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23" w:type="dxa"/>
            <w:tcBorders/>
            <w:vAlign w:val="center"/>
          </w:tcPr>
          <w:p>
            <w:pPr>
              <w:pStyle w:val="TableContents"/>
              <w:bidi w:val="0"/>
              <w:spacing w:before="0" w:after="283"/>
              <w:jc w:val="left"/>
              <w:rPr>
                <w:sz w:val="20"/>
              </w:rPr>
            </w:pPr>
            <w:r>
              <w:rPr>
                <w:sz w:val="20"/>
              </w:rPr>
              <w:t>Section 10.05</w:t>
            </w:r>
            <w:r>
              <w:rPr>
                <w:i/>
                <w:sz w:val="20"/>
              </w:rPr>
              <w:t>.</w:t>
            </w:r>
          </w:p>
        </w:tc>
        <w:tc>
          <w:tcPr>
            <w:tcW w:w="8806" w:type="dxa"/>
            <w:tcBorders/>
            <w:vAlign w:val="center"/>
          </w:tcPr>
          <w:p>
            <w:pPr>
              <w:pStyle w:val="TableContents"/>
              <w:bidi w:val="0"/>
              <w:spacing w:before="0" w:after="283"/>
              <w:jc w:val="left"/>
              <w:rPr>
                <w:i/>
                <w:sz w:val="20"/>
              </w:rPr>
            </w:pPr>
            <w:r>
              <w:rPr>
                <w:i/>
                <w:sz w:val="20"/>
              </w:rPr>
              <w:t>Evidence of Compliance of Supplemental Indenture to Be Furnished Trustee</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23" w:type="dxa"/>
            <w:tcBorders/>
            <w:vAlign w:val="center"/>
          </w:tcPr>
          <w:p>
            <w:pPr>
              <w:pStyle w:val="TableContents"/>
              <w:bidi w:val="0"/>
              <w:spacing w:before="0" w:after="283"/>
              <w:jc w:val="left"/>
              <w:rPr/>
            </w:pPr>
            <w:r>
              <w:rPr/>
              <w:t> </w:t>
            </w:r>
          </w:p>
        </w:tc>
        <w:tc>
          <w:tcPr>
            <w:tcW w:w="880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smallCaps/>
              </w:rPr>
            </w:pPr>
            <w:r>
              <w:rPr>
                <w:caps/>
                <w:sz w:val="20"/>
              </w:rPr>
              <w:t>Article 11</w:t>
            </w:r>
            <w:r>
              <w:rPr>
                <w:smallCaps/>
                <w:sz w:val="20"/>
              </w:rPr>
              <w:br/>
              <w:t>Consolidation, Merger, Sale, Conveyance and Lease</w:t>
            </w:r>
          </w:p>
        </w:tc>
      </w:tr>
      <w:tr>
        <w:trPr/>
        <w:tc>
          <w:tcPr>
            <w:tcW w:w="9929" w:type="dxa"/>
            <w:gridSpan w:val="2"/>
            <w:tcBorders/>
            <w:vAlign w:val="center"/>
          </w:tcPr>
          <w:p>
            <w:pPr>
              <w:pStyle w:val="TableContents"/>
              <w:bidi w:val="0"/>
              <w:spacing w:before="0" w:after="283"/>
              <w:jc w:val="center"/>
              <w:rPr/>
            </w:pPr>
            <w:r>
              <w:rPr/>
              <w:t> </w:t>
            </w:r>
          </w:p>
        </w:tc>
        <w:tc>
          <w:tcPr>
            <w:tcW w:w="276" w:type="dxa"/>
            <w:tcBorders/>
            <w:vAlign w:val="center"/>
          </w:tcPr>
          <w:p>
            <w:pPr>
              <w:pStyle w:val="TableContents"/>
              <w:bidi w:val="0"/>
              <w:spacing w:before="0" w:after="283"/>
              <w:jc w:val="right"/>
              <w:rPr/>
            </w:pPr>
            <w:r>
              <w:rPr/>
              <w:t> </w:t>
            </w:r>
          </w:p>
        </w:tc>
      </w:tr>
      <w:tr>
        <w:trPr/>
        <w:tc>
          <w:tcPr>
            <w:tcW w:w="1123" w:type="dxa"/>
            <w:tcBorders/>
            <w:vAlign w:val="center"/>
          </w:tcPr>
          <w:p>
            <w:pPr>
              <w:pStyle w:val="TableContents"/>
              <w:bidi w:val="0"/>
              <w:spacing w:before="0" w:after="283"/>
              <w:jc w:val="left"/>
              <w:rPr>
                <w:sz w:val="20"/>
              </w:rPr>
            </w:pPr>
            <w:r>
              <w:rPr>
                <w:sz w:val="20"/>
              </w:rPr>
              <w:t>Section 11.01</w:t>
            </w:r>
            <w:r>
              <w:rPr>
                <w:i/>
                <w:sz w:val="20"/>
              </w:rPr>
              <w:t>.</w:t>
            </w:r>
          </w:p>
        </w:tc>
        <w:tc>
          <w:tcPr>
            <w:tcW w:w="8806" w:type="dxa"/>
            <w:tcBorders/>
            <w:vAlign w:val="center"/>
          </w:tcPr>
          <w:p>
            <w:pPr>
              <w:pStyle w:val="TableContents"/>
              <w:bidi w:val="0"/>
              <w:spacing w:before="0" w:after="283"/>
              <w:jc w:val="left"/>
              <w:rPr>
                <w:i/>
                <w:sz w:val="20"/>
              </w:rPr>
            </w:pPr>
            <w:r>
              <w:rPr>
                <w:i/>
                <w:sz w:val="20"/>
              </w:rPr>
              <w:t>Company May Consolidate, Etc. on Certain Terms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23" w:type="dxa"/>
            <w:tcBorders/>
            <w:vAlign w:val="center"/>
          </w:tcPr>
          <w:p>
            <w:pPr>
              <w:pStyle w:val="TableContents"/>
              <w:bidi w:val="0"/>
              <w:spacing w:before="0" w:after="283"/>
              <w:jc w:val="left"/>
              <w:rPr>
                <w:sz w:val="20"/>
              </w:rPr>
            </w:pPr>
            <w:r>
              <w:rPr>
                <w:sz w:val="20"/>
              </w:rPr>
              <w:t>Section 11.02</w:t>
            </w:r>
            <w:r>
              <w:rPr>
                <w:i/>
                <w:sz w:val="20"/>
              </w:rPr>
              <w:t>.</w:t>
            </w:r>
          </w:p>
        </w:tc>
        <w:tc>
          <w:tcPr>
            <w:tcW w:w="8806" w:type="dxa"/>
            <w:tcBorders/>
            <w:vAlign w:val="center"/>
          </w:tcPr>
          <w:p>
            <w:pPr>
              <w:pStyle w:val="TableContents"/>
              <w:bidi w:val="0"/>
              <w:spacing w:before="0" w:after="283"/>
              <w:jc w:val="left"/>
              <w:rPr>
                <w:i/>
                <w:sz w:val="20"/>
              </w:rPr>
            </w:pPr>
            <w:r>
              <w:rPr>
                <w:i/>
                <w:sz w:val="20"/>
              </w:rPr>
              <w:t>Successor Corporation to Be Substituted</w:t>
            </w:r>
          </w:p>
        </w:tc>
        <w:tc>
          <w:tcPr>
            <w:tcW w:w="276" w:type="dxa"/>
            <w:tcBorders/>
            <w:vAlign w:val="center"/>
          </w:tcPr>
          <w:p>
            <w:pPr>
              <w:pStyle w:val="TableContents"/>
              <w:bidi w:val="0"/>
              <w:spacing w:before="0" w:after="283"/>
              <w:jc w:val="right"/>
              <w:rPr/>
            </w:pPr>
            <w:r>
              <w:rPr/>
              <w:t>60</w:t>
            </w:r>
          </w:p>
        </w:tc>
      </w:tr>
      <w:tr>
        <w:trPr/>
        <w:tc>
          <w:tcPr>
            <w:tcW w:w="1123" w:type="dxa"/>
            <w:tcBorders/>
            <w:vAlign w:val="center"/>
          </w:tcPr>
          <w:p>
            <w:pPr>
              <w:pStyle w:val="TableContents"/>
              <w:bidi w:val="0"/>
              <w:spacing w:before="0" w:after="283"/>
              <w:jc w:val="left"/>
              <w:rPr>
                <w:sz w:val="20"/>
              </w:rPr>
            </w:pPr>
            <w:r>
              <w:rPr>
                <w:sz w:val="20"/>
              </w:rPr>
              <w:t>Section 11.03</w:t>
            </w:r>
            <w:r>
              <w:rPr>
                <w:i/>
                <w:sz w:val="20"/>
              </w:rPr>
              <w:t>.</w:t>
            </w:r>
          </w:p>
        </w:tc>
        <w:tc>
          <w:tcPr>
            <w:tcW w:w="8806" w:type="dxa"/>
            <w:tcBorders/>
            <w:vAlign w:val="center"/>
          </w:tcPr>
          <w:p>
            <w:pPr>
              <w:pStyle w:val="TableContents"/>
              <w:bidi w:val="0"/>
              <w:spacing w:before="0" w:after="283"/>
              <w:jc w:val="left"/>
              <w:rPr>
                <w:i/>
                <w:sz w:val="20"/>
              </w:rPr>
            </w:pPr>
            <w:r>
              <w:rPr>
                <w:i/>
                <w:sz w:val="20"/>
              </w:rPr>
              <w:t>Opinion of Counsel to Be Given to Trustee</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23" w:type="dxa"/>
            <w:tcBorders/>
            <w:vAlign w:val="center"/>
          </w:tcPr>
          <w:p>
            <w:pPr>
              <w:pStyle w:val="TableContents"/>
              <w:bidi w:val="0"/>
              <w:spacing w:before="0" w:after="283"/>
              <w:jc w:val="left"/>
              <w:rPr/>
            </w:pPr>
            <w:r>
              <w:rPr/>
              <w:t> </w:t>
            </w:r>
          </w:p>
        </w:tc>
        <w:tc>
          <w:tcPr>
            <w:tcW w:w="880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smallCaps/>
              </w:rPr>
            </w:pPr>
            <w:r>
              <w:rPr>
                <w:caps/>
                <w:sz w:val="20"/>
              </w:rPr>
              <w:t>Article 12</w:t>
            </w:r>
            <w:r>
              <w:rPr>
                <w:smallCaps/>
                <w:sz w:val="20"/>
              </w:rPr>
              <w:br/>
              <w:t>Immunity of Incorporators, Shareholders, Officers and Directors</w:t>
            </w:r>
          </w:p>
        </w:tc>
      </w:tr>
      <w:tr>
        <w:trPr/>
        <w:tc>
          <w:tcPr>
            <w:tcW w:w="9929" w:type="dxa"/>
            <w:gridSpan w:val="2"/>
            <w:tcBorders/>
            <w:vAlign w:val="center"/>
          </w:tcPr>
          <w:p>
            <w:pPr>
              <w:pStyle w:val="TableContents"/>
              <w:bidi w:val="0"/>
              <w:spacing w:before="0" w:after="283"/>
              <w:jc w:val="center"/>
              <w:rPr/>
            </w:pPr>
            <w:r>
              <w:rPr/>
              <w:t> </w:t>
            </w:r>
          </w:p>
        </w:tc>
        <w:tc>
          <w:tcPr>
            <w:tcW w:w="276" w:type="dxa"/>
            <w:tcBorders/>
            <w:vAlign w:val="center"/>
          </w:tcPr>
          <w:p>
            <w:pPr>
              <w:pStyle w:val="TableContents"/>
              <w:bidi w:val="0"/>
              <w:spacing w:before="0" w:after="283"/>
              <w:jc w:val="right"/>
              <w:rPr/>
            </w:pPr>
            <w:r>
              <w:rPr/>
              <w:t> </w:t>
            </w:r>
          </w:p>
        </w:tc>
      </w:tr>
      <w:tr>
        <w:trPr/>
        <w:tc>
          <w:tcPr>
            <w:tcW w:w="1123" w:type="dxa"/>
            <w:tcBorders/>
            <w:vAlign w:val="center"/>
          </w:tcPr>
          <w:p>
            <w:pPr>
              <w:pStyle w:val="TableContents"/>
              <w:bidi w:val="0"/>
              <w:spacing w:before="0" w:after="283"/>
              <w:jc w:val="left"/>
              <w:rPr>
                <w:sz w:val="20"/>
              </w:rPr>
            </w:pPr>
            <w:r>
              <w:rPr>
                <w:sz w:val="20"/>
              </w:rPr>
              <w:t>Section 12.01</w:t>
            </w:r>
            <w:r>
              <w:rPr>
                <w:i/>
                <w:sz w:val="20"/>
              </w:rPr>
              <w:t>.</w:t>
            </w:r>
          </w:p>
        </w:tc>
        <w:tc>
          <w:tcPr>
            <w:tcW w:w="8806" w:type="dxa"/>
            <w:tcBorders/>
            <w:vAlign w:val="center"/>
          </w:tcPr>
          <w:p>
            <w:pPr>
              <w:pStyle w:val="TableContents"/>
              <w:bidi w:val="0"/>
              <w:spacing w:before="0" w:after="283"/>
              <w:jc w:val="left"/>
              <w:rPr>
                <w:i/>
                <w:sz w:val="20"/>
              </w:rPr>
            </w:pPr>
            <w:r>
              <w:rPr>
                <w:i/>
                <w:sz w:val="20"/>
              </w:rPr>
              <w:t>Indenture and Notes Solely Corporate Obligations</w:t>
            </w:r>
          </w:p>
        </w:tc>
        <w:tc>
          <w:tcPr>
            <w:tcW w:w="276" w:type="dxa"/>
            <w:tcBorders/>
            <w:vAlign w:val="center"/>
          </w:tcPr>
          <w:p>
            <w:pPr>
              <w:pStyle w:val="TableContents"/>
              <w:bidi w:val="0"/>
              <w:spacing w:before="0" w:after="283"/>
              <w:jc w:val="right"/>
              <w:rPr/>
            </w:pPr>
            <w:r>
              <w:rPr/>
              <w:t>60</w:t>
            </w:r>
          </w:p>
        </w:tc>
      </w:tr>
      <w:tr>
        <w:trPr/>
        <w:tc>
          <w:tcPr>
            <w:tcW w:w="1123" w:type="dxa"/>
            <w:tcBorders/>
            <w:vAlign w:val="center"/>
          </w:tcPr>
          <w:p>
            <w:pPr>
              <w:pStyle w:val="TableContents"/>
              <w:bidi w:val="0"/>
              <w:spacing w:before="0" w:after="283"/>
              <w:jc w:val="left"/>
              <w:rPr/>
            </w:pPr>
            <w:r>
              <w:rPr/>
              <w:t> </w:t>
            </w:r>
          </w:p>
        </w:tc>
        <w:tc>
          <w:tcPr>
            <w:tcW w:w="880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smallCaps/>
              </w:rPr>
            </w:pPr>
            <w:r>
              <w:rPr>
                <w:caps/>
                <w:sz w:val="20"/>
              </w:rPr>
              <w:t>Article 13</w:t>
            </w:r>
            <w:r>
              <w:rPr>
                <w:smallCaps/>
                <w:sz w:val="20"/>
              </w:rPr>
              <w:br/>
              <w:t>[intentionally Omitted]</w:t>
            </w:r>
          </w:p>
        </w:tc>
      </w:tr>
      <w:tr>
        <w:trPr/>
        <w:tc>
          <w:tcPr>
            <w:tcW w:w="9929" w:type="dxa"/>
            <w:gridSpan w:val="2"/>
            <w:tcBorders/>
            <w:vAlign w:val="center"/>
          </w:tcPr>
          <w:p>
            <w:pPr>
              <w:pStyle w:val="TableContents"/>
              <w:bidi w:val="0"/>
              <w:spacing w:before="0" w:after="283"/>
              <w:jc w:val="center"/>
              <w:rPr/>
            </w:pPr>
            <w:r>
              <w:rPr/>
              <w:t> </w:t>
            </w:r>
          </w:p>
        </w:tc>
        <w:tc>
          <w:tcPr>
            <w:tcW w:w="27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smallCaps/>
              </w:rPr>
            </w:pPr>
            <w:r>
              <w:rPr>
                <w:caps/>
                <w:sz w:val="20"/>
              </w:rPr>
              <w:t>Article 14</w:t>
            </w:r>
            <w:r>
              <w:rPr>
                <w:smallCaps/>
                <w:sz w:val="20"/>
              </w:rPr>
              <w:br/>
              <w:t>Conversion of notes</w:t>
            </w:r>
          </w:p>
        </w:tc>
      </w:tr>
      <w:tr>
        <w:trPr/>
        <w:tc>
          <w:tcPr>
            <w:tcW w:w="9929" w:type="dxa"/>
            <w:gridSpan w:val="2"/>
            <w:tcBorders/>
            <w:vAlign w:val="center"/>
          </w:tcPr>
          <w:p>
            <w:pPr>
              <w:pStyle w:val="TableContents"/>
              <w:bidi w:val="0"/>
              <w:spacing w:before="0" w:after="283"/>
              <w:jc w:val="center"/>
              <w:rPr/>
            </w:pPr>
            <w:r>
              <w:rPr/>
              <w:t> </w:t>
            </w:r>
          </w:p>
        </w:tc>
        <w:tc>
          <w:tcPr>
            <w:tcW w:w="276" w:type="dxa"/>
            <w:tcBorders/>
            <w:vAlign w:val="center"/>
          </w:tcPr>
          <w:p>
            <w:pPr>
              <w:pStyle w:val="TableContents"/>
              <w:bidi w:val="0"/>
              <w:spacing w:before="0" w:after="283"/>
              <w:jc w:val="right"/>
              <w:rPr/>
            </w:pPr>
            <w:r>
              <w:rPr/>
              <w:t> </w:t>
            </w:r>
          </w:p>
        </w:tc>
      </w:tr>
      <w:tr>
        <w:trPr/>
        <w:tc>
          <w:tcPr>
            <w:tcW w:w="1123" w:type="dxa"/>
            <w:tcBorders/>
            <w:vAlign w:val="center"/>
          </w:tcPr>
          <w:p>
            <w:pPr>
              <w:pStyle w:val="TableContents"/>
              <w:bidi w:val="0"/>
              <w:spacing w:before="0" w:after="283"/>
              <w:jc w:val="left"/>
              <w:rPr>
                <w:sz w:val="20"/>
              </w:rPr>
            </w:pPr>
            <w:r>
              <w:rPr>
                <w:sz w:val="20"/>
              </w:rPr>
              <w:t>Section 14.01</w:t>
            </w:r>
            <w:r>
              <w:rPr>
                <w:i/>
                <w:sz w:val="20"/>
              </w:rPr>
              <w:t>.</w:t>
            </w:r>
          </w:p>
        </w:tc>
        <w:tc>
          <w:tcPr>
            <w:tcW w:w="8806" w:type="dxa"/>
            <w:tcBorders/>
            <w:vAlign w:val="center"/>
          </w:tcPr>
          <w:p>
            <w:pPr>
              <w:pStyle w:val="TableContents"/>
              <w:bidi w:val="0"/>
              <w:spacing w:before="0" w:after="283"/>
              <w:jc w:val="left"/>
              <w:rPr>
                <w:i/>
                <w:sz w:val="20"/>
              </w:rPr>
            </w:pPr>
            <w:r>
              <w:rPr>
                <w:i/>
                <w:sz w:val="20"/>
              </w:rPr>
              <w:t>Conversion Privilege</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123" w:type="dxa"/>
            <w:tcBorders/>
            <w:vAlign w:val="center"/>
          </w:tcPr>
          <w:p>
            <w:pPr>
              <w:pStyle w:val="TableContents"/>
              <w:bidi w:val="0"/>
              <w:spacing w:before="0" w:after="283"/>
              <w:jc w:val="left"/>
              <w:rPr>
                <w:sz w:val="20"/>
              </w:rPr>
            </w:pPr>
            <w:r>
              <w:rPr>
                <w:sz w:val="20"/>
              </w:rPr>
              <w:t>Section 14.02</w:t>
            </w:r>
            <w:r>
              <w:rPr>
                <w:i/>
                <w:sz w:val="20"/>
              </w:rPr>
              <w:t>.</w:t>
            </w:r>
          </w:p>
        </w:tc>
        <w:tc>
          <w:tcPr>
            <w:tcW w:w="8806" w:type="dxa"/>
            <w:tcBorders/>
            <w:vAlign w:val="center"/>
          </w:tcPr>
          <w:p>
            <w:pPr>
              <w:pStyle w:val="TableContents"/>
              <w:bidi w:val="0"/>
              <w:spacing w:before="0" w:after="283"/>
              <w:jc w:val="left"/>
              <w:rPr>
                <w:i/>
                <w:sz w:val="20"/>
              </w:rPr>
            </w:pPr>
            <w:r>
              <w:rPr>
                <w:i/>
                <w:sz w:val="20"/>
              </w:rPr>
              <w:t>Conversion Procedure; Settlement Upon Conversion</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23" w:type="dxa"/>
            <w:tcBorders/>
            <w:vAlign w:val="center"/>
          </w:tcPr>
          <w:p>
            <w:pPr>
              <w:pStyle w:val="TableContents"/>
              <w:bidi w:val="0"/>
              <w:spacing w:before="0" w:after="283"/>
              <w:jc w:val="left"/>
              <w:rPr>
                <w:sz w:val="20"/>
              </w:rPr>
            </w:pPr>
            <w:r>
              <w:rPr>
                <w:sz w:val="20"/>
              </w:rPr>
              <w:t>Section 14.03.</w:t>
            </w:r>
          </w:p>
        </w:tc>
        <w:tc>
          <w:tcPr>
            <w:tcW w:w="8806" w:type="dxa"/>
            <w:tcBorders/>
            <w:vAlign w:val="center"/>
          </w:tcPr>
          <w:p>
            <w:pPr>
              <w:pStyle w:val="TableContents"/>
              <w:bidi w:val="0"/>
              <w:spacing w:before="0" w:after="283"/>
              <w:jc w:val="left"/>
              <w:rPr>
                <w:sz w:val="20"/>
              </w:rPr>
            </w:pPr>
            <w:r>
              <w:rPr>
                <w:sz w:val="20"/>
              </w:rPr>
              <w:t>Increased Conversion Rate Applicable to Certain Notes Surrendered in Connection with Make-Whole Fundamental Changes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123" w:type="dxa"/>
            <w:tcBorders/>
            <w:vAlign w:val="center"/>
          </w:tcPr>
          <w:p>
            <w:pPr>
              <w:pStyle w:val="TableContents"/>
              <w:bidi w:val="0"/>
              <w:spacing w:before="0" w:after="283"/>
              <w:jc w:val="left"/>
              <w:rPr>
                <w:sz w:val="20"/>
              </w:rPr>
            </w:pPr>
            <w:r>
              <w:rPr>
                <w:sz w:val="20"/>
              </w:rPr>
              <w:t>Section 14.04</w:t>
            </w:r>
            <w:r>
              <w:rPr>
                <w:i/>
                <w:sz w:val="20"/>
              </w:rPr>
              <w:t>.</w:t>
            </w:r>
          </w:p>
        </w:tc>
        <w:tc>
          <w:tcPr>
            <w:tcW w:w="8806" w:type="dxa"/>
            <w:tcBorders/>
            <w:vAlign w:val="center"/>
          </w:tcPr>
          <w:p>
            <w:pPr>
              <w:pStyle w:val="TableContents"/>
              <w:bidi w:val="0"/>
              <w:spacing w:before="0" w:after="283"/>
              <w:jc w:val="left"/>
              <w:rPr>
                <w:i/>
                <w:sz w:val="20"/>
              </w:rPr>
            </w:pPr>
            <w:r>
              <w:rPr>
                <w:i/>
                <w:sz w:val="20"/>
              </w:rPr>
              <w:t>Adjustment of Conversion Rate</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r>
      <w:tr>
        <w:trPr/>
        <w:tc>
          <w:tcPr>
            <w:tcW w:w="1123" w:type="dxa"/>
            <w:tcBorders/>
            <w:vAlign w:val="center"/>
          </w:tcPr>
          <w:p>
            <w:pPr>
              <w:pStyle w:val="TableContents"/>
              <w:bidi w:val="0"/>
              <w:spacing w:before="0" w:after="283"/>
              <w:jc w:val="left"/>
              <w:rPr>
                <w:sz w:val="20"/>
              </w:rPr>
            </w:pPr>
            <w:r>
              <w:rPr>
                <w:sz w:val="20"/>
              </w:rPr>
              <w:t>Section 14.05</w:t>
            </w:r>
            <w:r>
              <w:rPr>
                <w:i/>
                <w:sz w:val="20"/>
              </w:rPr>
              <w:t>.</w:t>
            </w:r>
          </w:p>
        </w:tc>
        <w:tc>
          <w:tcPr>
            <w:tcW w:w="8806" w:type="dxa"/>
            <w:tcBorders/>
            <w:vAlign w:val="center"/>
          </w:tcPr>
          <w:p>
            <w:pPr>
              <w:pStyle w:val="TableContents"/>
              <w:bidi w:val="0"/>
              <w:spacing w:before="0" w:after="283"/>
              <w:jc w:val="left"/>
              <w:rPr>
                <w:i/>
                <w:sz w:val="20"/>
              </w:rPr>
            </w:pPr>
            <w:r>
              <w:rPr>
                <w:i/>
                <w:sz w:val="20"/>
              </w:rPr>
              <w:t>Adjustments of Prices</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123" w:type="dxa"/>
            <w:tcBorders/>
            <w:vAlign w:val="center"/>
          </w:tcPr>
          <w:p>
            <w:pPr>
              <w:pStyle w:val="TableContents"/>
              <w:bidi w:val="0"/>
              <w:spacing w:before="0" w:after="283"/>
              <w:jc w:val="left"/>
              <w:rPr>
                <w:sz w:val="20"/>
              </w:rPr>
            </w:pPr>
            <w:r>
              <w:rPr>
                <w:sz w:val="20"/>
              </w:rPr>
              <w:t>Section 14.06</w:t>
            </w:r>
            <w:r>
              <w:rPr>
                <w:i/>
                <w:sz w:val="20"/>
              </w:rPr>
              <w:t>.</w:t>
            </w:r>
          </w:p>
        </w:tc>
        <w:tc>
          <w:tcPr>
            <w:tcW w:w="8806" w:type="dxa"/>
            <w:tcBorders/>
            <w:vAlign w:val="center"/>
          </w:tcPr>
          <w:p>
            <w:pPr>
              <w:pStyle w:val="TableContents"/>
              <w:bidi w:val="0"/>
              <w:spacing w:before="0" w:after="283"/>
              <w:jc w:val="left"/>
              <w:rPr>
                <w:i/>
                <w:sz w:val="20"/>
              </w:rPr>
            </w:pPr>
            <w:r>
              <w:rPr>
                <w:i/>
                <w:sz w:val="20"/>
              </w:rPr>
              <w:t>Shares to Be Fully Paid</w:t>
            </w:r>
          </w:p>
        </w:tc>
        <w:tc>
          <w:tcPr>
            <w:tcW w:w="27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95" w:type="dxa"/>
        <w:jc w:val="left"/>
        <w:tblInd w:w="0" w:type="dxa"/>
        <w:tblLayout w:type="fixed"/>
        <w:tblCellMar>
          <w:top w:w="0" w:type="dxa"/>
          <w:left w:w="0" w:type="dxa"/>
          <w:bottom w:w="0" w:type="dxa"/>
          <w:right w:w="0" w:type="dxa"/>
        </w:tblCellMar>
      </w:tblPr>
      <w:tblGrid>
        <w:gridCol w:w="1205"/>
        <w:gridCol w:w="8255"/>
        <w:gridCol w:w="335"/>
      </w:tblGrid>
      <w:tr>
        <w:trPr/>
        <w:tc>
          <w:tcPr>
            <w:tcW w:w="1205" w:type="dxa"/>
            <w:tcBorders/>
            <w:vAlign w:val="center"/>
          </w:tcPr>
          <w:p>
            <w:pPr>
              <w:pStyle w:val="TableContents"/>
              <w:bidi w:val="0"/>
              <w:spacing w:before="0" w:after="283"/>
              <w:jc w:val="left"/>
              <w:rPr>
                <w:sz w:val="20"/>
              </w:rPr>
            </w:pPr>
            <w:r>
              <w:rPr>
                <w:sz w:val="20"/>
              </w:rPr>
              <w:t>Section 14.07</w:t>
            </w:r>
            <w:r>
              <w:rPr>
                <w:i/>
                <w:sz w:val="20"/>
              </w:rPr>
              <w:t>.</w:t>
            </w:r>
          </w:p>
        </w:tc>
        <w:tc>
          <w:tcPr>
            <w:tcW w:w="8255" w:type="dxa"/>
            <w:tcBorders/>
            <w:vAlign w:val="center"/>
          </w:tcPr>
          <w:p>
            <w:pPr>
              <w:pStyle w:val="TableContents"/>
              <w:bidi w:val="0"/>
              <w:spacing w:before="0" w:after="283"/>
              <w:jc w:val="left"/>
              <w:rPr>
                <w:i/>
                <w:sz w:val="20"/>
              </w:rPr>
            </w:pPr>
            <w:r>
              <w:rPr>
                <w:i/>
                <w:sz w:val="20"/>
              </w:rPr>
              <w:t>Effect of Recapitalizations, Reclassifications and Changes of the Common Stock</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205" w:type="dxa"/>
            <w:tcBorders/>
            <w:vAlign w:val="center"/>
          </w:tcPr>
          <w:p>
            <w:pPr>
              <w:pStyle w:val="TableContents"/>
              <w:bidi w:val="0"/>
              <w:spacing w:before="0" w:after="283"/>
              <w:jc w:val="left"/>
              <w:rPr>
                <w:sz w:val="20"/>
              </w:rPr>
            </w:pPr>
            <w:r>
              <w:rPr>
                <w:sz w:val="20"/>
              </w:rPr>
              <w:t>Section 14.08</w:t>
            </w:r>
            <w:r>
              <w:rPr>
                <w:i/>
                <w:sz w:val="20"/>
              </w:rPr>
              <w:t>.</w:t>
            </w:r>
          </w:p>
        </w:tc>
        <w:tc>
          <w:tcPr>
            <w:tcW w:w="8255" w:type="dxa"/>
            <w:tcBorders/>
            <w:vAlign w:val="center"/>
          </w:tcPr>
          <w:p>
            <w:pPr>
              <w:pStyle w:val="TableContents"/>
              <w:bidi w:val="0"/>
              <w:spacing w:before="0" w:after="283"/>
              <w:jc w:val="left"/>
              <w:rPr>
                <w:i/>
                <w:sz w:val="20"/>
              </w:rPr>
            </w:pPr>
            <w:r>
              <w:rPr>
                <w:i/>
                <w:sz w:val="20"/>
              </w:rPr>
              <w:t>Certain Covenants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205" w:type="dxa"/>
            <w:tcBorders/>
            <w:vAlign w:val="center"/>
          </w:tcPr>
          <w:p>
            <w:pPr>
              <w:pStyle w:val="TableContents"/>
              <w:bidi w:val="0"/>
              <w:spacing w:before="0" w:after="283"/>
              <w:jc w:val="left"/>
              <w:rPr>
                <w:sz w:val="20"/>
              </w:rPr>
            </w:pPr>
            <w:r>
              <w:rPr>
                <w:sz w:val="20"/>
              </w:rPr>
              <w:t>Section 14.09</w:t>
            </w:r>
            <w:r>
              <w:rPr>
                <w:i/>
                <w:sz w:val="20"/>
              </w:rPr>
              <w:t>.</w:t>
            </w:r>
          </w:p>
        </w:tc>
        <w:tc>
          <w:tcPr>
            <w:tcW w:w="8255" w:type="dxa"/>
            <w:tcBorders/>
            <w:vAlign w:val="center"/>
          </w:tcPr>
          <w:p>
            <w:pPr>
              <w:pStyle w:val="TableContents"/>
              <w:bidi w:val="0"/>
              <w:spacing w:before="0" w:after="283"/>
              <w:jc w:val="left"/>
              <w:rPr>
                <w:i/>
                <w:sz w:val="20"/>
              </w:rPr>
            </w:pPr>
            <w:r>
              <w:rPr>
                <w:i/>
                <w:sz w:val="20"/>
              </w:rPr>
              <w:t>Responsibility of Trustee</w:t>
            </w:r>
          </w:p>
        </w:tc>
        <w:tc>
          <w:tcPr>
            <w:tcW w:w="335" w:type="dxa"/>
            <w:tcBorders/>
            <w:vAlign w:val="center"/>
          </w:tcPr>
          <w:p>
            <w:pPr>
              <w:pStyle w:val="TableContents"/>
              <w:bidi w:val="0"/>
              <w:spacing w:before="0" w:after="283"/>
              <w:jc w:val="right"/>
              <w:rPr/>
            </w:pPr>
            <w:r>
              <w:rPr/>
              <w:t>82</w:t>
            </w:r>
          </w:p>
        </w:tc>
      </w:tr>
      <w:tr>
        <w:trPr/>
        <w:tc>
          <w:tcPr>
            <w:tcW w:w="1205" w:type="dxa"/>
            <w:tcBorders/>
            <w:vAlign w:val="center"/>
          </w:tcPr>
          <w:p>
            <w:pPr>
              <w:pStyle w:val="TableContents"/>
              <w:bidi w:val="0"/>
              <w:spacing w:before="0" w:after="283"/>
              <w:jc w:val="left"/>
              <w:rPr>
                <w:sz w:val="20"/>
              </w:rPr>
            </w:pPr>
            <w:r>
              <w:rPr>
                <w:sz w:val="20"/>
              </w:rPr>
              <w:t>Section 14.10</w:t>
            </w:r>
            <w:r>
              <w:rPr>
                <w:i/>
                <w:sz w:val="20"/>
              </w:rPr>
              <w:t>.</w:t>
            </w:r>
          </w:p>
        </w:tc>
        <w:tc>
          <w:tcPr>
            <w:tcW w:w="8255" w:type="dxa"/>
            <w:tcBorders/>
            <w:vAlign w:val="center"/>
          </w:tcPr>
          <w:p>
            <w:pPr>
              <w:pStyle w:val="TableContents"/>
              <w:bidi w:val="0"/>
              <w:spacing w:before="0" w:after="283"/>
              <w:jc w:val="left"/>
              <w:rPr>
                <w:i/>
                <w:sz w:val="20"/>
              </w:rPr>
            </w:pPr>
            <w:r>
              <w:rPr>
                <w:i/>
                <w:sz w:val="20"/>
              </w:rPr>
              <w:t>[Reserved]</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205" w:type="dxa"/>
            <w:tcBorders/>
            <w:vAlign w:val="center"/>
          </w:tcPr>
          <w:p>
            <w:pPr>
              <w:pStyle w:val="TableContents"/>
              <w:bidi w:val="0"/>
              <w:spacing w:before="0" w:after="283"/>
              <w:jc w:val="left"/>
              <w:rPr>
                <w:sz w:val="20"/>
              </w:rPr>
            </w:pPr>
            <w:r>
              <w:rPr>
                <w:sz w:val="20"/>
              </w:rPr>
              <w:t>Section 14.11</w:t>
            </w:r>
            <w:r>
              <w:rPr>
                <w:i/>
                <w:sz w:val="20"/>
              </w:rPr>
              <w:t>.</w:t>
            </w:r>
          </w:p>
        </w:tc>
        <w:tc>
          <w:tcPr>
            <w:tcW w:w="8255" w:type="dxa"/>
            <w:tcBorders/>
            <w:vAlign w:val="center"/>
          </w:tcPr>
          <w:p>
            <w:pPr>
              <w:pStyle w:val="TableContents"/>
              <w:bidi w:val="0"/>
              <w:spacing w:before="0" w:after="283"/>
              <w:jc w:val="left"/>
              <w:rPr>
                <w:i/>
                <w:sz w:val="20"/>
              </w:rPr>
            </w:pPr>
            <w:r>
              <w:rPr>
                <w:i/>
                <w:sz w:val="20"/>
              </w:rPr>
              <w:t>Shareholder Rights Plans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205" w:type="dxa"/>
            <w:tcBorders/>
            <w:vAlign w:val="center"/>
          </w:tcPr>
          <w:p>
            <w:pPr>
              <w:pStyle w:val="TableContents"/>
              <w:bidi w:val="0"/>
              <w:spacing w:before="0" w:after="283"/>
              <w:jc w:val="left"/>
              <w:rPr>
                <w:sz w:val="20"/>
              </w:rPr>
            </w:pPr>
            <w:r>
              <w:rPr>
                <w:sz w:val="20"/>
              </w:rPr>
              <w:t>Section 14.12</w:t>
            </w:r>
            <w:r>
              <w:rPr>
                <w:i/>
                <w:sz w:val="20"/>
              </w:rPr>
              <w:t>.</w:t>
            </w:r>
          </w:p>
        </w:tc>
        <w:tc>
          <w:tcPr>
            <w:tcW w:w="8255" w:type="dxa"/>
            <w:tcBorders/>
            <w:vAlign w:val="center"/>
          </w:tcPr>
          <w:p>
            <w:pPr>
              <w:pStyle w:val="TableContents"/>
              <w:bidi w:val="0"/>
              <w:spacing w:before="0" w:after="283"/>
              <w:jc w:val="left"/>
              <w:rPr>
                <w:i/>
                <w:sz w:val="20"/>
              </w:rPr>
            </w:pPr>
            <w:r>
              <w:rPr>
                <w:i/>
                <w:sz w:val="20"/>
              </w:rPr>
              <w:t>Exchange in lieu of conversion</w:t>
            </w:r>
          </w:p>
        </w:tc>
        <w:tc>
          <w:tcPr>
            <w:tcW w:w="335" w:type="dxa"/>
            <w:tcBorders/>
            <w:vAlign w:val="center"/>
          </w:tcPr>
          <w:p>
            <w:pPr>
              <w:pStyle w:val="TableContents"/>
              <w:bidi w:val="0"/>
              <w:spacing w:before="0" w:after="283"/>
              <w:jc w:val="right"/>
              <w:rPr/>
            </w:pPr>
            <w:r>
              <w:rPr/>
              <w:t>83</w:t>
            </w:r>
          </w:p>
        </w:tc>
      </w:tr>
      <w:tr>
        <w:trPr/>
        <w:tc>
          <w:tcPr>
            <w:tcW w:w="120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795" w:type="dxa"/>
            <w:gridSpan w:val="3"/>
            <w:tcBorders/>
            <w:vAlign w:val="center"/>
          </w:tcPr>
          <w:p>
            <w:pPr>
              <w:pStyle w:val="TableContents"/>
              <w:bidi w:val="0"/>
              <w:spacing w:before="0" w:after="283"/>
              <w:jc w:val="center"/>
              <w:rPr>
                <w:smallCaps/>
              </w:rPr>
            </w:pPr>
            <w:r>
              <w:rPr>
                <w:caps/>
                <w:sz w:val="20"/>
              </w:rPr>
              <w:t>Article 15</w:t>
            </w:r>
            <w:r>
              <w:rPr>
                <w:smallCaps/>
                <w:sz w:val="20"/>
              </w:rPr>
              <w:br/>
              <w:t>Repurchase of notes at option of holders</w:t>
            </w:r>
          </w:p>
        </w:tc>
      </w:tr>
      <w:tr>
        <w:trPr/>
        <w:tc>
          <w:tcPr>
            <w:tcW w:w="9460" w:type="dxa"/>
            <w:gridSpan w:val="2"/>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sz w:val="20"/>
              </w:rPr>
            </w:pPr>
            <w:r>
              <w:rPr>
                <w:sz w:val="20"/>
              </w:rPr>
              <w:t>Section 15.01</w:t>
            </w:r>
            <w:r>
              <w:rPr>
                <w:i/>
                <w:sz w:val="20"/>
              </w:rPr>
              <w:t>.</w:t>
            </w:r>
          </w:p>
        </w:tc>
        <w:tc>
          <w:tcPr>
            <w:tcW w:w="8255" w:type="dxa"/>
            <w:tcBorders/>
            <w:vAlign w:val="center"/>
          </w:tcPr>
          <w:p>
            <w:pPr>
              <w:pStyle w:val="TableContents"/>
              <w:bidi w:val="0"/>
              <w:spacing w:before="0" w:after="283"/>
              <w:jc w:val="left"/>
              <w:rPr>
                <w:i/>
                <w:sz w:val="20"/>
              </w:rPr>
            </w:pPr>
            <w:r>
              <w:rPr>
                <w:i/>
                <w:sz w:val="20"/>
              </w:rPr>
              <w:t>[Intentionally Omitted]</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05" w:type="dxa"/>
            <w:tcBorders/>
            <w:vAlign w:val="center"/>
          </w:tcPr>
          <w:p>
            <w:pPr>
              <w:pStyle w:val="TableContents"/>
              <w:bidi w:val="0"/>
              <w:spacing w:before="0" w:after="283"/>
              <w:jc w:val="left"/>
              <w:rPr>
                <w:sz w:val="20"/>
              </w:rPr>
            </w:pPr>
            <w:r>
              <w:rPr>
                <w:sz w:val="20"/>
              </w:rPr>
              <w:t>Section 15.02</w:t>
            </w:r>
            <w:r>
              <w:rPr>
                <w:i/>
                <w:sz w:val="20"/>
              </w:rPr>
              <w:t>.</w:t>
            </w:r>
          </w:p>
        </w:tc>
        <w:tc>
          <w:tcPr>
            <w:tcW w:w="8255" w:type="dxa"/>
            <w:tcBorders/>
            <w:vAlign w:val="center"/>
          </w:tcPr>
          <w:p>
            <w:pPr>
              <w:pStyle w:val="TableContents"/>
              <w:bidi w:val="0"/>
              <w:spacing w:before="0" w:after="283"/>
              <w:jc w:val="left"/>
              <w:rPr>
                <w:i/>
                <w:sz w:val="20"/>
              </w:rPr>
            </w:pPr>
            <w:r>
              <w:rPr>
                <w:i/>
                <w:sz w:val="20"/>
              </w:rPr>
              <w:t>Repurchase at Option of Holders Upon a Fundamental Change</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205" w:type="dxa"/>
            <w:tcBorders/>
            <w:vAlign w:val="center"/>
          </w:tcPr>
          <w:p>
            <w:pPr>
              <w:pStyle w:val="TableContents"/>
              <w:bidi w:val="0"/>
              <w:spacing w:before="0" w:after="283"/>
              <w:jc w:val="left"/>
              <w:rPr>
                <w:sz w:val="20"/>
              </w:rPr>
            </w:pPr>
            <w:r>
              <w:rPr>
                <w:sz w:val="20"/>
              </w:rPr>
              <w:t>Section 15.03</w:t>
            </w:r>
            <w:r>
              <w:rPr>
                <w:i/>
                <w:sz w:val="20"/>
              </w:rPr>
              <w:t>.</w:t>
            </w:r>
          </w:p>
        </w:tc>
        <w:tc>
          <w:tcPr>
            <w:tcW w:w="8255" w:type="dxa"/>
            <w:tcBorders/>
            <w:vAlign w:val="center"/>
          </w:tcPr>
          <w:p>
            <w:pPr>
              <w:pStyle w:val="TableContents"/>
              <w:bidi w:val="0"/>
              <w:spacing w:before="0" w:after="283"/>
              <w:jc w:val="left"/>
              <w:rPr>
                <w:i/>
                <w:sz w:val="20"/>
              </w:rPr>
            </w:pPr>
            <w:r>
              <w:rPr>
                <w:i/>
                <w:sz w:val="20"/>
              </w:rPr>
              <w:t>Withdrawal of Fundamental Change Repurchase Notice</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05" w:type="dxa"/>
            <w:tcBorders/>
            <w:vAlign w:val="center"/>
          </w:tcPr>
          <w:p>
            <w:pPr>
              <w:pStyle w:val="TableContents"/>
              <w:bidi w:val="0"/>
              <w:spacing w:before="0" w:after="283"/>
              <w:jc w:val="left"/>
              <w:rPr>
                <w:sz w:val="20"/>
              </w:rPr>
            </w:pPr>
            <w:r>
              <w:rPr>
                <w:sz w:val="20"/>
              </w:rPr>
              <w:t>Section 15.04</w:t>
            </w:r>
            <w:r>
              <w:rPr>
                <w:i/>
                <w:sz w:val="20"/>
              </w:rPr>
              <w:t>.</w:t>
            </w:r>
          </w:p>
        </w:tc>
        <w:tc>
          <w:tcPr>
            <w:tcW w:w="8255" w:type="dxa"/>
            <w:tcBorders/>
            <w:vAlign w:val="center"/>
          </w:tcPr>
          <w:p>
            <w:pPr>
              <w:pStyle w:val="TableContents"/>
              <w:bidi w:val="0"/>
              <w:spacing w:before="0" w:after="283"/>
              <w:jc w:val="left"/>
              <w:rPr>
                <w:i/>
                <w:sz w:val="20"/>
              </w:rPr>
            </w:pPr>
            <w:r>
              <w:rPr>
                <w:i/>
                <w:sz w:val="20"/>
              </w:rPr>
              <w:t>Deposit of Fundamental Change Repurchase Price</w:t>
            </w:r>
          </w:p>
        </w:tc>
        <w:tc>
          <w:tcPr>
            <w:tcW w:w="335" w:type="dxa"/>
            <w:tcBorders/>
            <w:vAlign w:val="center"/>
          </w:tcPr>
          <w:p>
            <w:pPr>
              <w:pStyle w:val="TableContents"/>
              <w:bidi w:val="0"/>
              <w:spacing w:before="0" w:after="283"/>
              <w:jc w:val="right"/>
              <w:rPr/>
            </w:pPr>
            <w:r>
              <w:rPr/>
              <w:t>88</w:t>
            </w:r>
          </w:p>
        </w:tc>
      </w:tr>
      <w:tr>
        <w:trPr/>
        <w:tc>
          <w:tcPr>
            <w:tcW w:w="1205" w:type="dxa"/>
            <w:tcBorders/>
            <w:vAlign w:val="center"/>
          </w:tcPr>
          <w:p>
            <w:pPr>
              <w:pStyle w:val="TableContents"/>
              <w:bidi w:val="0"/>
              <w:spacing w:before="0" w:after="283"/>
              <w:jc w:val="left"/>
              <w:rPr>
                <w:sz w:val="20"/>
              </w:rPr>
            </w:pPr>
            <w:r>
              <w:rPr>
                <w:sz w:val="20"/>
              </w:rPr>
              <w:t>Section 15.05.</w:t>
            </w:r>
          </w:p>
        </w:tc>
        <w:tc>
          <w:tcPr>
            <w:tcW w:w="8255" w:type="dxa"/>
            <w:tcBorders/>
            <w:vAlign w:val="center"/>
          </w:tcPr>
          <w:p>
            <w:pPr>
              <w:pStyle w:val="TableContents"/>
              <w:bidi w:val="0"/>
              <w:spacing w:before="0" w:after="283"/>
              <w:jc w:val="left"/>
              <w:rPr>
                <w:i/>
                <w:sz w:val="20"/>
              </w:rPr>
            </w:pPr>
            <w:r>
              <w:rPr>
                <w:i/>
                <w:sz w:val="20"/>
              </w:rPr>
              <w:t>Covenant to Comply with Applicable Laws Upon Repurchase of Notes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20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795" w:type="dxa"/>
            <w:gridSpan w:val="3"/>
            <w:tcBorders/>
            <w:vAlign w:val="center"/>
          </w:tcPr>
          <w:p>
            <w:pPr>
              <w:pStyle w:val="TableContents"/>
              <w:bidi w:val="0"/>
              <w:spacing w:before="0" w:after="283"/>
              <w:jc w:val="center"/>
              <w:rPr>
                <w:smallCaps/>
              </w:rPr>
            </w:pPr>
            <w:r>
              <w:rPr>
                <w:caps/>
                <w:sz w:val="20"/>
              </w:rPr>
              <w:t>Article 16</w:t>
            </w:r>
            <w:r>
              <w:rPr>
                <w:smallCaps/>
                <w:sz w:val="20"/>
              </w:rPr>
              <w:br/>
              <w:t>No redemption</w:t>
            </w:r>
          </w:p>
        </w:tc>
      </w:tr>
      <w:tr>
        <w:trPr/>
        <w:tc>
          <w:tcPr>
            <w:tcW w:w="9460" w:type="dxa"/>
            <w:gridSpan w:val="2"/>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sz w:val="20"/>
              </w:rPr>
            </w:pPr>
            <w:r>
              <w:rPr>
                <w:sz w:val="20"/>
              </w:rPr>
              <w:t>Section 16.01.</w:t>
            </w:r>
          </w:p>
        </w:tc>
        <w:tc>
          <w:tcPr>
            <w:tcW w:w="8255" w:type="dxa"/>
            <w:tcBorders/>
            <w:vAlign w:val="center"/>
          </w:tcPr>
          <w:p>
            <w:pPr>
              <w:pStyle w:val="TableContents"/>
              <w:bidi w:val="0"/>
              <w:spacing w:before="0" w:after="283"/>
              <w:jc w:val="left"/>
              <w:rPr>
                <w:i/>
                <w:sz w:val="20"/>
              </w:rPr>
            </w:pPr>
            <w:r>
              <w:rPr>
                <w:i/>
                <w:sz w:val="20"/>
              </w:rPr>
              <w:t>No Redemption</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9795" w:type="dxa"/>
            <w:gridSpan w:val="3"/>
            <w:tcBorders/>
            <w:vAlign w:val="center"/>
          </w:tcPr>
          <w:p>
            <w:pPr>
              <w:pStyle w:val="TableContents"/>
              <w:bidi w:val="0"/>
              <w:spacing w:before="0" w:after="283"/>
              <w:jc w:val="center"/>
              <w:rPr>
                <w:smallCaps/>
              </w:rPr>
            </w:pPr>
            <w:r>
              <w:rPr>
                <w:caps/>
                <w:sz w:val="20"/>
              </w:rPr>
              <w:t>Article 17</w:t>
            </w:r>
            <w:r>
              <w:rPr>
                <w:smallCaps/>
                <w:sz w:val="20"/>
              </w:rPr>
              <w:br/>
              <w:t>Miscellaneous provisions</w:t>
            </w:r>
          </w:p>
        </w:tc>
      </w:tr>
      <w:tr>
        <w:trPr/>
        <w:tc>
          <w:tcPr>
            <w:tcW w:w="9460" w:type="dxa"/>
            <w:gridSpan w:val="2"/>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sz w:val="20"/>
              </w:rPr>
            </w:pPr>
            <w:r>
              <w:rPr>
                <w:sz w:val="20"/>
              </w:rPr>
              <w:t>Section 17.01</w:t>
            </w:r>
            <w:r>
              <w:rPr>
                <w:i/>
                <w:sz w:val="20"/>
              </w:rPr>
              <w:t>.</w:t>
            </w:r>
          </w:p>
        </w:tc>
        <w:tc>
          <w:tcPr>
            <w:tcW w:w="8255" w:type="dxa"/>
            <w:tcBorders/>
            <w:vAlign w:val="center"/>
          </w:tcPr>
          <w:p>
            <w:pPr>
              <w:pStyle w:val="TableContents"/>
              <w:bidi w:val="0"/>
              <w:spacing w:before="0" w:after="283"/>
              <w:jc w:val="left"/>
              <w:rPr>
                <w:i/>
                <w:sz w:val="20"/>
              </w:rPr>
            </w:pPr>
            <w:r>
              <w:rPr>
                <w:i/>
                <w:sz w:val="20"/>
              </w:rPr>
              <w:t>Provisions Binding on Company’s Successors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05" w:type="dxa"/>
            <w:tcBorders/>
            <w:vAlign w:val="center"/>
          </w:tcPr>
          <w:p>
            <w:pPr>
              <w:pStyle w:val="TableContents"/>
              <w:bidi w:val="0"/>
              <w:spacing w:before="0" w:after="283"/>
              <w:jc w:val="left"/>
              <w:rPr>
                <w:sz w:val="20"/>
              </w:rPr>
            </w:pPr>
            <w:r>
              <w:rPr>
                <w:sz w:val="20"/>
              </w:rPr>
              <w:t>Section 17.02</w:t>
            </w:r>
            <w:r>
              <w:rPr>
                <w:i/>
                <w:sz w:val="20"/>
              </w:rPr>
              <w:t>.</w:t>
            </w:r>
          </w:p>
        </w:tc>
        <w:tc>
          <w:tcPr>
            <w:tcW w:w="8255" w:type="dxa"/>
            <w:tcBorders/>
            <w:vAlign w:val="center"/>
          </w:tcPr>
          <w:p>
            <w:pPr>
              <w:pStyle w:val="TableContents"/>
              <w:bidi w:val="0"/>
              <w:spacing w:before="0" w:after="283"/>
              <w:jc w:val="left"/>
              <w:rPr>
                <w:i/>
                <w:sz w:val="20"/>
              </w:rPr>
            </w:pPr>
            <w:r>
              <w:rPr>
                <w:i/>
                <w:sz w:val="20"/>
              </w:rPr>
              <w:t>Official Acts by Successor Corporation</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05" w:type="dxa"/>
            <w:tcBorders/>
            <w:vAlign w:val="center"/>
          </w:tcPr>
          <w:p>
            <w:pPr>
              <w:pStyle w:val="TableContents"/>
              <w:bidi w:val="0"/>
              <w:spacing w:before="0" w:after="283"/>
              <w:jc w:val="left"/>
              <w:rPr>
                <w:sz w:val="20"/>
              </w:rPr>
            </w:pPr>
            <w:r>
              <w:rPr>
                <w:sz w:val="20"/>
              </w:rPr>
              <w:t>Section 17.03</w:t>
            </w:r>
            <w:r>
              <w:rPr>
                <w:i/>
                <w:sz w:val="20"/>
              </w:rPr>
              <w:t>.</w:t>
            </w:r>
          </w:p>
        </w:tc>
        <w:tc>
          <w:tcPr>
            <w:tcW w:w="8255" w:type="dxa"/>
            <w:tcBorders/>
            <w:vAlign w:val="center"/>
          </w:tcPr>
          <w:p>
            <w:pPr>
              <w:pStyle w:val="TableContents"/>
              <w:bidi w:val="0"/>
              <w:spacing w:before="0" w:after="283"/>
              <w:jc w:val="left"/>
              <w:rPr>
                <w:i/>
                <w:sz w:val="20"/>
              </w:rPr>
            </w:pPr>
            <w:r>
              <w:rPr>
                <w:i/>
                <w:sz w:val="20"/>
              </w:rPr>
              <w:t>Addresses for Notices, Etc.</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05" w:type="dxa"/>
            <w:tcBorders/>
            <w:vAlign w:val="center"/>
          </w:tcPr>
          <w:p>
            <w:pPr>
              <w:pStyle w:val="TableContents"/>
              <w:bidi w:val="0"/>
              <w:spacing w:before="0" w:after="283"/>
              <w:jc w:val="left"/>
              <w:rPr>
                <w:sz w:val="20"/>
              </w:rPr>
            </w:pPr>
            <w:r>
              <w:rPr>
                <w:sz w:val="20"/>
              </w:rPr>
              <w:t>Section 17.04</w:t>
            </w:r>
            <w:r>
              <w:rPr>
                <w:i/>
                <w:sz w:val="20"/>
              </w:rPr>
              <w:t>.</w:t>
            </w:r>
          </w:p>
        </w:tc>
        <w:tc>
          <w:tcPr>
            <w:tcW w:w="8255" w:type="dxa"/>
            <w:tcBorders/>
            <w:vAlign w:val="center"/>
          </w:tcPr>
          <w:p>
            <w:pPr>
              <w:pStyle w:val="TableContents"/>
              <w:bidi w:val="0"/>
              <w:spacing w:before="0" w:after="283"/>
              <w:jc w:val="left"/>
              <w:rPr>
                <w:i/>
                <w:sz w:val="20"/>
              </w:rPr>
            </w:pPr>
            <w:r>
              <w:rPr>
                <w:i/>
                <w:sz w:val="20"/>
              </w:rPr>
              <w:t>Governing Law; Jurisdiction</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05" w:type="dxa"/>
            <w:tcBorders/>
            <w:vAlign w:val="center"/>
          </w:tcPr>
          <w:p>
            <w:pPr>
              <w:pStyle w:val="TableContents"/>
              <w:bidi w:val="0"/>
              <w:spacing w:before="0" w:after="283"/>
              <w:jc w:val="left"/>
              <w:rPr>
                <w:sz w:val="20"/>
              </w:rPr>
            </w:pPr>
            <w:r>
              <w:rPr>
                <w:sz w:val="20"/>
              </w:rPr>
              <w:t>Section 17.05</w:t>
            </w:r>
            <w:r>
              <w:rPr>
                <w:i/>
                <w:sz w:val="20"/>
              </w:rPr>
              <w:t>.</w:t>
            </w:r>
          </w:p>
        </w:tc>
        <w:tc>
          <w:tcPr>
            <w:tcW w:w="8255" w:type="dxa"/>
            <w:tcBorders/>
            <w:vAlign w:val="center"/>
          </w:tcPr>
          <w:p>
            <w:pPr>
              <w:pStyle w:val="TableContents"/>
              <w:bidi w:val="0"/>
              <w:spacing w:before="0" w:after="283"/>
              <w:jc w:val="left"/>
              <w:rPr>
                <w:i/>
                <w:sz w:val="20"/>
              </w:rPr>
            </w:pPr>
            <w:r>
              <w:rPr>
                <w:i/>
                <w:sz w:val="20"/>
              </w:rPr>
              <w:t>Evidence of Compliance with Conditions Precedent; Certificates and Opinions of Counsel to Trustee</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05" w:type="dxa"/>
            <w:tcBorders/>
            <w:vAlign w:val="center"/>
          </w:tcPr>
          <w:p>
            <w:pPr>
              <w:pStyle w:val="TableContents"/>
              <w:bidi w:val="0"/>
              <w:spacing w:before="0" w:after="283"/>
              <w:jc w:val="left"/>
              <w:rPr>
                <w:sz w:val="20"/>
              </w:rPr>
            </w:pPr>
            <w:r>
              <w:rPr>
                <w:sz w:val="20"/>
              </w:rPr>
              <w:t>Section 17.06</w:t>
            </w:r>
            <w:r>
              <w:rPr>
                <w:i/>
                <w:sz w:val="20"/>
              </w:rPr>
              <w:t>.</w:t>
            </w:r>
          </w:p>
        </w:tc>
        <w:tc>
          <w:tcPr>
            <w:tcW w:w="8255" w:type="dxa"/>
            <w:tcBorders/>
            <w:vAlign w:val="center"/>
          </w:tcPr>
          <w:p>
            <w:pPr>
              <w:pStyle w:val="TableContents"/>
              <w:bidi w:val="0"/>
              <w:spacing w:before="0" w:after="283"/>
              <w:jc w:val="left"/>
              <w:rPr>
                <w:i/>
                <w:sz w:val="20"/>
              </w:rPr>
            </w:pPr>
            <w:r>
              <w:rPr>
                <w:i/>
                <w:sz w:val="20"/>
              </w:rPr>
              <w:t>Legal Holidays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05" w:type="dxa"/>
            <w:tcBorders/>
            <w:vAlign w:val="center"/>
          </w:tcPr>
          <w:p>
            <w:pPr>
              <w:pStyle w:val="TableContents"/>
              <w:bidi w:val="0"/>
              <w:spacing w:before="0" w:after="283"/>
              <w:jc w:val="left"/>
              <w:rPr>
                <w:sz w:val="20"/>
              </w:rPr>
            </w:pPr>
            <w:r>
              <w:rPr>
                <w:sz w:val="20"/>
              </w:rPr>
              <w:t>Section 17.07</w:t>
            </w:r>
            <w:r>
              <w:rPr>
                <w:i/>
                <w:sz w:val="20"/>
              </w:rPr>
              <w:t>.</w:t>
            </w:r>
          </w:p>
        </w:tc>
        <w:tc>
          <w:tcPr>
            <w:tcW w:w="8255" w:type="dxa"/>
            <w:tcBorders/>
            <w:vAlign w:val="center"/>
          </w:tcPr>
          <w:p>
            <w:pPr>
              <w:pStyle w:val="TableContents"/>
              <w:bidi w:val="0"/>
              <w:spacing w:before="0" w:after="283"/>
              <w:jc w:val="left"/>
              <w:rPr>
                <w:i/>
                <w:sz w:val="20"/>
              </w:rPr>
            </w:pPr>
            <w:r>
              <w:rPr>
                <w:i/>
                <w:sz w:val="20"/>
              </w:rPr>
              <w:t>No Security Interest Created</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05" w:type="dxa"/>
            <w:tcBorders/>
            <w:vAlign w:val="center"/>
          </w:tcPr>
          <w:p>
            <w:pPr>
              <w:pStyle w:val="TableContents"/>
              <w:bidi w:val="0"/>
              <w:spacing w:before="0" w:after="283"/>
              <w:jc w:val="left"/>
              <w:rPr>
                <w:sz w:val="20"/>
              </w:rPr>
            </w:pPr>
            <w:r>
              <w:rPr>
                <w:sz w:val="20"/>
              </w:rPr>
              <w:t>Section 17.08</w:t>
            </w:r>
            <w:r>
              <w:rPr>
                <w:i/>
                <w:sz w:val="20"/>
              </w:rPr>
              <w:t>.</w:t>
            </w:r>
          </w:p>
        </w:tc>
        <w:tc>
          <w:tcPr>
            <w:tcW w:w="8255" w:type="dxa"/>
            <w:tcBorders/>
            <w:vAlign w:val="center"/>
          </w:tcPr>
          <w:p>
            <w:pPr>
              <w:pStyle w:val="TableContents"/>
              <w:bidi w:val="0"/>
              <w:spacing w:before="0" w:after="283"/>
              <w:jc w:val="left"/>
              <w:rPr>
                <w:i/>
                <w:sz w:val="20"/>
              </w:rPr>
            </w:pPr>
            <w:r>
              <w:rPr>
                <w:i/>
                <w:sz w:val="20"/>
              </w:rPr>
              <w:t>Benefits of Indenture</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05" w:type="dxa"/>
            <w:tcBorders/>
            <w:vAlign w:val="center"/>
          </w:tcPr>
          <w:p>
            <w:pPr>
              <w:pStyle w:val="TableContents"/>
              <w:bidi w:val="0"/>
              <w:spacing w:before="0" w:after="283"/>
              <w:jc w:val="left"/>
              <w:rPr>
                <w:sz w:val="20"/>
              </w:rPr>
            </w:pPr>
            <w:r>
              <w:rPr>
                <w:sz w:val="20"/>
              </w:rPr>
              <w:t>Section 17.09</w:t>
            </w:r>
            <w:r>
              <w:rPr>
                <w:i/>
                <w:sz w:val="20"/>
              </w:rPr>
              <w:t>.</w:t>
            </w:r>
          </w:p>
        </w:tc>
        <w:tc>
          <w:tcPr>
            <w:tcW w:w="8255" w:type="dxa"/>
            <w:tcBorders/>
            <w:vAlign w:val="center"/>
          </w:tcPr>
          <w:p>
            <w:pPr>
              <w:pStyle w:val="TableContents"/>
              <w:bidi w:val="0"/>
              <w:spacing w:before="0" w:after="283"/>
              <w:jc w:val="left"/>
              <w:rPr>
                <w:i/>
                <w:sz w:val="20"/>
              </w:rPr>
            </w:pPr>
            <w:r>
              <w:rPr>
                <w:i/>
                <w:sz w:val="20"/>
              </w:rPr>
              <w:t>Table of Contents, Headings, Etc.</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205" w:type="dxa"/>
            <w:tcBorders/>
            <w:vAlign w:val="center"/>
          </w:tcPr>
          <w:p>
            <w:pPr>
              <w:pStyle w:val="TableContents"/>
              <w:bidi w:val="0"/>
              <w:spacing w:before="0" w:after="283"/>
              <w:jc w:val="left"/>
              <w:rPr>
                <w:sz w:val="20"/>
              </w:rPr>
            </w:pPr>
            <w:r>
              <w:rPr>
                <w:sz w:val="20"/>
              </w:rPr>
              <w:t>Section 17.10</w:t>
            </w:r>
            <w:r>
              <w:rPr>
                <w:i/>
                <w:sz w:val="20"/>
              </w:rPr>
              <w:t>.</w:t>
            </w:r>
          </w:p>
        </w:tc>
        <w:tc>
          <w:tcPr>
            <w:tcW w:w="8255" w:type="dxa"/>
            <w:tcBorders/>
            <w:vAlign w:val="center"/>
          </w:tcPr>
          <w:p>
            <w:pPr>
              <w:pStyle w:val="TableContents"/>
              <w:bidi w:val="0"/>
              <w:spacing w:before="0" w:after="283"/>
              <w:jc w:val="left"/>
              <w:rPr>
                <w:i/>
                <w:sz w:val="20"/>
              </w:rPr>
            </w:pPr>
            <w:r>
              <w:rPr>
                <w:i/>
                <w:sz w:val="20"/>
              </w:rPr>
              <w:t>Authenticating Agent</w:t>
            </w:r>
          </w:p>
        </w:tc>
        <w:tc>
          <w:tcPr>
            <w:tcW w:w="335" w:type="dxa"/>
            <w:tcBorders/>
            <w:vAlign w:val="center"/>
          </w:tcPr>
          <w:p>
            <w:pPr>
              <w:pStyle w:val="TableContents"/>
              <w:bidi w:val="0"/>
              <w:spacing w:before="0" w:after="283"/>
              <w:jc w:val="right"/>
              <w:rPr/>
            </w:pPr>
            <w:r>
              <w:rPr/>
              <w:t>91</w:t>
            </w:r>
          </w:p>
        </w:tc>
      </w:tr>
      <w:tr>
        <w:trPr/>
        <w:tc>
          <w:tcPr>
            <w:tcW w:w="1205" w:type="dxa"/>
            <w:tcBorders/>
            <w:vAlign w:val="center"/>
          </w:tcPr>
          <w:p>
            <w:pPr>
              <w:pStyle w:val="TableContents"/>
              <w:bidi w:val="0"/>
              <w:spacing w:before="0" w:after="283"/>
              <w:jc w:val="left"/>
              <w:rPr>
                <w:sz w:val="20"/>
              </w:rPr>
            </w:pPr>
            <w:r>
              <w:rPr>
                <w:sz w:val="20"/>
              </w:rPr>
              <w:t>Section 17.11</w:t>
            </w:r>
            <w:r>
              <w:rPr>
                <w:i/>
                <w:sz w:val="20"/>
              </w:rPr>
              <w:t>.</w:t>
            </w:r>
          </w:p>
        </w:tc>
        <w:tc>
          <w:tcPr>
            <w:tcW w:w="8255" w:type="dxa"/>
            <w:tcBorders/>
            <w:vAlign w:val="center"/>
          </w:tcPr>
          <w:p>
            <w:pPr>
              <w:pStyle w:val="TableContents"/>
              <w:bidi w:val="0"/>
              <w:spacing w:before="0" w:after="283"/>
              <w:jc w:val="left"/>
              <w:rPr>
                <w:i/>
                <w:sz w:val="20"/>
              </w:rPr>
            </w:pPr>
            <w:r>
              <w:rPr>
                <w:i/>
                <w:sz w:val="20"/>
              </w:rPr>
              <w:t>Execution in Counterparts; Electronic Signatures</w:t>
            </w:r>
          </w:p>
        </w:tc>
        <w:tc>
          <w:tcPr>
            <w:tcW w:w="335" w:type="dxa"/>
            <w:tcBorders/>
            <w:vAlign w:val="center"/>
          </w:tcPr>
          <w:p>
            <w:pPr>
              <w:pStyle w:val="TableContents"/>
              <w:bidi w:val="0"/>
              <w:spacing w:before="0" w:after="283"/>
              <w:jc w:val="right"/>
              <w:rPr/>
            </w:pPr>
            <w:r>
              <w:rPr/>
              <w:t>92</w:t>
            </w:r>
          </w:p>
        </w:tc>
      </w:tr>
      <w:tr>
        <w:trPr/>
        <w:tc>
          <w:tcPr>
            <w:tcW w:w="1205" w:type="dxa"/>
            <w:tcBorders/>
            <w:vAlign w:val="center"/>
          </w:tcPr>
          <w:p>
            <w:pPr>
              <w:pStyle w:val="TableContents"/>
              <w:bidi w:val="0"/>
              <w:spacing w:before="0" w:after="283"/>
              <w:jc w:val="left"/>
              <w:rPr>
                <w:sz w:val="20"/>
              </w:rPr>
            </w:pPr>
            <w:r>
              <w:rPr>
                <w:sz w:val="20"/>
              </w:rPr>
              <w:t>Section 17.12</w:t>
            </w:r>
            <w:r>
              <w:rPr>
                <w:i/>
                <w:sz w:val="20"/>
              </w:rPr>
              <w:t>.</w:t>
            </w:r>
          </w:p>
        </w:tc>
        <w:tc>
          <w:tcPr>
            <w:tcW w:w="8255" w:type="dxa"/>
            <w:tcBorders/>
            <w:vAlign w:val="center"/>
          </w:tcPr>
          <w:p>
            <w:pPr>
              <w:pStyle w:val="TableContents"/>
              <w:bidi w:val="0"/>
              <w:spacing w:before="0" w:after="283"/>
              <w:jc w:val="left"/>
              <w:rPr>
                <w:i/>
                <w:sz w:val="20"/>
              </w:rPr>
            </w:pPr>
            <w:r>
              <w:rPr>
                <w:i/>
                <w:sz w:val="20"/>
              </w:rPr>
              <w:t>Severability</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05" w:type="dxa"/>
            <w:tcBorders/>
            <w:vAlign w:val="center"/>
          </w:tcPr>
          <w:p>
            <w:pPr>
              <w:pStyle w:val="TableContents"/>
              <w:bidi w:val="0"/>
              <w:spacing w:before="0" w:after="283"/>
              <w:jc w:val="left"/>
              <w:rPr>
                <w:sz w:val="20"/>
              </w:rPr>
            </w:pPr>
            <w:r>
              <w:rPr>
                <w:sz w:val="20"/>
              </w:rPr>
              <w:t>Section 17.13</w:t>
            </w:r>
            <w:r>
              <w:rPr>
                <w:i/>
                <w:sz w:val="20"/>
              </w:rPr>
              <w:t>.</w:t>
            </w:r>
          </w:p>
        </w:tc>
        <w:tc>
          <w:tcPr>
            <w:tcW w:w="8255" w:type="dxa"/>
            <w:tcBorders/>
            <w:vAlign w:val="center"/>
          </w:tcPr>
          <w:p>
            <w:pPr>
              <w:pStyle w:val="TableContents"/>
              <w:bidi w:val="0"/>
              <w:spacing w:before="0" w:after="283"/>
              <w:jc w:val="left"/>
              <w:rPr>
                <w:i/>
                <w:sz w:val="20"/>
              </w:rPr>
            </w:pPr>
            <w:r>
              <w:rPr>
                <w:i/>
                <w:sz w:val="20"/>
              </w:rPr>
              <w:t>Waiver of Jury Trial</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05" w:type="dxa"/>
            <w:tcBorders/>
            <w:vAlign w:val="center"/>
          </w:tcPr>
          <w:p>
            <w:pPr>
              <w:pStyle w:val="TableContents"/>
              <w:bidi w:val="0"/>
              <w:spacing w:before="0" w:after="283"/>
              <w:jc w:val="left"/>
              <w:rPr>
                <w:sz w:val="20"/>
              </w:rPr>
            </w:pPr>
            <w:r>
              <w:rPr>
                <w:sz w:val="20"/>
              </w:rPr>
              <w:t>Section 17.14</w:t>
            </w:r>
            <w:r>
              <w:rPr>
                <w:i/>
                <w:sz w:val="20"/>
              </w:rPr>
              <w:t>.</w:t>
            </w:r>
          </w:p>
        </w:tc>
        <w:tc>
          <w:tcPr>
            <w:tcW w:w="8255" w:type="dxa"/>
            <w:tcBorders/>
            <w:vAlign w:val="center"/>
          </w:tcPr>
          <w:p>
            <w:pPr>
              <w:pStyle w:val="TableContents"/>
              <w:bidi w:val="0"/>
              <w:spacing w:before="0" w:after="283"/>
              <w:jc w:val="left"/>
              <w:rPr>
                <w:i/>
                <w:sz w:val="20"/>
              </w:rPr>
            </w:pPr>
            <w:r>
              <w:rPr>
                <w:i/>
                <w:sz w:val="20"/>
              </w:rPr>
              <w:t>Force Majeure</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05" w:type="dxa"/>
            <w:tcBorders/>
            <w:vAlign w:val="center"/>
          </w:tcPr>
          <w:p>
            <w:pPr>
              <w:pStyle w:val="TableContents"/>
              <w:bidi w:val="0"/>
              <w:spacing w:before="0" w:after="283"/>
              <w:jc w:val="left"/>
              <w:rPr>
                <w:sz w:val="20"/>
              </w:rPr>
            </w:pPr>
            <w:r>
              <w:rPr>
                <w:sz w:val="20"/>
              </w:rPr>
              <w:t>Section 17.15</w:t>
            </w:r>
            <w:r>
              <w:rPr>
                <w:i/>
                <w:sz w:val="20"/>
              </w:rPr>
              <w:t>.</w:t>
            </w:r>
          </w:p>
        </w:tc>
        <w:tc>
          <w:tcPr>
            <w:tcW w:w="8255" w:type="dxa"/>
            <w:tcBorders/>
            <w:vAlign w:val="center"/>
          </w:tcPr>
          <w:p>
            <w:pPr>
              <w:pStyle w:val="TableContents"/>
              <w:bidi w:val="0"/>
              <w:spacing w:before="0" w:after="283"/>
              <w:jc w:val="left"/>
              <w:rPr>
                <w:i/>
                <w:sz w:val="20"/>
              </w:rPr>
            </w:pPr>
            <w:r>
              <w:rPr>
                <w:i/>
                <w:sz w:val="20"/>
              </w:rPr>
              <w:t>Calculations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205" w:type="dxa"/>
            <w:tcBorders/>
            <w:vAlign w:val="center"/>
          </w:tcPr>
          <w:p>
            <w:pPr>
              <w:pStyle w:val="TableContents"/>
              <w:bidi w:val="0"/>
              <w:spacing w:before="0" w:after="283"/>
              <w:jc w:val="left"/>
              <w:rPr>
                <w:sz w:val="20"/>
              </w:rPr>
            </w:pPr>
            <w:r>
              <w:rPr>
                <w:sz w:val="20"/>
              </w:rPr>
              <w:t>Section 17.16.</w:t>
            </w:r>
          </w:p>
        </w:tc>
        <w:tc>
          <w:tcPr>
            <w:tcW w:w="8255" w:type="dxa"/>
            <w:tcBorders/>
            <w:vAlign w:val="center"/>
          </w:tcPr>
          <w:p>
            <w:pPr>
              <w:pStyle w:val="TableContents"/>
              <w:bidi w:val="0"/>
              <w:spacing w:before="0" w:after="283"/>
              <w:jc w:val="left"/>
              <w:rPr>
                <w:i/>
                <w:sz w:val="20"/>
              </w:rPr>
            </w:pPr>
            <w:r>
              <w:rPr>
                <w:i/>
                <w:sz w:val="20"/>
              </w:rPr>
              <w:t>USA PATRIOT Act</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05" w:type="dxa"/>
            <w:tcBorders/>
            <w:vAlign w:val="center"/>
          </w:tcPr>
          <w:p>
            <w:pPr>
              <w:pStyle w:val="TableContents"/>
              <w:bidi w:val="0"/>
              <w:spacing w:before="0" w:after="283"/>
              <w:jc w:val="left"/>
              <w:rPr>
                <w:sz w:val="20"/>
              </w:rPr>
            </w:pPr>
            <w:r>
              <w:rPr>
                <w:sz w:val="20"/>
              </w:rPr>
              <w:t>Section 17.17.</w:t>
            </w:r>
          </w:p>
        </w:tc>
        <w:tc>
          <w:tcPr>
            <w:tcW w:w="8255" w:type="dxa"/>
            <w:tcBorders/>
            <w:vAlign w:val="center"/>
          </w:tcPr>
          <w:p>
            <w:pPr>
              <w:pStyle w:val="TableContents"/>
              <w:bidi w:val="0"/>
              <w:spacing w:before="0" w:after="283"/>
              <w:jc w:val="left"/>
              <w:rPr>
                <w:i/>
                <w:sz w:val="20"/>
              </w:rPr>
            </w:pPr>
            <w:r>
              <w:rPr>
                <w:i/>
                <w:sz w:val="20"/>
              </w:rPr>
              <w:t>Electronic Communications</w:t>
            </w:r>
          </w:p>
        </w:tc>
        <w:tc>
          <w:tcPr>
            <w:tcW w:w="3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205" w:type="dxa"/>
            <w:tcBorders/>
            <w:vAlign w:val="center"/>
          </w:tcPr>
          <w:p>
            <w:pPr>
              <w:pStyle w:val="TableContents"/>
              <w:bidi w:val="0"/>
              <w:spacing w:before="0" w:after="283"/>
              <w:jc w:val="left"/>
              <w:rPr>
                <w:sz w:val="20"/>
              </w:rPr>
            </w:pPr>
            <w:r>
              <w:rPr>
                <w:sz w:val="20"/>
              </w:rPr>
              <w:t>Section 17.18.</w:t>
            </w:r>
          </w:p>
        </w:tc>
        <w:tc>
          <w:tcPr>
            <w:tcW w:w="8255" w:type="dxa"/>
            <w:tcBorders/>
            <w:vAlign w:val="center"/>
          </w:tcPr>
          <w:p>
            <w:pPr>
              <w:pStyle w:val="TableContents"/>
              <w:bidi w:val="0"/>
              <w:spacing w:before="0" w:after="283"/>
              <w:jc w:val="left"/>
              <w:rPr>
                <w:i/>
                <w:sz w:val="20"/>
              </w:rPr>
            </w:pPr>
            <w:r>
              <w:rPr>
                <w:i/>
                <w:sz w:val="20"/>
              </w:rPr>
              <w:t>FATCA</w:t>
            </w:r>
          </w:p>
        </w:tc>
        <w:tc>
          <w:tcPr>
            <w:tcW w:w="335" w:type="dxa"/>
            <w:tcBorders/>
            <w:vAlign w:val="center"/>
          </w:tcPr>
          <w:p>
            <w:pPr>
              <w:pStyle w:val="TableContents"/>
              <w:bidi w:val="0"/>
              <w:spacing w:before="0" w:after="283"/>
              <w:jc w:val="right"/>
              <w:rPr/>
            </w:pPr>
            <w:r>
              <w:rPr/>
              <w:t>95</w:t>
            </w:r>
          </w:p>
        </w:tc>
      </w:tr>
      <w:tr>
        <w:trPr/>
        <w:tc>
          <w:tcPr>
            <w:tcW w:w="120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pPr>
            <w:r>
              <w:rPr/>
              <w:t> </w:t>
            </w:r>
          </w:p>
        </w:tc>
      </w:tr>
      <w:tr>
        <w:trPr/>
        <w:tc>
          <w:tcPr>
            <w:tcW w:w="9795" w:type="dxa"/>
            <w:gridSpan w:val="3"/>
            <w:tcBorders/>
            <w:vAlign w:val="center"/>
          </w:tcPr>
          <w:p>
            <w:pPr>
              <w:pStyle w:val="TableContents"/>
              <w:bidi w:val="0"/>
              <w:spacing w:before="0" w:after="283"/>
              <w:jc w:val="center"/>
              <w:rPr>
                <w:b/>
                <w:sz w:val="20"/>
              </w:rPr>
            </w:pPr>
            <w:r>
              <w:rPr>
                <w:b/>
                <w:sz w:val="20"/>
              </w:rPr>
              <w:t>EXHIBIT</w:t>
            </w:r>
          </w:p>
        </w:tc>
      </w:tr>
      <w:tr>
        <w:trPr/>
        <w:tc>
          <w:tcPr>
            <w:tcW w:w="1205" w:type="dxa"/>
            <w:tcBorders/>
            <w:vAlign w:val="center"/>
          </w:tcPr>
          <w:p>
            <w:pPr>
              <w:pStyle w:val="TableContents"/>
              <w:bidi w:val="0"/>
              <w:spacing w:before="0" w:after="283"/>
              <w:jc w:val="left"/>
              <w:rPr>
                <w:sz w:val="20"/>
              </w:rPr>
            </w:pPr>
            <w:r>
              <w:rPr>
                <w:sz w:val="20"/>
              </w:rPr>
              <w:t>Exhibit A</w:t>
            </w:r>
          </w:p>
        </w:tc>
        <w:tc>
          <w:tcPr>
            <w:tcW w:w="8255" w:type="dxa"/>
            <w:tcBorders/>
            <w:vAlign w:val="center"/>
          </w:tcPr>
          <w:p>
            <w:pPr>
              <w:pStyle w:val="TableContents"/>
              <w:bidi w:val="0"/>
              <w:spacing w:before="0" w:after="283"/>
              <w:jc w:val="left"/>
              <w:rPr>
                <w:sz w:val="20"/>
              </w:rPr>
            </w:pPr>
            <w:r>
              <w:rPr>
                <w:sz w:val="20"/>
              </w:rPr>
              <w:t>Form of Note</w:t>
            </w:r>
          </w:p>
        </w:tc>
        <w:tc>
          <w:tcPr>
            <w:tcW w:w="335" w:type="dxa"/>
            <w:tcBorders/>
            <w:vAlign w:val="center"/>
          </w:tcPr>
          <w:p>
            <w:pPr>
              <w:pStyle w:val="TableContents"/>
              <w:bidi w:val="0"/>
              <w:spacing w:before="0" w:after="283"/>
              <w:jc w:val="right"/>
              <w:rPr>
                <w:sz w:val="20"/>
              </w:rPr>
            </w:pPr>
            <w:r>
              <w:rPr>
                <w:sz w:val="20"/>
              </w:rPr>
              <w:t>A-1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February 26, 2026 between CENTERPOINT ENERGY, INC., a Texas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more fully set forth in Section 1.01) and THE BANK OF NEW YORK MELLON TRUST COMPANY, NATIONAL ASSOCIATION, a national banking association organized under the laws of the United States of America,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more fully set forth in Section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issuance of its 2.875% Convertible Senior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in an aggregate principal amount not to exceed $650,000,000, and in order to provide the terms and conditions upon which the Notes are to be authenticated, issued and delivered, the Company has duly authorized the execution and delivery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b w:val="false"/>
          <w:i/>
          <w:caps w:val="false"/>
          <w:smallCaps w:val="false"/>
          <w:sz w:val="20"/>
        </w:rPr>
        <w:t>. Definitions.</w:t>
      </w:r>
      <w:r>
        <w:rPr>
          <w:rFonts w:ascii="Times New Roman;Times;Serif" w:hAnsi="Times New Roman;Times;Serif"/>
          <w:b w:val="false"/>
          <w:i w:val="false"/>
          <w:caps w:val="false"/>
          <w:smallCaps w:val="false"/>
          <w:sz w:val="20"/>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1% Exception</w:t>
      </w:r>
      <w:r>
        <w:rPr>
          <w:rFonts w:ascii="Times New Roman;Times;Serif" w:hAnsi="Times New Roman;Times;Serif"/>
          <w:b w:val="false"/>
          <w:i w:val="false"/>
          <w:caps w:val="false"/>
          <w:smallCaps w:val="false"/>
          <w:sz w:val="20"/>
        </w:rPr>
        <w:t>” means the provisions set forth in the second sentence of Section 14.04(j).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means all amounts, if any, payable pursuant to Section 4.06(d), Section 4.06(e) and Section 6.03,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another Person for purposes of this Indenture shall be made based on the facts at the time such determination is made or required to be made, as the case may be,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shall have the meaning specified in Section 17.18.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Officers</w:t>
      </w:r>
      <w:r>
        <w:rPr>
          <w:rFonts w:ascii="Times New Roman;Times;Serif" w:hAnsi="Times New Roman;Times;Serif"/>
          <w:b w:val="false"/>
          <w:i w:val="false"/>
          <w:caps w:val="false"/>
          <w:smallCaps w:val="false"/>
          <w:sz w:val="20"/>
        </w:rPr>
        <w:t>” shall have the meaning specified in Section 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means the Company or the Person appointed by the Company to solicit bids for the Trading Price of the Notes in accordance with Section 14.01(b)(i). The Company shall initially act as the Bid Solicitation Agent. The Company may appoint another Person to act as Bid Solicitation Agent at any time without prior notice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for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any day other than a Saturday, a Sunday or a day on which the Federal Reserve Bank of New York is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 but shall not include any debt securities convertible or exchangeable for any securities otherwise constituting Capital Stock pursuant to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Percentage</w:t>
      </w:r>
      <w:r>
        <w:rPr>
          <w:rFonts w:ascii="Times New Roman;Times;Serif" w:hAnsi="Times New Roman;Times;Serif"/>
          <w:b w:val="false"/>
          <w:i w:val="false"/>
          <w:caps w:val="false"/>
          <w:smallCaps w:val="false"/>
          <w:sz w:val="20"/>
        </w:rPr>
        <w:t>” shall have the meaning specified in Section 14.02(a)(i).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CERC Corp.</w:t>
      </w:r>
      <w:r>
        <w:rPr>
          <w:rFonts w:ascii="Times New Roman;Times;Serif" w:hAnsi="Times New Roman;Times;Serif"/>
          <w:b w:val="false"/>
          <w:i w:val="false"/>
          <w:caps w:val="false"/>
          <w:smallCaps w:val="false"/>
          <w:sz w:val="20"/>
        </w:rPr>
        <w:t xml:space="preserve">” means CenterPoint Energy Resources Corp., a Delaware corporation, and any successor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at any given time, there shall not be more than one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of the Company, par value $0.01 per share, at the date of this Indenture, subject to Section 14.07.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specified in the first paragraph of this Indenture, and subject to the provisions of Article 11, shall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 the Company’s Chief Executive Officer, President, Executive or Senior Vice President or any Vice President (whether or not designated by a number or numbers or word or words added before or after the title “Vice President”) and (b) any such other Officer designated by the Officers designated in clause (a) of this definition or the Company’s Treasurer or Assistant Treasurer or Secretary or any Assistant Secretary,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shall have the meaning specified in Section 14.12(a).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shall have the meaning specified in Section 14.02(c).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 shall have the meaning specified in Section 14.01(a).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Conversion Rate as of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shall have the meaning specified in Section 14.01(a).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shall have the meaning specified in Section 14.01(b)(iii).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at which at any time this Indenture shall be administered, which office at the date hereof is located at The Bank of New York Mellon Trust Company, National Association, 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Houston, Texas 77002, Attention: Global Corporate Trust,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Trustee, as custodian for The Depository Trust Company, with respect to the Global Notes,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for each of the 40 consecutive Trading Days during the relevant Observation Period, 2.5% of the product of (a) the Conversion Rate on such Trading Day and (b) the Daily VWAP for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Net Settlement Amount</w:t>
      </w:r>
      <w:r>
        <w:rPr>
          <w:rFonts w:ascii="Times New Roman;Times;Serif" w:hAnsi="Times New Roman;Times;Serif"/>
          <w:b w:val="false"/>
          <w:i w:val="false"/>
          <w:caps w:val="false"/>
          <w:smallCaps w:val="false"/>
          <w:sz w:val="20"/>
        </w:rPr>
        <w:t>” means, for each of the 40 consecutive Trading Days during the relevant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Company does not elect a Cash Percentage as set forth herein or if the Company elects (or is deemed to have elected) a Cash Percentage of 0%, a number of shares of Common Stock equal to (i) the difference between the Daily Conversion Value for such Trading Day and $25,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Daily VWAP for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elects a Cash Percentage of 100% as set forth herein, cash in an amount equal to the difference between the Daily Conversion Value for such Trading Day and $25;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elects a Cash Percentage of less than 100% as set forth herein but greater than 0%, (i) cash in an amount equal to the product of (x) the difference between the Daily Conversion Value for such Trading Day and $25 and (y) the Cash Percentage, and (ii) a number of shares of Common Stock equal to the product of (x)(A) the difference between the Daily Conversion Value for such Trading Day and $25, divided by (B) the Daily VWAP for such Trading Day and (y) 100% minus the Cash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for each of the 40 consecutive Trading Days during the relevant Observation Period, shall consist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in an amount equal to the lesser of (i) $25 and (ii) the Daily Conversion Value for such Trading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Daily Conversion Value for such Trading Day exceeds $25, the Daily Net Settlement Amount for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each of the 40 consecutive Trading Days during the relevant Observation Period, the per share volume-weighted average price as displayed under the heading “Bloomberg VWAP” on Bloomberg page “CNP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Note (including, without limitation, the Fundamental Change Repurchase Price, principal and interest) that are payable but are not punctually paid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shall have the meaning specified in Section 14.12(a).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have the meaning specified in Section 14.03(c), except that, as used in Section 14.04 and Section 14.05,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the purpose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Means</w:t>
      </w:r>
      <w:r>
        <w:rPr>
          <w:rFonts w:ascii="Times New Roman;Times;Serif" w:hAnsi="Times New Roman;Times;Serif"/>
          <w:b w:val="false"/>
          <w:i w:val="false"/>
          <w:caps w:val="false"/>
          <w:smallCaps w:val="false"/>
          <w:sz w:val="20"/>
        </w:rPr>
        <w:t>” means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have the meaning specified in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the purpose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shall have the meaning specified in Section 14.12(a).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means a Fundamental Change occurring pursuant to clause (b)(A) or (b)(B) (or pursuant to clause (a) that also constitutes a Fundamental Change occurring pursuant to clause (b)(A) or (b)(B)) of the definition thereof,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left"/>
              <w:rPr/>
            </w:pPr>
            <w:r>
              <w:rPr/>
              <w:t>such Fundamental Change constitutes a Share Exchange Event for which the Reference Property consists entirely of cash in U.S. dollars;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left"/>
              <w:rPr/>
            </w:pPr>
            <w:r>
              <w:rPr/>
              <w:t>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Fundamental Change Repurchase Price includes the maximum amount of accrued and unpaid interest payable as part of the Fundamental Change Repurchase Price);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1"/>
        <w:gridCol w:w="9874"/>
      </w:tblGrid>
      <w:tr>
        <w:trPr/>
        <w:tc>
          <w:tcPr>
            <w:tcW w:w="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283"/>
              <w:jc w:val="left"/>
              <w:rPr/>
            </w:pPr>
            <w:r>
              <w:rPr/>
              <w:t>the Company timely sends a notice of such Fundamental Change pursuant to Section 14.01(b)(iii).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shall have the meaning specified in Section 14.04(e).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means the “Form of Assignment and Transfer” attached as Attachment 3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means the “Form of Fundamental Change Repurchase Notice” attached as Attachment 2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Note</w:t>
      </w:r>
      <w:r>
        <w:rPr>
          <w:rFonts w:ascii="Times New Roman;Times;Serif" w:hAnsi="Times New Roman;Times;Serif"/>
          <w:b w:val="false"/>
          <w:i w:val="false"/>
          <w:caps w:val="false"/>
          <w:smallCaps w:val="false"/>
          <w:sz w:val="20"/>
        </w:rPr>
        <w:t>” means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means the “Form of Notice of Conversion” attached as Attachment 1 to the Form of Note attached hereto as 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Notes are originally issued if any of the following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the Company, its Wholly Owned Subsidiaries and the employee benefit plans of the Company and its Wholly Owned Subsidiaries, files a Schedule TO (or any successor schedule, form or report) or any schedule, form or report under the Exchange Act disclosing that such person or group has become the direct or indirect “beneficial owner,” as defined in Rule 13d-3 under the Exchange Act, of the shares of Common Stock representing more than 50% of the voting power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 Owned Subsidiaries;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shareholders of the Company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(or other common stock underlying the Notes) ceases to be listed or quoted on any of the New York Stock Exchange, the Nasdaq Global Select Market or the Nasdaq Global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transaction or transactions described in clause (a) or clause (b) above shall not constitute a Fundamental Change, if at least 90% of the consideration received or to be received by holders of the Common Stock, excluding cash payments for fractional shares and cash payments made in respect of dissenters’ statutory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such consideration, excluding cash payments for fractional shares and cash payments made in respect of dissenters’ statutory appraisal rights becomes the Reference Property (subject to the provisions of Section 14.02(a)).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immediately following clause (d) of this definition, following the effective date of such transaction) references to the Company in this definition shall instead be references to such other entity. For purposes of this definition of “Fundamental Change,” any transaction or event described in both clause (a) and in clause (b) above (without regard to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clause (b)) shall be deemed to occur solely pursuant to clause (b) above (subject to such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shall have the meaning specified in Section 15.02(c).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shall have the meaning specified in Section 15.02(b)(i).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i w:val="false"/>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sent</w:t>
      </w:r>
      <w:r>
        <w:rPr>
          <w:rFonts w:ascii="Times New Roman;Times;Serif" w:hAnsi="Times New Roman;Times;Serif"/>
          <w:b w:val="false"/>
          <w:i w:val="false"/>
          <w:caps w:val="false"/>
          <w:smallCaps w:val="false"/>
          <w:sz w:val="20"/>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shall have the meaning specified in Section 2.05(b).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Note, or other similar terms (but excluding the term “beneficial holder”), means any Person in whose name at the time a particular Note is registered on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Houston Electric</w:t>
      </w:r>
      <w:r>
        <w:rPr>
          <w:rFonts w:ascii="Times New Roman;Times;Serif" w:hAnsi="Times New Roman;Times;Serif"/>
          <w:b w:val="false"/>
          <w:i w:val="false"/>
          <w:caps w:val="false"/>
          <w:smallCaps w:val="false"/>
          <w:sz w:val="20"/>
        </w:rPr>
        <w:t xml:space="preserve">” means CenterPoint Energy Houston Electric, LLC, a Texas limited liability company, and any successor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at any given time, there shall not be more than one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Dividend Threshold</w:t>
      </w:r>
      <w:r>
        <w:rPr>
          <w:rFonts w:ascii="Times New Roman;Times;Serif" w:hAnsi="Times New Roman;Times;Serif"/>
          <w:b w:val="false"/>
          <w:i w:val="false"/>
          <w:caps w:val="false"/>
          <w:smallCaps w:val="false"/>
          <w:sz w:val="20"/>
        </w:rPr>
        <w:t>” shall have the meaning specified in ‎Section 14.04(d).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means J.P. Morgan Securities LLC, Barclays Capital Inc., Citigroup Global Markets Inc., Morgan Stanley &amp;Co. LLC and Wells Fargo Securities, LLC and the several other initial purchasers named in Schedule I 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Instructions</w:t>
      </w:r>
      <w:r>
        <w:rPr>
          <w:rFonts w:ascii="Times New Roman;Times;Serif" w:hAnsi="Times New Roman;Times;Serif"/>
          <w:b w:val="false"/>
          <w:i w:val="false"/>
          <w:caps w:val="false"/>
          <w:smallCaps w:val="false"/>
          <w:sz w:val="20"/>
        </w:rPr>
        <w:t>” shall have the meaning specified in Section 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May 15 and November 15 of each year, beginning on November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date of original issuance</w:t>
      </w:r>
      <w:r>
        <w:rPr>
          <w:rFonts w:ascii="Times New Roman;Times;Serif" w:hAnsi="Times New Roman;Times;Serif"/>
          <w:b w:val="false"/>
          <w:i w:val="false"/>
          <w:caps w:val="false"/>
          <w:smallCaps w:val="false"/>
          <w:sz w:val="20"/>
        </w:rPr>
        <w:t>” means (a) with respect to any Notes issued pursuant to the Purchase Agreement, and any Notes issued in exchange therefor or in substitution thereof, the date the Company first issues such Notes; and (b) with respect to any additional Notes issued pursuant to Section 2.10, and any Notes issued in exchange therefor or in substitution thereof, either (i) the date such Notes are originally issued; or (ii) such other date as is specified in an Officers’ Certificate delivered to the Trustee before the original issuance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If the Common Stock is not listed for trading on a U.S. national or regional securities exchange on the relevant date,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last quoted bid price per share for the Common Stock in the over-the-counter market on the relevant date as reported by OTC Markets Group Inc. or a similar organization. If the Common Stock is not so quoted,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average of the mid-point of the last bid and ask prices per share for the Common Stock on the relevant date from each of at least three nationally recognized independent investment banking firms selected by the Company for this purpose.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regular trading session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any transaction or event that constitutes a Fundamental Change (as defined above and determined after giving effect to any exceptions to or exclusions from such definition, but without regard to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clause (b)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May 15,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shall have the meaning specified in Section 14.01(b)(i).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specified in the first paragraph of the recitals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shall have the meaning specified in Section 14.02(b).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with respect to any Note surrendered for conversion means: (i) if the relevant Conversion Date occurs prior to February 15, 2029, the 40 consecutive Trading Day period beginning on, and including, the second Trading Day immediately succeeding such Conversion Date; and (ii) if the relevant Conversion Date occurs on or after February 15, 2029, the 40 consecutive Trading Days beginning on, and including, the 41st Scheduled Trading Day immediately preceding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means the preliminary offering memorandum dated February 23, 2026, as supplemented by the related pricing term sheet dated February 23, 2026, relating to the offering and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President, the Chief Executive Officer, the Chief Financial Officer, the General Counsel, the Treasurer, the Secretary, any Executive or Senior Vice President or any Vice President (whether or not designated by a number or numbers or word or words added before or after the 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when used with respect to the Company, means a certificate that is delivered to the Trustee and that is signed by (a) two Officers of the Company or (b) one Officer of the Company and one of any Assistant Treasurer, any Assistant Secretary or the Controller of the Company. Each such certificate shall include the statements provided for in Section 17.05 if and to the extent required by the provisions of such Section. One of the Officers giving an Officers’ Certificate pursuant to Section 4.08 shall be the principal executive, financial or accounting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Notes, shall, subject to the provisions of Section 8.04, mean, as of any particular time, all Notes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theretofore canceled by the Trustee or accepted by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Notes converted pursuant to Article 14 and required to be cancelled pursuant to Section 2.08;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Notes repurchased by the Company pursuant to the penultimate sentence of Section 2.10 and surrendered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Notes</w:t>
      </w:r>
      <w:r>
        <w:rPr>
          <w:rFonts w:ascii="Times New Roman;Times;Serif" w:hAnsi="Times New Roman;Times;Serif"/>
          <w:b w:val="false"/>
          <w:i w:val="false"/>
          <w:caps w:val="false"/>
          <w:smallCaps w:val="false"/>
          <w:sz w:val="20"/>
        </w:rPr>
        <w:t>” means permanent certificated Notes in registered form issued in denominations of $1,000 principal amount and integral multiples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Predecessor Note</w:t>
      </w:r>
      <w:r>
        <w:rPr>
          <w:rFonts w:ascii="Times New Roman;Times;Serif" w:hAnsi="Times New Roman;Times;Serif"/>
          <w:b w:val="false"/>
          <w:i w:val="false"/>
          <w:caps w:val="false"/>
          <w:smallCaps w:val="false"/>
          <w:sz w:val="20"/>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Purchase Agreement, dated February 23, 2026, among the Company and J.P. Morgan Securities LLC, Barclays Capital Inc., Citigroup Global Markets Inc., Morgan Stanley &amp; Co. LLC and Wells Fargo Securities, LLC, as representatives of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with respect to any Interest Payment Date, means the May 1 or November 1 (whether or not such day is a Business Day) immediately preceding the applicable May 15 or November 15 Interest Payment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Office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shall have the meaning specified in Section 14.02(a)(i).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Exchange Common Stock</w:t>
      </w:r>
      <w:r>
        <w:rPr>
          <w:rFonts w:ascii="Times New Roman;Times;Serif" w:hAnsi="Times New Roman;Times;Serif"/>
          <w:b w:val="false"/>
          <w:i w:val="false"/>
          <w:caps w:val="false"/>
          <w:smallCaps w:val="false"/>
          <w:sz w:val="20"/>
        </w:rPr>
        <w:t>” shall have the meaning specified in ‎Section 14.07(e)(i).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Exchange Event</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Exchange Valuation Percentage</w:t>
      </w:r>
      <w:r>
        <w:rPr>
          <w:rFonts w:ascii="Times New Roman;Times;Serif" w:hAnsi="Times New Roman;Times;Serif"/>
          <w:b w:val="false"/>
          <w:i w:val="false"/>
          <w:caps w:val="false"/>
          <w:smallCaps w:val="false"/>
          <w:sz w:val="20"/>
        </w:rPr>
        <w:t xml:space="preserve">” for any Share Exchange Event shall be equal to (x) the arithmetic average of the Last Reported Sale Prices of one share of the relevant Share Exchange Common Stock over the relevant Share Exchange Valuation Period (determined as if references to “Common Stock” in the definition of “Last Reported Sale Price” were references to the “Share Exchange Common Stock” for such Share Exchange Event),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(y) the arithmetic average of the Last Reported Sale Prices of one share of Common Stock over the relevant Share Exchange Valuation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Exchange Valuation Period</w:t>
      </w:r>
      <w:r>
        <w:rPr>
          <w:rFonts w:ascii="Times New Roman;Times;Serif" w:hAnsi="Times New Roman;Times;Serif"/>
          <w:b w:val="false"/>
          <w:i w:val="false"/>
          <w:caps w:val="false"/>
          <w:smallCaps w:val="false"/>
          <w:sz w:val="20"/>
        </w:rPr>
        <w:t>” for any Share Exchange Event, means the five consecutive Trading Day period immediately preceding, but excluding, the effective date for such Share Exchange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each of CERC Corp. and Houston Electric.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shall have the meaning specified in Section 14.03(c).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shall have the meaning specified in Section 11.01(a).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 day on which (i) trading in the Common Stock (or other security for which a closing sale price must be determined) generally occurs on the New York Stock Exchange or, if the Common Stock (or such other security) is not then listed on the New York Stock Exchange,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Common Stock (or such other security) is not so listed or traded,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 Business Day;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determining amounts due upon conversion of any Note only,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(x) there is no Market Disruption Event and (y)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Notes on any date of determination means the average of the secondary market bid quotations obtained by the Bid Solicitation Agent for $5,000,000 in aggregate principal amount of Notes at approximately 3:30 p.m., New York City time, on such determination date from three independent nationally recognized securities dealers the Company selects for this purpose;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$5,000,000 in aggregate principal amount of Notes from a nationally recognized securities dealer on any determination date, then the Trading Price on such determination date per $1,000 principal amount of Notes on such determination date shall be deemed to be less than 98% of the product of the Last Reported Sale Price of the Common Stock and the Conversion Rate on such determination date. Any determination of the Trading Price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 shall have the meaning specified in Section 14.01(b)(i).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it was in force at the date of execution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of this Indenture until a successor trustee shall have become such pursuant to the applicable provisions of this Indenture, and thereafter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mean or include each Person who is then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shall have the meaning specified in Section 14.07(a).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shall have the meaning specified in Section 14.04(c).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b w:val="false"/>
          <w:i/>
          <w:caps w:val="false"/>
          <w:smallCaps w:val="false"/>
          <w:sz w:val="20"/>
        </w:rPr>
        <w:t>. References to Interest.</w:t>
      </w:r>
      <w:r>
        <w:rPr>
          <w:rFonts w:ascii="Times New Roman;Times;Serif" w:hAnsi="Times New Roman;Times;Serif"/>
          <w:b w:val="false"/>
          <w:i w:val="false"/>
          <w:caps w:val="false"/>
          <w:smallCaps w:val="false"/>
          <w:sz w:val="20"/>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Issue, Description, Execution, Registration and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b w:val="false"/>
          <w:i/>
          <w:caps w:val="false"/>
          <w:smallCaps w:val="false"/>
          <w:sz w:val="20"/>
        </w:rPr>
        <w:t>. Designation and Amount.</w:t>
      </w:r>
      <w:r>
        <w:rPr>
          <w:rFonts w:ascii="Times New Roman;Times;Serif" w:hAnsi="Times New Roman;Times;Serif"/>
          <w:b w:val="false"/>
          <w:i w:val="false"/>
          <w:caps w:val="false"/>
          <w:smallCaps w:val="false"/>
          <w:sz w:val="20"/>
        </w:rPr>
        <w:t xml:space="preserve"> The Notes shall be designated as the “2.875% Convertible Senior Notes due 2029.” The aggregate principal amount of Notes that may be authenticated and delivered under this Indenture is initially limited to $650,000,000, subject to Section 2.10 and except for Notes authenticated and delivered upon registration or transfer of, or in exchange for, or in lieu of other Notes to the extent expressly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b w:val="false"/>
          <w:i/>
          <w:caps w:val="false"/>
          <w:smallCaps w:val="false"/>
          <w:sz w:val="20"/>
        </w:rPr>
        <w:t>. Form of Notes.</w:t>
      </w:r>
      <w:r>
        <w:rPr>
          <w:rFonts w:ascii="Times New Roman;Times;Serif" w:hAnsi="Times New Roman;Times;Serif"/>
          <w:b w:val="false"/>
          <w:i w:val="false"/>
          <w:caps w:val="false"/>
          <w:smallCaps w:val="false"/>
          <w:sz w:val="20"/>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r>
        <w:rPr>
          <w:rFonts w:ascii="Times New Roman;Times;Serif" w:hAnsi="Times New Roman;Times;Serif"/>
          <w:b w:val="false"/>
          <w:i/>
          <w:caps w:val="false"/>
          <w:smallCaps w:val="false"/>
          <w:sz w:val="20"/>
        </w:rPr>
        <w:t>. Date and Denomination of Notes; Payments of Interest and Defaulted Amounts.</w:t>
      </w:r>
      <w:r>
        <w:rPr>
          <w:rFonts w:ascii="Times New Roman;Times;Serif" w:hAnsi="Times New Roman;Times;Serif"/>
          <w:b w:val="false"/>
          <w:i w:val="false"/>
          <w:caps w:val="false"/>
          <w:smallCaps w:val="false"/>
          <w:sz w:val="20"/>
        </w:rPr>
        <w:t xml:space="preserve"> (a) 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Defaulted Amounts shall forthwith cease to be payable to the Holder on the relevant payment date but shall accrue interest per annum at the interest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b w:val="false"/>
          <w:i/>
          <w:caps w:val="false"/>
          <w:smallCaps w:val="false"/>
          <w:sz w:val="20"/>
        </w:rPr>
        <w:t>. Execution, Authentication and Delivery of Notes.</w:t>
      </w:r>
      <w:r>
        <w:rPr>
          <w:rFonts w:ascii="Times New Roman;Times;Serif" w:hAnsi="Times New Roman;Times;Serif"/>
          <w:b w:val="false"/>
          <w:i w:val="false"/>
          <w:caps w:val="false"/>
          <w:smallCaps w:val="false"/>
          <w:sz w:val="20"/>
        </w:rPr>
        <w:t xml:space="preserve"> The Notes shall be signed in the name and on behalf of the Company by the manual, facsimile or electronic signature of its Chief Executive Officer, President, Chief Financial Officer, Treasurer, Secretary or any of its Executive or Senior Vice 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subject to Section 17.05, the Trustee shall receive an Officers’ Certificate and an Opinion of Counsel of the Company with respect to the issuance, authentication and delivery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such Notes as shall bear thereon a certificate of authentication substantially in the form set forth on the Form of Note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executed manually or electronically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b w:val="false"/>
          <w:i/>
          <w:caps w:val="false"/>
          <w:smallCaps w:val="false"/>
          <w:sz w:val="20"/>
        </w:rPr>
        <w:t>. Exchange and Registration of Transfer of Notes; Restrictions on Transfer; Depositary.</w:t>
      </w:r>
      <w:r>
        <w:rPr>
          <w:rFonts w:ascii="Times New Roman;Times;Serif" w:hAnsi="Times New Roman;Times;Serif"/>
          <w:b w:val="false"/>
          <w:i w:val="false"/>
          <w:caps w:val="false"/>
          <w:smallCaps w:val="false"/>
          <w:sz w:val="20"/>
        </w:rPr>
        <w:t xml:space="preserve"> (a) The Company shall cause to be kept at the Corporate Trust Office a register (the register maintained in such office or in any other office or agency of the Company designated pursuant to Section 4.02, the “</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for the purpose of registering Notes and transfers of Notes as herein provided. The Company may appoint one or more co-Note Registrars in accordance with Section 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Company, the Trustee, the Note Registrar, any co-Note Registrar or the Paying Agent for any exchange or registration of transfer of Notes, but the Company or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or (ii) any Notes, or a portion of any Note, surrendered for repurchase (and not withdrawn) in accordance with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Notes are eligible for book-entry settlement with the Depositary, unless otherwise required by law, subject to the fourth paragraph from the end of Section 2.05(c) all Notes shall initially be represented by one or more Notes in global form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AGREES FOR THE BENEFIT OF CENTERPOINT ENERGY,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TO A PERSON REASONABLY BELIEVED TO BE A QUALIFIED INSTITUTIONAL BUYER IN COMPLIANCE WITH RULE 144A UNDER THE SECURITIES ACT THAT IS PURCHASING FOR ITS OWN ACCOUNT OR FOR THE ACCOUNT OF ANOTHER QUALIFIED INSTITUTIONAL BUYER AND TO WHOM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Note prior to the Resale Restriction Termination Date will be registered by the Note Registrar unless the applicable box on the Form of Assignment and Transfer has been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any of the conditions set forth in clauses (i) through (iii) of the immediately preceding sentence have been satisfied,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Note have been converted,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 or for any act or omission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AGREES FOR THE BENEFIT OF CENTERPOINT ENERGY,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             TO A PERSON REASONABLY BELIEVED TO BE A QUALIFIED INSTITUTIONAL BUYER IN COMPLIANCE WITH RULE 144A UNDER THE SECURITIES ACT THAT IS PURCHASING FOR ITS OWN ACCOUNT OR FOR THE ACCOUNT OF ANOTHER QUALIFIED INSTITUTIONAL BUYER AND TO WHOM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Note or Common Stock issued upon the conversion or exchange of a Note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The Company shall cause any Note that is repurchased or owned by it to be surrendered to the Trustee for cancellation in accordance with Section 2.08.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b w:val="false"/>
          <w:i/>
          <w:caps w:val="false"/>
          <w:smallCaps w:val="false"/>
          <w:sz w:val="20"/>
        </w:rPr>
        <w:t>. Mutilated, Destroyed, Lost or Stolen Notes.</w:t>
      </w:r>
      <w:r>
        <w:rPr>
          <w:rFonts w:ascii="Times New Roman;Times;Serif" w:hAnsi="Times New Roman;Times;Serif"/>
          <w:b w:val="false"/>
          <w:i w:val="false"/>
          <w:caps w:val="false"/>
          <w:smallCaps w:val="false"/>
          <w:sz w:val="20"/>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claim,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hold each of them harmless for any loss, liability, claim, cost or expense caused by or in connection with such substitution, and, in every case of destruction, loss or theft, evidence satisfactory to the Company, the Trustee and, if applicable, any Paying Agent or Conversion Agent,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or repurchase of mutilated, destroyed, lost or stolen Notes and shall preclude any and all other rights or remedies notwithstanding any law or statute existing or hereafter enacted to the contrary with respect to the replacement, payment, conversion or repurchase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b w:val="false"/>
          <w:i/>
          <w:caps w:val="false"/>
          <w:smallCaps w:val="false"/>
          <w:sz w:val="20"/>
        </w:rPr>
        <w:t>. Temporary Notes.</w:t>
      </w:r>
      <w:r>
        <w:rPr>
          <w:rFonts w:ascii="Times New Roman;Times;Serif" w:hAnsi="Times New Roman;Times;Serif"/>
          <w:b w:val="false"/>
          <w:i w:val="false"/>
          <w:caps w:val="false"/>
          <w:smallCaps w:val="false"/>
          <w:sz w:val="20"/>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b w:val="false"/>
          <w:i/>
          <w:caps w:val="false"/>
          <w:smallCaps w:val="false"/>
          <w:sz w:val="20"/>
        </w:rPr>
        <w:t>. Cancellation of Notes Paid, Converted, Etc.</w:t>
      </w:r>
      <w:r>
        <w:rPr>
          <w:rFonts w:ascii="Times New Roman;Times;Serif" w:hAnsi="Times New Roman;Times;Serif"/>
          <w:b w:val="false"/>
          <w:i w:val="false"/>
          <w:caps w:val="false"/>
          <w:smallCaps w:val="false"/>
          <w:sz w:val="20"/>
        </w:rPr>
        <w:t xml:space="preserve"> The Company shall cause all Notes surrendered for the purpose of payment, repurchase, registration of transfer or exchange or conversion (other than any Notes exchanged pursuant to Section 14.12), if surrendered to any Person other than the Trustee (including any of the Company’s agents, Subsidiaries or Affiliates), to be surrendered to the Trustee for cancellation. All Notes delivered to the Trustee shall be canceled promptly by it in accordance with its customary procedures upon the Company’s written request.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b w:val="false"/>
          <w:i/>
          <w:caps w:val="false"/>
          <w:smallCaps w:val="false"/>
          <w:sz w:val="20"/>
        </w:rPr>
        <w:t>. CUSIP Numbers.</w:t>
      </w:r>
      <w:r>
        <w:rPr>
          <w:rFonts w:ascii="Times New Roman;Times;Serif" w:hAnsi="Times New Roman;Times;Serif"/>
          <w:b w:val="false"/>
          <w:i w:val="false"/>
          <w:caps w:val="false"/>
          <w:smallCaps w:val="false"/>
          <w:sz w:val="20"/>
        </w:rPr>
        <w:t xml:space="preserve"> The Company in issuing the Notes may use CUSIP numbers (if then generally in use), and, if so, the Trustee shall use CUSIP numbers in all notices issued to Holders as a convenience to such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shall have no liability for any defect in the CUSIP numbers as they appear on any Note, notice or elsewhere,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b w:val="false"/>
          <w:i/>
          <w:caps w:val="false"/>
          <w:smallCaps w:val="false"/>
          <w:sz w:val="20"/>
        </w:rPr>
        <w:t>. Additional Notes; Repurchases.</w:t>
      </w:r>
      <w:r>
        <w:rPr>
          <w:rFonts w:ascii="Times New Roman;Times;Serif" w:hAnsi="Times New Roman;Times;Serif"/>
          <w:b w:val="false"/>
          <w:i w:val="false"/>
          <w:caps w:val="false"/>
          <w:smallCaps w:val="false"/>
          <w:sz w:val="20"/>
        </w:rPr>
        <w:t xml:space="preserve"> The Company may, without the consent of, or notice to, the Holders and notwithstanding Section 2.01, reopen this Indenture and issue additional Notes hereunder with the same terms and with the same CUSIP number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additional Notes are not fungible with the Notes initially issued hereunder for U.S. federal income tax or securities laws purposes, such additional Notes shall have a separate CUSIP number or no CUSIP number. The Notes and any additional Notes would rank equally and ratably and would be treated as a single series for all purposes under this Indenture (except to the extent set forth in the immediately preceding sentence).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prior written notice to or consent of the Holders.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 and upon receipt of a written order from the Company, the Trustee will cancel all the Notes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b w:val="false"/>
          <w:i/>
          <w:caps w:val="false"/>
          <w:smallCaps w:val="false"/>
          <w:sz w:val="20"/>
        </w:rPr>
        <w:t>. Satisfaction and Discharge.</w:t>
      </w:r>
      <w:r>
        <w:rPr>
          <w:rFonts w:ascii="Times New Roman;Times;Serif" w:hAnsi="Times New Roman;Times;Serif"/>
          <w:b w:val="false"/>
          <w:i w:val="false"/>
          <w:caps w:val="false"/>
          <w:smallCaps w:val="false"/>
          <w:sz w:val="20"/>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on any Fundamental Change Repurchase Date, upon conversion or otherwise, cash or, solely to satisfy the Company’s Conversion Obligation, cash and/or shares of Common Stock,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or the earlier resignation or removal of the Trustee and the Notes, the obligations of the Company to the Trustee under Section 7.06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Particular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b w:val="false"/>
          <w:i/>
          <w:caps w:val="false"/>
          <w:smallCaps w:val="false"/>
          <w:sz w:val="20"/>
        </w:rPr>
        <w:t>. Payment of Principal and Interest.</w:t>
      </w:r>
      <w:r>
        <w:rPr>
          <w:rFonts w:ascii="Times New Roman;Times;Serif" w:hAnsi="Times New Roman;Times;Serif"/>
          <w:b w:val="false"/>
          <w:i w:val="false"/>
          <w:caps w:val="false"/>
          <w:smallCaps w:val="false"/>
          <w:sz w:val="20"/>
        </w:rPr>
        <w:t xml:space="preserve"> The Company covenants and agrees that it will cause to be paid the principal (including the Fundamental Change Repurchase Price, if applicable) of, and accrued and unpaid interest on, each of the Notes at the places, at the respective times and in the manner provided herein and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b w:val="false"/>
          <w:i/>
          <w:caps w:val="false"/>
          <w:smallCaps w:val="false"/>
          <w:sz w:val="20"/>
        </w:rPr>
        <w:t>. Maintenance of Office or Agency.</w:t>
      </w:r>
      <w:r>
        <w:rPr>
          <w:rFonts w:ascii="Times New Roman;Times;Serif" w:hAnsi="Times New Roman;Times;Serif"/>
          <w:b w:val="false"/>
          <w:i w:val="false"/>
          <w:caps w:val="false"/>
          <w:smallCaps w:val="false"/>
          <w:sz w:val="20"/>
        </w:rPr>
        <w:t xml:space="preserve"> The Company will maintain in the contiguous United States of America an office or agency where the Notes may be surrendered for registration of transfer or for exchange or for presentation for payment or repurchase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or for conversion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contiguous United States of America. The Corporate Trust Office shall not be a place for service of legal process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designation or rescission shall in any manner relieve the Company of its obligation to maintain an office or agency in the contiguous United States of America for such purposes. The Company will give prompt written notice to the Trustee of any such designation or rescission and of any change in the location of any such other office or agency. The terms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include any such additional or other offices or agencies,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initially designates the Trustee as the Paying Agent, Note Registrar, Custodian and Conversion Agent and the Corporate Trust Office as the office or agency in the contiguous United States of America where Physical Notes may be surrendered for registration of transfer or exchange or for presentation for payment or repurchase or for conversion and where notices and demands to or upon the Company in respect of the Notes and this Indenture may be served. However, the Company may change the Note Registrar, Paying Agent and Conversion Agent, and the Company or any of its Subsidiaries may choose to act as the Note Registrar and/or Paying Agent, without prior notice to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office or agency, as applicable, of any such Note Registrar, Paying Agent and Conversion Agent must be in the contiguous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b w:val="false"/>
          <w:i/>
          <w:caps w:val="false"/>
          <w:smallCaps w:val="false"/>
          <w:sz w:val="20"/>
        </w:rPr>
        <w:t>. Appointments to Fill Vacancies in Trustee’s Office.</w:t>
      </w:r>
      <w:r>
        <w:rPr>
          <w:rFonts w:ascii="Times New Roman;Times;Serif" w:hAnsi="Times New Roman;Times;Serif"/>
          <w:b w:val="false"/>
          <w:i w:val="false"/>
          <w:caps w:val="false"/>
          <w:smallCaps w:val="false"/>
          <w:sz w:val="20"/>
        </w:rPr>
        <w:t xml:space="preserve"> The Company, whenever necessary to avoid or fill a vacancy in the office of the Trustee, will appoint, in the manner provided in Section 7.09,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b w:val="false"/>
          <w:i/>
          <w:caps w:val="false"/>
          <w:smallCaps w:val="false"/>
          <w:sz w:val="20"/>
        </w:rPr>
        <w:t>. Provisions as to Paying Agent.</w:t>
      </w:r>
      <w:r>
        <w:rPr>
          <w:rFonts w:ascii="Times New Roman;Times;Serif" w:hAnsi="Times New Roman;Times;Serif"/>
          <w:b w:val="false"/>
          <w:i w:val="false"/>
          <w:caps w:val="false"/>
          <w:smallCaps w:val="false"/>
          <w:sz w:val="20"/>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(including the Fundamental Change Repurchase Price, if applicable) of, and accrued and unpaid interest on, the Notes in trust for the benefit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written notice of any failure by the Company to make any payment of the principal (including the Fundamental Change Repurchase Price, if applicable) of, and accrued and unpaid interest on, the Notes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on or before each due date of the principal (including the Fundamental Change Repurchase Price, if applicable) of, or accrued and unpaid interest on, the Notes, deposit with the Paying Agent a sum sufficient to pay such principal (including the Fundamental Change Repurchase Price, if applicable) or accrued and unpaid interest, and (unless such Paying Agent is the Trustee) the Company will promptly notify the Trustee in writing of any failure to take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deposit is made on the due date, such deposit must be received by the Paying Agent by 11:00 a.m.,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(including the Fundamental Change Repurchase Price, if applicable) of, and accrued and unpaid interest on, the Notes, set aside, segregate and hold in trust for the benefit of the Holders a sum sufficient to pay such principal (including the Fundamental Change Repurchase Price, if applicable) and accrued and unpaid interest so becoming due and will promptly notify the Trustee in writing of any failure to take such action and of any failure by the Company to make any payment of the principal (including the Fundamental Change Repurchase Price, if applicable) of, or accrued and unpaid interest on, the Notes when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applicable escheatment laws, any money and shares of Common Stock deposited with the Trustee or any Paying Agent, or then held by the Company, in trust for the payment of the principal (including the Fundamental Change Repurchase Price, if applicable) of, accrued and unpaid interest on and the consideration due upon conversion of any Note and remaining unclaimed for two years after such principal (including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and shares of Common Stock remain unclaimed and that, after a date specified therein, which shall not be less than 30 days from the date of such publication, any unclaimed balance of such money and shares of Common Stock then remaining will be repaid or delivered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any Event of Default pursuant to Section 6.01(h) or Section 6.01(h), the Trustee shall automatically be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b w:val="false"/>
          <w:i/>
          <w:caps w:val="false"/>
          <w:smallCaps w:val="false"/>
          <w:sz w:val="20"/>
        </w:rPr>
        <w:t>. Existence.</w:t>
      </w:r>
      <w:r>
        <w:rPr>
          <w:rFonts w:ascii="Times New Roman;Times;Serif" w:hAnsi="Times New Roman;Times;Serif"/>
          <w:b w:val="false"/>
          <w:i w:val="false"/>
          <w:caps w:val="false"/>
          <w:smallCaps w:val="false"/>
          <w:sz w:val="20"/>
        </w:rPr>
        <w:t xml:space="preserve"> Subject to Article 11, the Company shall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b w:val="false"/>
          <w:i/>
          <w:caps w:val="false"/>
          <w:smallCaps w:val="false"/>
          <w:sz w:val="20"/>
        </w:rPr>
        <w:t>. Rule 144A Information Requirement and Annual Reports.</w:t>
      </w:r>
      <w:r>
        <w:rPr>
          <w:rFonts w:ascii="Times New Roman;Times;Serif" w:hAnsi="Times New Roman;Times;Serif"/>
          <w:b w:val="false"/>
          <w:i w:val="false"/>
          <w:caps w:val="false"/>
          <w:smallCaps w:val="false"/>
          <w:sz w:val="20"/>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or with respect to which, the Company is actively requesting (assuming such request has not been denied) confidential treatment and any correspondence with the Commission) (giving effect to any grace period provided by Rule 12b-25 or any successor rule under the Exchange Act). Any such report that the Company files with the Commission via the Commission’s EDGAR system (or any successor thereto) shall be deemed to be filed with the Trustee for purposes of this Section 4.06(b) at the time such report is filed via the EDGAR system (or any successor thereto) it being understood that the Trustee shall not be responsible for determining whether such filings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the reports to the Trustee pursuant to Section 4.06(b) is for informational purposes only and the information and the Trustee’s receipt of the foregoing shall not constitute constructive notice of any information contained therein, or determinable from information contained therein, including the Company’s compliance with any of the Company’s covenants hereunder (as to which the Trustee is entitled to rely exclusively on an Officers’ Certificate). The Trustee shall have no duty to monitor or confirm, on a continuing basis or otherwise, the Company’s or any other Person’s compliance with any of the covenants hereunder to determine whether any such reports are available on the Commission’s website, the Company’s website or otherwise, to examine such reports to ensure compliance with the provisions herein, to ascertain the correctness or otherwise of the information or the statements contained therein or to participate in any conference calls. Notwithstanding anything to the contrary herein, the Trustee shall have no duty to search for or obtain any electronic or other filings that the Company makes with the Commission, regardless of whether such filings are periodic, supplemental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during the six-month period beginning on, and including, the date that is six months after the last date of original issuance of the Notes (which last date of original issuance will be deemed, if the Initial Purchasers exercise their option to purchase additional Notes, to be the last date of settlement of such exercise), the Company fails to timely file any document or report that it is required to file with the Commission pursuant to Section 13 or 15(d) of the Exchange Act, as applicable (after giving effect to all applicable grace periods thereunder and other than current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(i) for the first 90 days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0.25% per annum of the principal amount of the Notes outstanding and (ii) for each day thereafter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0.50% per annum of the principal amount of the Notes outstanding.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legend on Notes in compliance with Section 2.05(c), in either case, during the six-month period described in this Section 4.06(d).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and for so long as, the restrictive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380th day after the last date of original issuance of the Notes, the Company shall pay Additional Interest on the Notes (i) for the first 90 days during such period for which the restrictive legend on the Notes has not been removed in accordance with Section 2.05(c), the Notes are not assigned an unrestricted CUSIP number and the Notes are not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0.25% per annum of the principal amount of the Notes outstanding, and (ii) for each day thereafter during such period for which the restrictive legend on the Notes has not been removed in accordance with Section 2.05(c), the Notes are not assigned an unrestricted CUSIP number or the Notes are not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0.50% per annum of the principal amount of the Notes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Additional Interest shall accrue or be owed pursuant to this ‎Section 4.06(e) until the fifth Business Day following written notification to the Company by the Trustee or any Holder or beneficial owner of the Notes requesting that the Company comply with its obligations under this ‎Section 4.06(e) (which notification may be given at any time after the 330th day after the last date of original issuance of the Notes), it being understood and agreed that in no event shall Additional Interest accrue or be owed pursuant to this ‎Section 4.06(e) for any period prior to the 380th day after the last date of original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Additional Interest will be payable in arrears on each Interest Payment Date following accrual in the same manner as regular interest on the Notes;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 failure to timely file any document or report giving rise to the Company’s obligation to pay Additional Interest pursuant to Section 4.06(d) initially occurs on or after the close of business on a Regular Record Date and prior to the open of business on the corresponding Interest Payment Date, the Additional Interest that accrues during such period shall be due on the Interest Payment Date next succeeding such corresponding Interest Payment Date, and no interest shall accrue in respect of such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Additional Interest that is payable in accordance with Section 4.06(d) or Section 4.06(e) shall be in addition to, and not in lieu of, any Additional Interest that may be payable as a result of the Company’s election pursuant to Section 6.03;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Additional Interest that may accrue pursuant to Section 4.06(d)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together with any Additional Interest payable at the Company’s election pursuant to Section 6.03 as a remedy for an Event of Default relating to the Company’s failure to comply with its reporting obligations described in Section 4.06(b), accrue at a rate in excess of 0.50% per annum pursuant to this Indenture, regardless of the number of events or circumstances giving rise to the requirement to pay such Additional Interest. The accrual of Additional Interest will be the exclusive remedy available to Holders for a failure of their Notes to become freely tradable pursuant to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b w:val="false"/>
          <w:i/>
          <w:caps w:val="false"/>
          <w:smallCaps w:val="false"/>
          <w:sz w:val="20"/>
        </w:rPr>
        <w:t>. Stay, Extension and Usury Laws.</w:t>
      </w:r>
      <w:r>
        <w:rPr>
          <w:rFonts w:ascii="Times New Roman;Times;Serif" w:hAnsi="Times New Roman;Times;Serif"/>
          <w:b w:val="false"/>
          <w:i w:val="false"/>
          <w:caps w:val="false"/>
          <w:smallCaps w:val="false"/>
          <w:sz w:val="20"/>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b w:val="false"/>
          <w:i/>
          <w:caps w:val="false"/>
          <w:smallCaps w:val="false"/>
          <w:sz w:val="20"/>
        </w:rPr>
        <w:t>. Compliance Certificate; Statements as to Defaults.</w:t>
      </w:r>
      <w:r>
        <w:rPr>
          <w:rFonts w:ascii="Times New Roman;Times;Serif" w:hAnsi="Times New Roman;Times;Serif"/>
          <w:b w:val="false"/>
          <w:i w:val="false"/>
          <w:caps w:val="false"/>
          <w:smallCaps w:val="false"/>
          <w:sz w:val="20"/>
        </w:rPr>
        <w:t xml:space="preserve"> The Company shall deliver to the Trustee within 120 days after the end of each fiscal year of the Company (beginning with the fiscal year ending on December 31, 2026) an Officers’ Certificate stating whether the signers thereof have knowledge of any Default or Event of Default that occurred during the previous fiscal year and, if so, specifying each such Default or Event of Default, as the case may be, and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shall deliver to the Trustee, as soon as possible, and in any event within 30 days after the occurrence of any Event of Default or Default, an Officers’ Certificate setting forth the details of such Event of Default or Default, its status and the action that the Company is taking or proposing to take in respect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not be required to deliver such Officers’ Certificate if such Event of Default or Default has been cured (or deemed cured) or waived prior to the date that such notice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b w:val="false"/>
          <w:i/>
          <w:caps w:val="false"/>
          <w:smallCaps w:val="false"/>
          <w:sz w:val="20"/>
        </w:rPr>
        <w:t>. Further Instruments and Acts.</w:t>
      </w:r>
      <w:r>
        <w:rPr>
          <w:rFonts w:ascii="Times New Roman;Times;Serif" w:hAnsi="Times New Roman;Times;Serif"/>
          <w:b w:val="false"/>
          <w:i w:val="false"/>
          <w:caps w:val="false"/>
          <w:smallCaps w:val="false"/>
          <w:sz w:val="20"/>
        </w:rPr>
        <w:t xml:space="preserve"> 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Lists of Holders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b w:val="false"/>
          <w:i/>
          <w:caps w:val="false"/>
          <w:smallCaps w:val="false"/>
          <w:sz w:val="20"/>
        </w:rPr>
        <w:t>. Lists of Holders.</w:t>
      </w:r>
      <w:r>
        <w:rPr>
          <w:rFonts w:ascii="Times New Roman;Times;Serif" w:hAnsi="Times New Roman;Times;Serif"/>
          <w:b w:val="false"/>
          <w:i w:val="false"/>
          <w:caps w:val="false"/>
          <w:smallCaps w:val="false"/>
          <w:sz w:val="20"/>
        </w:rPr>
        <w:t xml:space="preserve"> The Company covenants and agrees that it will furnish or cause to be furnished to the Trustee, semiannually, not more than 15 days after each May 1 and November 1 in each year beginning with November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b w:val="false"/>
          <w:i/>
          <w:caps w:val="false"/>
          <w:smallCaps w:val="false"/>
          <w:sz w:val="20"/>
        </w:rPr>
        <w:t>. Preservation and Disclosure of Lists.</w:t>
      </w:r>
      <w:r>
        <w:rPr>
          <w:rFonts w:ascii="Times New Roman;Times;Serif" w:hAnsi="Times New Roman;Times;Serif"/>
          <w:b w:val="false"/>
          <w:i w:val="false"/>
          <w:caps w:val="false"/>
          <w:smallCaps w:val="false"/>
          <w:sz w:val="20"/>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b w:val="false"/>
          <w:i/>
          <w:caps w:val="false"/>
          <w:smallCaps w:val="false"/>
          <w:sz w:val="20"/>
        </w:rPr>
        <w:t>. Events of Default.</w:t>
      </w:r>
      <w:r>
        <w:rPr>
          <w:rFonts w:ascii="Times New Roman;Times;Serif" w:hAnsi="Times New Roman;Times;Serif"/>
          <w:b w:val="false"/>
          <w:i w:val="false"/>
          <w:caps w:val="false"/>
          <w:smallCaps w:val="false"/>
          <w:sz w:val="20"/>
        </w:rPr>
        <w:t xml:space="preserve"> Each of the following events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on any Note when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Note when due and payable on the Maturity Date, upon any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its obligation to convert the Notes in accordance with this Indenture upon exercise of a Holder’s conversion right and such failure continues for a period of three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by the Company to (i) issue a Fundamental Change Company Notice in accordance with Section 15.02(c) or a notice of a Make-Whole Fundamental Change in accordance with Section 14.03(b), in each case, when due and such failure continues for three Business Days or (ii) give notice of a specified corporate event in accordance with Section 14.01(b)(ii) or 14.01(b)(iii) when due and such failure continues for three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failure by the Company to comply with its obligations under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failure by the Company for 90 days after written notice from the Trustee or the Holders of at least 33% in aggregate principal amount of the Notes then outstanding has been received by the Company to comply in any material respect with any of its other agreements contained in the Notes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default by the Company with respect to any mortgage, agreement or other instrument under which there may be outstanding, or by which there may be secured or evidenced, any indebtedness for money borrowed (other than non-recourse indebtedness) in excess of $125,000,000 (or its foreign currency equivalent) in the aggregate, whether such indebtedness now exists or shall hereafter be created (i) resulting in such indebtedness becoming or being declared due and payable or (ii) constituting a failure to pay the principal or interest of any such indebtedness when due and payable (after the expiration of all applicable grace periods) at its stated maturity, upon required repurchase, upon declaration of acceleration or otherwise, and in the cases of clauses (i) and (ii), such acceleration has not been rescinded or annulled or where such default is not cured or waived within 30 days after notice to the Company by the Trustee or to the Company and the Trustee by Holders of at least 33% of the aggregate principal amount of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Acceleration; Rescission and Annulment</w:t>
      </w:r>
      <w:r>
        <w:rPr>
          <w:rFonts w:ascii="Times New Roman;Times;Serif" w:hAnsi="Times New Roman;Times;Serif"/>
          <w:b w:val="false"/>
          <w:i w:val="false"/>
          <w:caps w:val="false"/>
          <w:smallCaps w:val="false"/>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6.01(h) with respect to the Company (and not involving solely one or both Significant Subsidiaries)), unless the principal of all of the Notes shall have already become due and payable, either the Trustee or the Holders of at least 33% in aggregate principal amount of the Notes then outstanding determined in accordance with Section 8.04, by notice in writing to the Company (and to the Trustee if given by Holders), may (and the Trustee, at the written request of such Holders, shall) declare 100% of the principal of, and accrued and unpaid interest, if any,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6.01(h) with respect to the Company (and not involving solely one or more of its Significant Subsidiaries) occurs and is continuing, 100% of the principal of, and accrued and unpaid interest, if any, on, all Notes shall become and shall automatically be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interest upon all Notes and the principal of any and all Notes that shall have become due otherwise than by acceleration (with interest on overdue installments of accrued and unpaid interest to the extent that payment of such interest is enforceable under applicable law, and on such principal at the rate borne by the Notes at such time)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Fundamental Change Repurchase Price, if applicable) of, or accrued and unpaid interest on, any Notes, (ii) a failure to repurchase any Notes when required or (iii) a failure to pay or deliver, as the case may be, the consideration due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Additional Interest</w:t>
      </w:r>
      <w:r>
        <w:rPr>
          <w:rFonts w:ascii="Times New Roman;Times;Serif" w:hAnsi="Times New Roman;Times;Serif"/>
          <w:b w:val="false"/>
          <w:i w:val="false"/>
          <w:caps w:val="false"/>
          <w:smallCaps w:val="false"/>
          <w:sz w:val="20"/>
        </w:rPr>
        <w:t>. Notwithstanding anything in this Indenture or in the Notes to the contrary, to the extent the Company elects, the sole remedy for an Event of Default relating to the Company’s failure to comply with its obligations as set forth in Section 4.06(b) (such Event of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shall (i) for the first 180 days after the occurrence of such Reporting Event of Default consist exclusively of the right to receive Additional Interest on the Notes at a rate equal to 0.25% per annum of the principal amount of the Notes outstanding for each day during such 180-day period on which such Reporting Event of Default is continuing and (ii) for the period from, and including, the 181st day after the occurrence of such Reporting Event of Default to, and including, the 360th day after the occurrence of such Reporting Event of Default, consist exclusively of the right to receive Additional Interest on the Notes at a rate equal to 0.50% per annum of the principal amount of the Notes outstanding for each day during such additional 180-day period on which such Reporting Event of Default is continuing. Additional Interest payable pursuant to this Section 6.03 shall be in addition to, not in lieu of, any Additional Interest payable pursuant to Section 4.06(d) or Section 4.06(e) (subject to the last paragraph of this Section 6.03). If the Company so elects, such Additional Interest shall be payable in the same manner and on the same dates as the stated interest payable on the Notes. On the 361st day after such Reporting Event of Default (if the Reporting Event of Default is not cured or waived prior to such 361st day), the Notes shall be immediately subject to acceleration as provided in Section 6.02. The provisions of this Section 6.03 will not affect the rights of Holders in the event of the occurrence of any Event of Default other than a Reporting Event of Default. In the event the Company does not elect to pay Additional Interest following a Reporting Event of Default in accordance with this Section 6.03 or the Company elected to make such payment but does not pay the Additional Interest when due, the Notes shall be immediately subject to acceleration as provided in Section 6.02. For the avoidance of doubt, a Reporting Event of Default shall be deemed cured at such time as the Company files with the Trustee the applicable report(s) that gave rise to such Reporting Event of Default (it being understood that any report that the Company files with the Commission via EDGAR (or any successor thereto) shall be deemed to be filed with the Trustee as of the time such report is so filed via EDGAR (or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Additional Interest as the sole remedy during the first 360 days after the occurrence of any Reporting Event of Default, the Company must notify all Holders, the Trustee and the Paying Agent of such election prior to the beginning of such 360-day period. Upon the failure to timely give such notice to Holders, the Notes shall be immediately subject to acceleration as provided in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Additional Interest payable at the Company’s election as a remedy for a Reporting Event of Default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pursuant to Section 4.06(d), accrue at a rate in excess of 0.50% per annum pursuant to this Indenture, regardless of the number of events or circumstances giving rise to the requirement to pay such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r>
        <w:rPr>
          <w:rFonts w:ascii="Times New Roman;Times;Serif" w:hAnsi="Times New Roman;Times;Serif"/>
          <w:b w:val="false"/>
          <w:i/>
          <w:caps w:val="false"/>
          <w:smallCaps w:val="false"/>
          <w:sz w:val="20"/>
        </w:rPr>
        <w:t>. Payments of Notes on Default; Suit Therefor.</w:t>
      </w:r>
      <w:r>
        <w:rPr>
          <w:rFonts w:ascii="Times New Roman;Times;Serif" w:hAnsi="Times New Roman;Times;Serif"/>
          <w:b w:val="false"/>
          <w:i w:val="false"/>
          <w:caps w:val="false"/>
          <w:smallCaps w:val="false"/>
          <w:sz w:val="20"/>
        </w:rPr>
        <w:t xml:space="preserve"> If an Event of Default described in clause (a) or (b) of Section 6.01 shall have occurred and be continuing, the Company shall, upon demand of the Trustee, pay to the Trustee, for the benefit of the Holders,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and it shall not be necessary to make any Holders parties to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r>
        <w:rPr>
          <w:rFonts w:ascii="Times New Roman;Times;Serif" w:hAnsi="Times New Roman;Times;Serif"/>
          <w:b w:val="false"/>
          <w:i/>
          <w:caps w:val="false"/>
          <w:smallCaps w:val="false"/>
          <w:sz w:val="20"/>
        </w:rPr>
        <w:t>. Application of Monies Collected by Trustee.</w:t>
      </w:r>
      <w:r>
        <w:rPr>
          <w:rFonts w:ascii="Times New Roman;Times;Serif" w:hAnsi="Times New Roman;Times;Serif"/>
          <w:b w:val="false"/>
          <w:i w:val="false"/>
          <w:caps w:val="false"/>
          <w:smallCaps w:val="false"/>
          <w:sz w:val="20"/>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payment of all amounts due the Trustee (in all of its capacities)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on, and any cash due upon conversion of, the Notes in default in the order of the date due of the payments of such interest and cash due upon conversion, as the case may be, with interest (to the extent that such interest has been collected by the Trustee) upon such overdue payments at the rate of interest borne by the Notes at such time, such payments to be made ratably to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in case the principal of the outstanding Notes shall have become due, by declaration or otherwise, and be unpaid to the payment of the whole amount (including, if applicable, the payment of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of interest borne by the Notes at such time, and in case such monies shall be insufficient to pay in full the whole amounts so due and unpaid upon the Notes, then to the payment of such principal (including, if applicable,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Fundamental Change Repurchase Price and any cash due upon conversion) and accrued and unpaid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r>
        <w:rPr>
          <w:rFonts w:ascii="Times New Roman;Times;Serif" w:hAnsi="Times New Roman;Times;Serif"/>
          <w:b w:val="false"/>
          <w:i/>
          <w:caps w:val="false"/>
          <w:smallCaps w:val="false"/>
          <w:sz w:val="20"/>
        </w:rPr>
        <w:t>. Proceedings by Holders.</w:t>
      </w:r>
      <w:r>
        <w:rPr>
          <w:rFonts w:ascii="Times New Roman;Times;Serif" w:hAnsi="Times New Roman;Times;Serif"/>
          <w:b w:val="false"/>
          <w:i w:val="false"/>
          <w:caps w:val="false"/>
          <w:smallCaps w:val="false"/>
          <w:sz w:val="20"/>
        </w:rPr>
        <w:t xml:space="preserve"> Except to enforce the right to receive payment of principal (including, if applicable,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shall have given to the Trustee written notice of an Event of Default and of the continuance thereof,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33% in aggregate principal amount of the Notes then outstanding shall have made written request upon the Trustee to institute such action, suit or proceeding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Holders shall have offered, and if requested, provided to the Trustee, such security and/or indemnity reasonably satisfactory to it against any loss, liability, claim or expense to the Trustee that may result from the Trustee’s following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such security and/or indemnity, shall have neglected or refused to institute any such action, suit or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and any provision of any Note, each Holder shall have the right to receive payment or delivery, as the case may be, of (x) the principal (including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r>
        <w:rPr>
          <w:rFonts w:ascii="Times New Roman;Times;Serif" w:hAnsi="Times New Roman;Times;Serif"/>
          <w:b w:val="false"/>
          <w:i/>
          <w:caps w:val="false"/>
          <w:smallCaps w:val="false"/>
          <w:sz w:val="20"/>
        </w:rPr>
        <w:t>. Proceedings by Trustee.</w:t>
      </w:r>
      <w:r>
        <w:rPr>
          <w:rFonts w:ascii="Times New Roman;Times;Serif" w:hAnsi="Times New Roman;Times;Serif"/>
          <w:b w:val="false"/>
          <w:i w:val="false"/>
          <w:caps w:val="false"/>
          <w:smallCaps w:val="false"/>
          <w:sz w:val="20"/>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r>
        <w:rPr>
          <w:rFonts w:ascii="Times New Roman;Times;Serif" w:hAnsi="Times New Roman;Times;Serif"/>
          <w:b w:val="false"/>
          <w:i/>
          <w:caps w:val="false"/>
          <w:smallCaps w:val="false"/>
          <w:sz w:val="20"/>
        </w:rPr>
        <w:t>. Remedies Cumulative and Continuing.</w:t>
      </w:r>
      <w:r>
        <w:rPr>
          <w:rFonts w:ascii="Times New Roman;Times;Serif" w:hAnsi="Times New Roman;Times;Serif"/>
          <w:b w:val="false"/>
          <w:i w:val="false"/>
          <w:caps w:val="false"/>
          <w:smallCaps w:val="false"/>
          <w:sz w:val="20"/>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r>
        <w:rPr>
          <w:rFonts w:ascii="Times New Roman;Times;Serif" w:hAnsi="Times New Roman;Times;Serif"/>
          <w:b w:val="false"/>
          <w:i/>
          <w:caps w:val="false"/>
          <w:smallCaps w:val="false"/>
          <w:sz w:val="20"/>
        </w:rPr>
        <w:t>. Direction of Proceedings and Waiver of Defaults by Majority of Holders.</w:t>
      </w:r>
      <w:r>
        <w:rPr>
          <w:rFonts w:ascii="Times New Roman;Times;Serif" w:hAnsi="Times New Roman;Times;Serif"/>
          <w:b w:val="false"/>
          <w:i w:val="false"/>
          <w:caps w:val="false"/>
          <w:smallCaps w:val="false"/>
          <w:sz w:val="20"/>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obligation to determine if a direction is unduly prejudicial to the rights of a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continuing default in the payment of accrued and unpaid interest, if any, on, or the principal (including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 If a Default that is not an Event of Default is cured or waived before such Default would have constituted an Event of Default, then no Event of Default will result from such Default. If an Event of Default is cured or waived before any related notice of acceleration is delivered, such Event of Default shall be deemed cured and the Notes shall not be subject to acceleration on account of such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r>
        <w:rPr>
          <w:rFonts w:ascii="Times New Roman;Times;Serif" w:hAnsi="Times New Roman;Times;Serif"/>
          <w:b w:val="false"/>
          <w:i/>
          <w:caps w:val="false"/>
          <w:smallCaps w:val="false"/>
          <w:sz w:val="20"/>
        </w:rPr>
        <w:t>. Notice of Defaults.</w:t>
      </w:r>
      <w:r>
        <w:rPr>
          <w:rFonts w:ascii="Times New Roman;Times;Serif" w:hAnsi="Times New Roman;Times;Serif"/>
          <w:b w:val="false"/>
          <w:i w:val="false"/>
          <w:caps w:val="false"/>
          <w:smallCaps w:val="false"/>
          <w:sz w:val="20"/>
        </w:rPr>
        <w:t xml:space="preserve"> The Trustee shall, within 90 days after a Responsible Officer has received written notice of the occurrence and continuance of a Default, deliver to all Holders notice of such Default, unless such Default shall have been cured or waived before the giving of such notice;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in the case of a Default in the payment of the principal of (including the Fundamental Change Repurchase Price, if applicable), or accrued and unpaid interest on, any of the Notes or a Default in the payment or delivery of the consideration due upon conversion, the Trustee shall be protected in withholding such notice if it determines that the withholding of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r>
        <w:rPr>
          <w:rFonts w:ascii="Times New Roman;Times;Serif" w:hAnsi="Times New Roman;Times;Serif"/>
          <w:b w:val="false"/>
          <w:i/>
          <w:caps w:val="false"/>
          <w:smallCaps w:val="false"/>
          <w:sz w:val="20"/>
        </w:rPr>
        <w:t>. Undertaking to Pay Costs.</w:t>
      </w:r>
      <w:r>
        <w:rPr>
          <w:rFonts w:ascii="Times New Roman;Times;Serif" w:hAnsi="Times New Roman;Times;Serif"/>
          <w:b w:val="false"/>
          <w:i w:val="false"/>
          <w:caps w:val="false"/>
          <w:smallCaps w:val="false"/>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b w:val="false"/>
          <w:i/>
          <w:caps w:val="false"/>
          <w:smallCaps w:val="false"/>
          <w:sz w:val="20"/>
        </w:rPr>
        <w:t>. Duties and Responsibilities of Trustee.</w:t>
      </w:r>
      <w:r>
        <w:rPr>
          <w:rFonts w:ascii="Times New Roman;Times;Serif" w:hAnsi="Times New Roman;Times;Serif"/>
          <w:b w:val="false"/>
          <w:i w:val="false"/>
          <w:caps w:val="false"/>
          <w:smallCaps w:val="false"/>
          <w:sz w:val="20"/>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under this Indenture,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 Event of Default occurs and is continuing, the Trustee will be under no obligation to exercise any of the rights or powers under this Indenture at the request or direction of any of the Holders unless such Holders have provided, if requested, to the Trustee indemnity and/or security satisfactory to it against any loss, liability, claim or expense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and after the curing or waiving of all Events of Default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with respect to any action taken or omitted to be taken by it in good faith in accordance with the direction of the Holders of (i) at least 33% in the case of Section 6.02 or (ii)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provided, every provision of this Indenture relating to the conduct or affecting the liability of, or affording protection to, the Trustee shall be subject to the provisions of this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written notice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required to give any bond or surety in respect of the execution of the trusts and powers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b w:val="false"/>
          <w:i/>
          <w:caps w:val="false"/>
          <w:smallCaps w:val="false"/>
          <w:sz w:val="20"/>
        </w:rPr>
        <w:t>. Reliance on Documents, Opinions, Etc.</w:t>
      </w:r>
      <w:r>
        <w:rPr>
          <w:rFonts w:ascii="Times New Roman;Times;Serif" w:hAnsi="Times New Roman;Times;Serif"/>
          <w:b w:val="false"/>
          <w:i w:val="false"/>
          <w:caps w:val="false"/>
          <w:smallCaps w:val="false"/>
          <w:sz w:val="20"/>
        </w:rPr>
        <w:t xml:space="preserve"> 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permissive rights of the Trustee enumerated herein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and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written notice of such Default or Event of Default shall have been received by a Responsible Officer of the Trustee from the Company or from any Holder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b w:val="false"/>
          <w:i/>
          <w:caps w:val="false"/>
          <w:smallCaps w:val="false"/>
          <w:sz w:val="20"/>
        </w:rPr>
        <w:t>. No Responsibility for Recitals, Etc.</w:t>
      </w:r>
      <w:r>
        <w:rPr>
          <w:rFonts w:ascii="Times New Roman;Times;Serif" w:hAnsi="Times New Roman;Times;Serif"/>
          <w:b w:val="false"/>
          <w:i w:val="false"/>
          <w:caps w:val="false"/>
          <w:smallCaps w:val="false"/>
          <w:sz w:val="20"/>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b w:val="false"/>
          <w:i/>
          <w:caps w:val="false"/>
          <w:smallCaps w:val="false"/>
          <w:sz w:val="20"/>
        </w:rPr>
        <w:t>. Trustee, Paying Agents, Conversion Agents, Bid Solicitation Agent or Note Registrar May Own Notes.</w:t>
      </w:r>
      <w:r>
        <w:rPr>
          <w:rFonts w:ascii="Times New Roman;Times;Serif" w:hAnsi="Times New Roman;Times;Serif"/>
          <w:b w:val="false"/>
          <w:i w:val="false"/>
          <w:caps w:val="false"/>
          <w:smallCaps w:val="false"/>
          <w:sz w:val="20"/>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r>
        <w:rPr>
          <w:rFonts w:ascii="Times New Roman;Times;Serif" w:hAnsi="Times New Roman;Times;Serif"/>
          <w:b w:val="false"/>
          <w:i/>
          <w:caps w:val="false"/>
          <w:smallCaps w:val="false"/>
          <w:sz w:val="20"/>
        </w:rPr>
        <w:t>. Monies and Shares of Common Stock to Be Held in Trust.</w:t>
      </w:r>
      <w:r>
        <w:rPr>
          <w:rFonts w:ascii="Times New Roman;Times;Serif" w:hAnsi="Times New Roman;Times;Serif"/>
          <w:b w:val="false"/>
          <w:i w:val="false"/>
          <w:caps w:val="false"/>
          <w:smallCaps w:val="false"/>
          <w:sz w:val="20"/>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b w:val="false"/>
          <w:i/>
          <w:caps w:val="false"/>
          <w:smallCaps w:val="false"/>
          <w:sz w:val="20"/>
        </w:rPr>
        <w:t>. Compensation and Expenses of Trustee.</w:t>
      </w:r>
      <w:r>
        <w:rPr>
          <w:rFonts w:ascii="Times New Roman;Times;Serif" w:hAnsi="Times New Roman;Times;Serif"/>
          <w:b w:val="false"/>
          <w:i w:val="false"/>
          <w:caps w:val="false"/>
          <w:smallCaps w:val="false"/>
          <w:sz w:val="20"/>
        </w:rPr>
        <w:t xml:space="preserve"> The Company covenants and agrees to pay to the Trustee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available to the Trustee under applicable law, when the Trustee and its agents and any authenticating agent incur expenses or render services after an Event of Default specified in Section 6.01(h) or Section 6.01(h) occurs, the expenses and the compensation for the services are intended to constitute expenses of administration under any bankruptcy, insolvency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r>
        <w:rPr>
          <w:rFonts w:ascii="Times New Roman;Times;Serif" w:hAnsi="Times New Roman;Times;Serif"/>
          <w:b w:val="false"/>
          <w:i/>
          <w:caps w:val="false"/>
          <w:smallCaps w:val="false"/>
          <w:sz w:val="20"/>
        </w:rPr>
        <w:t xml:space="preserve">. Officers’ Certificate as Evidence. </w:t>
      </w: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b w:val="false"/>
          <w:i/>
          <w:caps w:val="false"/>
          <w:smallCaps w:val="false"/>
          <w:sz w:val="20"/>
        </w:rPr>
        <w:t>. Eligibility of Trustee.</w:t>
      </w:r>
      <w:r>
        <w:rPr>
          <w:rFonts w:ascii="Times New Roman;Times;Serif" w:hAnsi="Times New Roman;Times;Serif"/>
          <w:b w:val="false"/>
          <w:i w:val="false"/>
          <w:caps w:val="false"/>
          <w:smallCaps w:val="false"/>
          <w:sz w:val="20"/>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b w:val="false"/>
          <w:i/>
          <w:caps w:val="false"/>
          <w:smallCaps w:val="false"/>
          <w:sz w:val="20"/>
        </w:rPr>
        <w:t>. Resignation or Removal of Trustee.</w:t>
      </w:r>
      <w:r>
        <w:rPr>
          <w:rFonts w:ascii="Times New Roman;Times;Serif" w:hAnsi="Times New Roman;Times;Serif"/>
          <w:b w:val="false"/>
          <w:i w:val="false"/>
          <w:caps w:val="false"/>
          <w:smallCaps w:val="false"/>
          <w:sz w:val="20"/>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cease to be eligible in accordance with the provisions of Section 7.08 and shall fail to resign after written request therefor by the Company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b w:val="false"/>
          <w:i/>
          <w:caps w:val="false"/>
          <w:smallCaps w:val="false"/>
          <w:sz w:val="20"/>
        </w:rPr>
        <w:t>. Acceptance by Successor Trustee.</w:t>
      </w:r>
      <w:r>
        <w:rPr>
          <w:rFonts w:ascii="Times New Roman;Times;Serif" w:hAnsi="Times New Roman;Times;Serif"/>
          <w:b w:val="false"/>
          <w:i w:val="false"/>
          <w:caps w:val="false"/>
          <w:smallCaps w:val="false"/>
          <w:sz w:val="20"/>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b w:val="false"/>
          <w:i/>
          <w:caps w:val="false"/>
          <w:smallCaps w:val="false"/>
          <w:sz w:val="20"/>
        </w:rPr>
        <w:t>. Succession by Merger, Etc.</w:t>
      </w:r>
      <w:r>
        <w:rPr>
          <w:rFonts w:ascii="Times New Roman;Times;Serif" w:hAnsi="Times New Roman;Times;Serif"/>
          <w:b w:val="false"/>
          <w:i w:val="false"/>
          <w:caps w:val="false"/>
          <w:smallCaps w:val="false"/>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corporation or other entity succeeding to all or substantially all of the corporate trust business of the Trustee such corporation or other entity shall be eligible under the provisions of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r>
        <w:rPr>
          <w:rFonts w:ascii="Times New Roman;Times;Serif" w:hAnsi="Times New Roman;Times;Serif"/>
          <w:b w:val="false"/>
          <w:i/>
          <w:caps w:val="false"/>
          <w:smallCaps w:val="false"/>
          <w:sz w:val="20"/>
        </w:rPr>
        <w:t>. Trustee’s Application for Instructions from the Company.</w:t>
      </w:r>
      <w:r>
        <w:rPr>
          <w:rFonts w:ascii="Times New Roman;Times;Serif" w:hAnsi="Times New Roman;Times;Serif"/>
          <w:b w:val="false"/>
          <w:i w:val="false"/>
          <w:caps w:val="false"/>
          <w:smallCaps w:val="false"/>
          <w:sz w:val="20"/>
        </w:rPr>
        <w:t xml:space="preserve"> Any application by the Trustee for written instructions from the Company (other than with regard to any action proposed to be taken or omitted to be taken by the Trustee that affects the rights of the Holders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Concerning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b w:val="false"/>
          <w:i/>
          <w:caps w:val="false"/>
          <w:smallCaps w:val="false"/>
          <w:sz w:val="20"/>
        </w:rPr>
        <w:t>. Action by Holders.</w:t>
      </w:r>
      <w:r>
        <w:rPr>
          <w:rFonts w:ascii="Times New Roman;Times;Serif" w:hAnsi="Times New Roman;Times;Serif"/>
          <w:b w:val="false"/>
          <w:i w:val="false"/>
          <w:caps w:val="false"/>
          <w:smallCaps w:val="false"/>
          <w:sz w:val="20"/>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r>
        <w:rPr>
          <w:rFonts w:ascii="Times New Roman;Times;Serif" w:hAnsi="Times New Roman;Times;Serif"/>
          <w:b w:val="false"/>
          <w:i/>
          <w:caps w:val="false"/>
          <w:smallCaps w:val="false"/>
          <w:sz w:val="20"/>
        </w:rPr>
        <w:t>. Proof of Execution by Holders.</w:t>
      </w:r>
      <w:r>
        <w:rPr>
          <w:rFonts w:ascii="Times New Roman;Times;Serif" w:hAnsi="Times New Roman;Times;Serif"/>
          <w:b w:val="false"/>
          <w:i w:val="false"/>
          <w:caps w:val="false"/>
          <w:smallCaps w:val="false"/>
          <w:sz w:val="20"/>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b w:val="false"/>
          <w:i/>
          <w:caps w:val="false"/>
          <w:smallCaps w:val="false"/>
          <w:sz w:val="20"/>
        </w:rPr>
        <w:t>. Who Are Deemed Absolute Owners.</w:t>
      </w:r>
      <w:r>
        <w:rPr>
          <w:rFonts w:ascii="Times New Roman;Times;Serif" w:hAnsi="Times New Roman;Times;Serif"/>
          <w:b w:val="false"/>
          <w:i w:val="false"/>
          <w:caps w:val="false"/>
          <w:smallCaps w:val="false"/>
          <w:sz w:val="20"/>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b w:val="false"/>
          <w:i/>
          <w:caps w:val="false"/>
          <w:smallCaps w:val="false"/>
          <w:sz w:val="20"/>
        </w:rPr>
        <w:t>. Company-Owned Notes Disregarded.</w:t>
      </w:r>
      <w:r>
        <w:rPr>
          <w:rFonts w:ascii="Times New Roman;Times;Serif" w:hAnsi="Times New Roman;Times;Serif"/>
          <w:b w:val="false"/>
          <w:i w:val="false"/>
          <w:caps w:val="false"/>
          <w:smallCaps w:val="false"/>
          <w:sz w:val="20"/>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r>
        <w:rPr>
          <w:rFonts w:ascii="Times New Roman;Times;Serif" w:hAnsi="Times New Roman;Times;Serif"/>
          <w:b w:val="false"/>
          <w:i/>
          <w:caps w:val="false"/>
          <w:smallCaps w:val="false"/>
          <w:sz w:val="20"/>
        </w:rPr>
        <w:t>. Revocation of Consents; Future Holders Bound.</w:t>
      </w:r>
      <w:r>
        <w:rPr>
          <w:rFonts w:ascii="Times New Roman;Times;Serif" w:hAnsi="Times New Roman;Times;Serif"/>
          <w:b w:val="false"/>
          <w:i w:val="false"/>
          <w:caps w:val="false"/>
          <w:smallCaps w:val="false"/>
          <w:sz w:val="20"/>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b w:val="false"/>
          <w:i/>
          <w:caps w:val="false"/>
          <w:smallCaps w:val="false"/>
          <w:sz w:val="20"/>
        </w:rPr>
        <w:t>. Purpose of Meetings.</w:t>
      </w:r>
      <w:r>
        <w:rPr>
          <w:rFonts w:ascii="Times New Roman;Times;Serif" w:hAnsi="Times New Roman;Times;Serif"/>
          <w:b w:val="false"/>
          <w:i w:val="false"/>
          <w:caps w:val="false"/>
          <w:smallCaps w:val="false"/>
          <w:sz w:val="20"/>
        </w:rPr>
        <w:t xml:space="preserve"> A meeting of Holders may be called at any time and from time to time pursuant to the provisions of this Article 9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indentures supplemental hereto pursuant to the provisions of Section 10.02;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b w:val="false"/>
          <w:i/>
          <w:caps w:val="false"/>
          <w:smallCaps w:val="false"/>
          <w:sz w:val="20"/>
        </w:rPr>
        <w:t>. Call of Meetings by Trustee.</w:t>
      </w:r>
      <w:r>
        <w:rPr>
          <w:rFonts w:ascii="Times New Roman;Times;Serif" w:hAnsi="Times New Roman;Times;Serif"/>
          <w:b w:val="false"/>
          <w:i w:val="false"/>
          <w:caps w:val="false"/>
          <w:smallCaps w:val="false"/>
          <w:sz w:val="20"/>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b w:val="false"/>
          <w:i/>
          <w:caps w:val="false"/>
          <w:smallCaps w:val="false"/>
          <w:sz w:val="20"/>
        </w:rPr>
        <w:t>. Call of Meetings by Company or Holders.</w:t>
      </w:r>
      <w:r>
        <w:rPr>
          <w:rFonts w:ascii="Times New Roman;Times;Serif" w:hAnsi="Times New Roman;Times;Serif"/>
          <w:b w:val="false"/>
          <w:i w:val="false"/>
          <w:caps w:val="false"/>
          <w:smallCaps w:val="false"/>
          <w:sz w:val="20"/>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b w:val="false"/>
          <w:i/>
          <w:caps w:val="false"/>
          <w:smallCaps w:val="false"/>
          <w:sz w:val="20"/>
        </w:rPr>
        <w:t>. Qualifications for Voting.</w:t>
      </w:r>
      <w:r>
        <w:rPr>
          <w:rFonts w:ascii="Times New Roman;Times;Serif" w:hAnsi="Times New Roman;Times;Serif"/>
          <w:b w:val="false"/>
          <w:i w:val="false"/>
          <w:caps w:val="false"/>
          <w:smallCaps w:val="false"/>
          <w:sz w:val="20"/>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b w:val="false"/>
          <w:i/>
          <w:caps w:val="false"/>
          <w:smallCaps w:val="false"/>
          <w:sz w:val="20"/>
        </w:rPr>
        <w:t>. Regulations.</w:t>
      </w:r>
      <w:r>
        <w:rPr>
          <w:rFonts w:ascii="Times New Roman;Times;Serif" w:hAnsi="Times New Roman;Times;Serif"/>
          <w:b w:val="false"/>
          <w:i w:val="false"/>
          <w:caps w:val="false"/>
          <w:smallCaps w:val="false"/>
          <w:sz w:val="20"/>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8.04, at any meeting of Holders each Holder or proxyholder shall be entitled to one vote for each $1,000 principal amount of Notes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b w:val="false"/>
          <w:i/>
          <w:caps w:val="false"/>
          <w:smallCaps w:val="false"/>
          <w:sz w:val="20"/>
        </w:rPr>
        <w:t>. Voting.</w:t>
      </w:r>
      <w:r>
        <w:rPr>
          <w:rFonts w:ascii="Times New Roman;Times;Serif" w:hAnsi="Times New Roman;Times;Serif"/>
          <w:b w:val="false"/>
          <w:i w:val="false"/>
          <w:caps w:val="false"/>
          <w:smallCaps w:val="false"/>
          <w:sz w:val="20"/>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b w:val="false"/>
          <w:i/>
          <w:caps w:val="false"/>
          <w:smallCaps w:val="false"/>
          <w:sz w:val="20"/>
        </w:rPr>
        <w:t>. No Delay of Rights by Meeting.</w:t>
      </w:r>
      <w:r>
        <w:rPr>
          <w:rFonts w:ascii="Times New Roman;Times;Serif" w:hAnsi="Times New Roman;Times;Serif"/>
          <w:b w:val="false"/>
          <w:i w:val="false"/>
          <w:caps w:val="false"/>
          <w:smallCaps w:val="false"/>
          <w:sz w:val="20"/>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r>
        <w:rPr>
          <w:rFonts w:ascii="Times New Roman;Times;Serif" w:hAnsi="Times New Roman;Times;Serif"/>
          <w:b w:val="false"/>
          <w:i/>
          <w:caps w:val="false"/>
          <w:smallCaps w:val="false"/>
          <w:sz w:val="20"/>
        </w:rPr>
        <w:t>. Supplemental Indentures Without Consent of Holders.</w:t>
      </w:r>
      <w:r>
        <w:rPr>
          <w:rFonts w:ascii="Times New Roman;Times;Serif" w:hAnsi="Times New Roman;Times;Serif"/>
          <w:b w:val="false"/>
          <w:i w:val="false"/>
          <w:caps w:val="false"/>
          <w:smallCaps w:val="false"/>
          <w:sz w:val="20"/>
        </w:rPr>
        <w:t xml:space="preserve"> The Company and the Trustee, at the Company’s expense, may from time to time and at any time amend this Indenture or enter into an indenture or indentures supplemental hereto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by a Successor Company of the obligations of the Company under this Indenture pursuant to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guarantees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the covenants or Events of Default of the Company for the benefit of the Holders or surrender any right or power conferred upon the Company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Holder as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increase the Conversion Rate,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provide for the acceptance of appointment by a successor Trustee, successor Note Registrar, Paying Agent, Bid Solicitation Agent or Conversion Agent or facilitate the administration of the trusts under this Indenture by more than one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any Share Exchange Event, to provide that the Notes are convertible into Reference Property, subject to the provisions of Section 14.02, and make such related changes to the terms of the Notes to the extent expressly required by Section 14.07;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conform the provisions of this Indenture or the Notes to the “Description of Notes” section of the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provide for or confirm the issuance of additional Notes pursuant to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comply with the rules of the Depositary, so long as such amendment does not adversely affect the rights of any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r>
        <w:rPr>
          <w:rFonts w:ascii="Times New Roman;Times;Serif" w:hAnsi="Times New Roman;Times;Serif"/>
          <w:b w:val="false"/>
          <w:i/>
          <w:caps w:val="false"/>
          <w:smallCaps w:val="false"/>
          <w:sz w:val="20"/>
        </w:rPr>
        <w:t>. Supplemental Indentures with Consent of Holders.</w:t>
      </w:r>
      <w:r>
        <w:rPr>
          <w:rFonts w:ascii="Times New Roman;Times;Serif" w:hAnsi="Times New Roman;Times;Serif"/>
          <w:b w:val="false"/>
          <w:i w:val="false"/>
          <w:caps w:val="false"/>
          <w:smallCaps w:val="false"/>
          <w:sz w:val="20"/>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the Notes), the Company and the Trustee, at the Company’s expense, may from time to time and at any time amend this Indenture or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without the consent of each Holder of an outstanding Note affected, no such amendment or supplemental indenture shall: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Notes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stated time for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extend the Maturity Date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expressly required by this Indenture, make any change that adversely affects the conversion rights of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Fundamental Change Repurchase Price of any Note or amend or modify in any manner adverse to the Holders the Company’s obligation to make such payment, whether through an amendment or waiver of provisions in the covenants,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Note payable in a currency, or at a place of payment, other than that stated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and interest on such Holder’s Notes on or after the due dates therefor or to institute suit for the enforcement of any payment on or with respect to such Holder’s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change in this Article 10 that requires each Holder’s consent or in the waiver provisions in Section 6.02 or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under this Section 10.02 to approve the particular form of any proposed supplemental indenture. It shall be sufficient if such Holders approve the substance thereof. After any such amendment or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r>
        <w:rPr>
          <w:rFonts w:ascii="Times New Roman;Times;Serif" w:hAnsi="Times New Roman;Times;Serif"/>
          <w:b w:val="false"/>
          <w:i/>
          <w:caps w:val="false"/>
          <w:smallCaps w:val="false"/>
          <w:sz w:val="20"/>
        </w:rPr>
        <w:t>. Effect of Supplemental Indentures.</w:t>
      </w:r>
      <w:r>
        <w:rPr>
          <w:rFonts w:ascii="Times New Roman;Times;Serif" w:hAnsi="Times New Roman;Times;Serif"/>
          <w:b w:val="false"/>
          <w:i w:val="false"/>
          <w:caps w:val="false"/>
          <w:smallCaps w:val="false"/>
          <w:sz w:val="20"/>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r>
        <w:rPr>
          <w:rFonts w:ascii="Times New Roman;Times;Serif" w:hAnsi="Times New Roman;Times;Serif"/>
          <w:b w:val="false"/>
          <w:i/>
          <w:caps w:val="false"/>
          <w:smallCaps w:val="false"/>
          <w:sz w:val="20"/>
        </w:rPr>
        <w:t>. Notation on Notes.</w:t>
      </w:r>
      <w:r>
        <w:rPr>
          <w:rFonts w:ascii="Times New Roman;Times;Serif" w:hAnsi="Times New Roman;Times;Serif"/>
          <w:b w:val="false"/>
          <w:i w:val="false"/>
          <w:caps w:val="false"/>
          <w:smallCaps w:val="false"/>
          <w:sz w:val="20"/>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r>
        <w:rPr>
          <w:rFonts w:ascii="Times New Roman;Times;Serif" w:hAnsi="Times New Roman;Times;Serif"/>
          <w:b w:val="false"/>
          <w:i/>
          <w:caps w:val="false"/>
          <w:smallCaps w:val="false"/>
          <w:sz w:val="20"/>
        </w:rPr>
        <w:t>. Evidence of Compliance of Supplemental Indenture to Be Furnished Trustee.</w:t>
      </w:r>
      <w:r>
        <w:rPr>
          <w:rFonts w:ascii="Times New Roman;Times;Serif" w:hAnsi="Times New Roman;Times;Serif"/>
          <w:b w:val="false"/>
          <w:i w:val="false"/>
          <w:caps w:val="false"/>
          <w:smallCaps w:val="false"/>
          <w:sz w:val="20"/>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r>
        <w:rPr>
          <w:rFonts w:ascii="Times New Roman;Times;Serif" w:hAnsi="Times New Roman;Times;Serif"/>
          <w:b w:val="false"/>
          <w:i/>
          <w:caps w:val="false"/>
          <w:smallCaps w:val="false"/>
          <w:sz w:val="20"/>
        </w:rPr>
        <w:t>. Company May Consolidate, Etc. on Certain Terms.</w:t>
      </w:r>
      <w:r>
        <w:rPr>
          <w:rFonts w:ascii="Times New Roman;Times;Serif" w:hAnsi="Times New Roman;Times;Serif"/>
          <w:b w:val="false"/>
          <w:i w:val="false"/>
          <w:caps w:val="false"/>
          <w:smallCaps w:val="false"/>
          <w:sz w:val="20"/>
        </w:rPr>
        <w:t xml:space="preserve"> Subject to the provisions of Section 11.02, the Company shall not consolidate with, merge with or into, or sell, convey, transfer or lease all or substantially all of its properties and assets to another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(the “</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transaction, no Default or Event of Default shall have occurred and be continuing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r>
        <w:rPr>
          <w:rFonts w:ascii="Times New Roman;Times;Serif" w:hAnsi="Times New Roman;Times;Serif"/>
          <w:b w:val="false"/>
          <w:i/>
          <w:caps w:val="false"/>
          <w:smallCaps w:val="false"/>
          <w:sz w:val="20"/>
        </w:rPr>
        <w:t>. Successor Corporation to Be Substituted.</w:t>
      </w:r>
      <w:r>
        <w:rPr>
          <w:rFonts w:ascii="Times New Roman;Times;Serif" w:hAnsi="Times New Roman;Times;Serif"/>
          <w:b w:val="false"/>
          <w:i w:val="false"/>
          <w:caps w:val="false"/>
          <w:smallCaps w:val="false"/>
          <w:sz w:val="20"/>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r>
        <w:rPr>
          <w:rFonts w:ascii="Times New Roman;Times;Serif" w:hAnsi="Times New Roman;Times;Serif"/>
          <w:b w:val="false"/>
          <w:i/>
          <w:caps w:val="false"/>
          <w:smallCaps w:val="false"/>
          <w:sz w:val="20"/>
        </w:rPr>
        <w:t>. Opinion of Counsel to Be Given to Trustee.</w:t>
      </w:r>
      <w:r>
        <w:rPr>
          <w:rFonts w:ascii="Times New Roman;Times;Serif" w:hAnsi="Times New Roman;Times;Serif"/>
          <w:b w:val="false"/>
          <w:i w:val="false"/>
          <w:caps w:val="false"/>
          <w:smallCaps w:val="false"/>
          <w:sz w:val="20"/>
        </w:rPr>
        <w:t xml:space="preserve">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smallCaps/>
          <w:sz w:val="20"/>
        </w:rPr>
        <w:br/>
        <w:t>Immunity of Incorporators, Shareholders,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r>
        <w:rPr>
          <w:rFonts w:ascii="Times New Roman;Times;Serif" w:hAnsi="Times New Roman;Times;Serif"/>
          <w:b w:val="false"/>
          <w:i/>
          <w:caps w:val="false"/>
          <w:smallCaps w:val="false"/>
          <w:sz w:val="20"/>
        </w:rPr>
        <w:t>. Indenture and Notes Solely Corporate Obligations.</w:t>
      </w:r>
      <w:r>
        <w:rPr>
          <w:rFonts w:ascii="Times New Roman;Times;Serif" w:hAnsi="Times New Roman;Times;Serif"/>
          <w:b w:val="false"/>
          <w:i w:val="false"/>
          <w:caps w:val="false"/>
          <w:smallCaps w:val="false"/>
          <w:sz w:val="20"/>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shareholder,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13</w:t>
      </w:r>
      <w:r>
        <w:rPr>
          <w:rFonts w:ascii="Times New Roman;Times;Serif" w:hAnsi="Times New Roman;Times;Serif"/>
          <w:b w:val="false"/>
          <w:i w:val="false"/>
          <w:smallCaps/>
          <w:sz w:val="20"/>
        </w:rPr>
        <w:b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14</w:t>
      </w:r>
      <w:r>
        <w:rPr>
          <w:rFonts w:ascii="Times New Roman;Times;Serif" w:hAnsi="Times New Roman;Times;Serif"/>
          <w:b w:val="false"/>
          <w:i w:val="false"/>
          <w:smallCaps/>
          <w:sz w:val="20"/>
        </w:rPr>
        <w:br/>
        <w:t>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w:t>
      </w:r>
      <w:r>
        <w:rPr>
          <w:rFonts w:ascii="Times New Roman;Times;Serif" w:hAnsi="Times New Roman;Times;Serif"/>
          <w:b w:val="false"/>
          <w:i/>
          <w:caps w:val="false"/>
          <w:smallCaps w:val="false"/>
          <w:sz w:val="20"/>
        </w:rPr>
        <w:t>. Conversion Privilege.</w:t>
      </w:r>
      <w:r>
        <w:rPr>
          <w:rFonts w:ascii="Times New Roman;Times;Serif" w:hAnsi="Times New Roman;Times;Serif"/>
          <w:b w:val="false"/>
          <w:i w:val="false"/>
          <w:caps w:val="false"/>
          <w:smallCaps w:val="false"/>
          <w:sz w:val="20"/>
        </w:rPr>
        <w:t xml:space="preserve"> (a) 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February 15, 2029 under the circumstances and during the periods set forth in Section 14.01(b), and (ii) regardless of the conditions described in Section 14.01(b), on or after February 15, 2029 and prior to the close of business on the second Scheduled Trading Day immediately preceding the Maturity Date, in each case, at an initial conversion rate of 18.6524 shares of Common Stock (subject to adjustment as provided in this Article 14,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per $1,000 principal amount of Notes (subject to, and in accordance with, the settlement provisions of Section 14.02, the “</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Prior to the close of business on the Business Day immediately preceding February 15, 2029, a Holder may surrender all or any portion of its Notes for conversion at any time during the five consecutive Business Day period immediately after any ten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on each such Trading Day and the Conversion Rate on each such Trading Day (the “</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 The Trading Prices shall be determined by the Bid Solicitation Agent pursuant to this subsection (b)(i)and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$1,000,000 in aggregate principal amount of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instructs the Bid Solicitation Agent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Common Stock and the Conversion Rate on each Trading Day of such failure. If the Trading Price Condition has been met, the Company shall so notify the Holders, the Trustee and the Conversion Agent (if other than the Trustee). If, at any time after the Trading Price Condition has been met, the Trading Price per $1,000 principal amount of Notes is greater than or equal to 98% of the product of the Last Reported Sale Price of the Common Stock and the Conversion Rate for such date, the Company shall so notify the Holders, the Trustee and the Conversion Agent (if other than the Trustee) that the Trading Price Condition is no longer met and thereafter neither the Company nor the Bid Solicitation Agent (if other than the Company) shall be required to solicit bids again until another qualifying request is made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prior to the close of business on the Business Day immediately preceding February 15, 2029,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 to all or substantially all holders of the Common Stock any rights, options or warrants (other than a distribution of rights pursuant to a shareholder rights plan prior to the separation of such rights from the Common Stock)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distribute to all or substantially all holders of the Common Stock the Company’s assets, securities or rights to purchase securities of the Company (other than a distribution of rights pursuant to a shareholder rights plan prior to the separation of such rights from the Common Stock), which distribution has a per share value, as reasonably determined by the Company, exceeding 10% of the Last Reported Sale Price of the Common Stock on the Trading Day preceding the date of announcement for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the Company shall notify all Holders, the Trustee and the Conversion Agent (if other than the Trustee) in writing at least 48 Scheduled Trading Days prior to the Ex-Dividend Date for such issuance or distribution (or, if later in the case of any such separation of rights issued pursuant to a shareholder rights plan, as soon as reasonably practicable after the Company becomes aware that such separation or triggering event has occurred or will occur).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(or, if later, in the case of any such separation of rights issued pursuant to a shareholder rights plan, until the 20th Scheduled Trading Days following the date of the relevant notice), in each case, even if the Notes are not otherwise convertible at such time. However, the Company shall not be required to provide such notice, and the Notes shall not become convertible pursuant to this subclause (ii), as a result of any such issuance or distribution if each Holder participates, at the same time and upon the same terms as holders of the Common Stock and solely as a result of holding the Notes, in such issuance or distribution without having to convert such Holder’s Notes as if such Holder held a number of shares of Common Stock equal to the Conversion Rate as of the record date for such issuance or distribution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principal amount (expressed in thousands) of Notes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(i) a transaction or event that constitutes (x) a Fundamental Change or (y) a Make-Whole Fundamental Change occurs prior to the close of business on the Business Day immediately preceding February 15, 2029, regardless of whether a Holder has the right to require the Company to repurchase the Notes pursuant to Section 15.02, or (ii) if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 that occurs prior to the close of business on the Business Day immediately preceding February 15, 2029 (each such Fundamental Change, Make-Whole Fundamental Change or Share Exchange Event,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then, in each case, all or any portion of a Holder’s Notes may be surrendered for conversion at any time from or after the effective date of such Corporate Event until 35 Trading Days after the effective date of such Corporate Event or, if such Corporate Event also constitutes a Fundamental Change (other than an Exempted Fundamental Change), until the close of business on the Business Day immediately preceding the related Fundamental Change Repurchase Date. The Company shall notify Holders, the Trustee and the Conversion Agent (if other than the Trustee) in writing as promptly as practicable following the date the Company publicly announces such Corporate Event, but in no event later than the effective date of such Corporate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Prior to the close of business on the Business Day immediately preceding February 15, 2029, a Holder may surrender all or any portion of its Notes for conversion at any time during any calendar quarter commencing after the calendar quarter ending on March 31, 2026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The Company shall determine at the beginning of each calendar quarter commencing after March 31, 2026 whether the Notes may be surrendered for conversion in accordance with this clause (iv) and shall notify the Holders, the Trustee and the Conversion Agent (if other than the Trustee) if the Notes become convertible in accordance with this clause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w:t>
      </w:r>
      <w:r>
        <w:rPr>
          <w:rFonts w:ascii="Times New Roman;Times;Serif" w:hAnsi="Times New Roman;Times;Serif"/>
          <w:b w:val="false"/>
          <w:i/>
          <w:caps w:val="false"/>
          <w:smallCaps w:val="false"/>
          <w:sz w:val="20"/>
        </w:rPr>
        <w:t>. Conversion Procedure; Settlement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Except as provided in ‎Section 14.03(b) and ‎Section 14.07(a), upon conversion of any Note, on the second Business Day immediately following the last Trading Day of the relevant Observation Period, the Company shall satisfy its Conversion Obligation by paying or delivering, as the case may be, to the converting Holder, in respect of each $1,000 principal amount of Notes being converted, a “</w:t>
      </w:r>
      <w:r>
        <w:rPr>
          <w:rFonts w:ascii="Times New Roman;Times;Serif" w:hAnsi="Times New Roman;Times;Serif"/>
          <w:b/>
          <w:i w:val="false"/>
          <w:caps w:val="false"/>
          <w:smallCaps w:val="false"/>
          <w:sz w:val="20"/>
          <w:shd w:fill="FFFFFF" w:val="clear"/>
        </w:rPr>
        <w:t>Settlement Amount</w:t>
      </w:r>
      <w:r>
        <w:rPr>
          <w:rFonts w:ascii="Times New Roman;Times;Serif" w:hAnsi="Times New Roman;Times;Serif"/>
          <w:b w:val="false"/>
          <w:i w:val="false"/>
          <w:caps w:val="false"/>
          <w:smallCaps w:val="false"/>
          <w:sz w:val="20"/>
          <w:shd w:fill="FFFFFF" w:val="clear"/>
        </w:rPr>
        <w:t>” equal to the sum of the Daily Settlement Amounts for each of the 40 Trading Days during the relevant Observation Period for such Note, together with cash, if applicable, in lieu of delivering any fractional share of Common Stock in accordance with subsection (j) of this ‎Section 14.02.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shd w:fill="FFFFFF" w:val="clear"/>
        </w:rPr>
        <w:t xml:space="preserve">All conversions of Notes for which the relevant Conversion Date occurs on or after </w:t>
      </w:r>
      <w:r>
        <w:rPr>
          <w:rFonts w:ascii="Times New Roman;Times;Serif" w:hAnsi="Times New Roman;Times;Serif"/>
          <w:b w:val="false"/>
          <w:i w:val="false"/>
          <w:caps w:val="false"/>
          <w:smallCaps w:val="false"/>
          <w:sz w:val="20"/>
        </w:rPr>
        <w:t>February 15, 2029</w:t>
      </w:r>
      <w:r>
        <w:rPr>
          <w:rFonts w:ascii="Times New Roman;Times;Serif" w:hAnsi="Times New Roman;Times;Serif"/>
          <w:b w:val="false"/>
          <w:i w:val="false"/>
          <w:caps w:val="false"/>
          <w:smallCaps w:val="false"/>
          <w:sz w:val="20"/>
          <w:shd w:fill="FFFFFF" w:val="clear"/>
        </w:rPr>
        <w:t xml:space="preserve">, shall be settled using the same forms and amounts of consideration. Except for any conversions of Notes for which the relevant Conversion Date occurs on or after </w:t>
      </w:r>
      <w:r>
        <w:rPr>
          <w:rFonts w:ascii="Times New Roman;Times;Serif" w:hAnsi="Times New Roman;Times;Serif"/>
          <w:b w:val="false"/>
          <w:i w:val="false"/>
          <w:caps w:val="false"/>
          <w:smallCaps w:val="false"/>
          <w:sz w:val="20"/>
        </w:rPr>
        <w:t>February 15, 2029</w:t>
      </w:r>
      <w:r>
        <w:rPr>
          <w:rFonts w:ascii="Times New Roman;Times;Serif" w:hAnsi="Times New Roman;Times;Serif"/>
          <w:b w:val="false"/>
          <w:i w:val="false"/>
          <w:caps w:val="false"/>
          <w:smallCaps w:val="false"/>
          <w:sz w:val="20"/>
          <w:shd w:fill="FFFFFF" w:val="clear"/>
        </w:rPr>
        <w:t>, the Company shall use the same forms and amounts of consideration for all conversions of Notes with the same Conversion Date, but the Company shall not have any obligation to use the same forms and amounts of consideration with respect to conversions of Notes with different Conversion Dates. If, in respect of any Conversion Date (or the period described in the fourth immediately succeeding set of parentheses, as the case may be), the Company elects to settle all or a portion of its Conversion Obligation in excess of the principal portion of the Notes being converted in cash in respect of such Conversion Date (or such period, as the case may be), the Company shall inform converting Holders, the Trustee and the Conversion Agent (if other than the Trustee) of such election (the “</w:t>
      </w:r>
      <w:r>
        <w:rPr>
          <w:rFonts w:ascii="Times New Roman;Times;Serif" w:hAnsi="Times New Roman;Times;Serif"/>
          <w:b/>
          <w:i w:val="false"/>
          <w:caps w:val="false"/>
          <w:smallCaps w:val="false"/>
          <w:sz w:val="20"/>
          <w:shd w:fill="FFFFFF" w:val="clear"/>
        </w:rPr>
        <w:t>Settlement Notice</w:t>
      </w:r>
      <w:r>
        <w:rPr>
          <w:rFonts w:ascii="Times New Roman;Times;Serif" w:hAnsi="Times New Roman;Times;Serif"/>
          <w:b w:val="false"/>
          <w:i w:val="false"/>
          <w:caps w:val="false"/>
          <w:smallCaps w:val="false"/>
          <w:sz w:val="20"/>
          <w:shd w:fill="FFFFFF" w:val="clear"/>
        </w:rPr>
        <w:t xml:space="preserve">”) no later than the close of business on the Trading Day immediately following the related Conversion Date (or, in the case of any conversions of Notes for which the relevant Conversion Date occurs on or after </w:t>
      </w:r>
      <w:r>
        <w:rPr>
          <w:rFonts w:ascii="Times New Roman;Times;Serif" w:hAnsi="Times New Roman;Times;Serif"/>
          <w:b w:val="false"/>
          <w:i w:val="false"/>
          <w:caps w:val="false"/>
          <w:smallCaps w:val="false"/>
          <w:sz w:val="20"/>
        </w:rPr>
        <w:t>February 15, 2029</w:t>
      </w:r>
      <w:r>
        <w:rPr>
          <w:rFonts w:ascii="Times New Roman;Times;Serif" w:hAnsi="Times New Roman;Times;Serif"/>
          <w:b w:val="false"/>
          <w:i w:val="false"/>
          <w:caps w:val="false"/>
          <w:smallCaps w:val="false"/>
          <w:sz w:val="20"/>
          <w:shd w:fill="FFFFFF" w:val="clear"/>
        </w:rPr>
        <w:t xml:space="preserve">, no later than </w:t>
      </w:r>
      <w:r>
        <w:rPr>
          <w:rFonts w:ascii="Times New Roman;Times;Serif" w:hAnsi="Times New Roman;Times;Serif"/>
          <w:b w:val="false"/>
          <w:i w:val="false"/>
          <w:caps w:val="false"/>
          <w:smallCaps w:val="false"/>
          <w:sz w:val="20"/>
        </w:rPr>
        <w:t>February 15, 2029</w:t>
      </w:r>
      <w:r>
        <w:rPr>
          <w:rFonts w:ascii="Times New Roman;Times;Serif" w:hAnsi="Times New Roman;Times;Serif"/>
          <w:b w:val="false"/>
          <w:i w:val="false"/>
          <w:caps w:val="false"/>
          <w:smallCaps w:val="false"/>
          <w:sz w:val="20"/>
          <w:shd w:fill="FFFFFF" w:val="clear"/>
        </w:rPr>
        <w:t>) and the Company shall indicate in such Settlement Notice the percentage of the Conversion Obligation in excess of the principal portion of the Notes being converted that will be paid in cash (the “</w:t>
      </w:r>
      <w:r>
        <w:rPr>
          <w:rFonts w:ascii="Times New Roman;Times;Serif" w:hAnsi="Times New Roman;Times;Serif"/>
          <w:b/>
          <w:i w:val="false"/>
          <w:caps w:val="false"/>
          <w:smallCaps w:val="false"/>
          <w:sz w:val="20"/>
          <w:shd w:fill="FFFFFF" w:val="clear"/>
        </w:rPr>
        <w:t>Cash Percentage</w:t>
      </w:r>
      <w:r>
        <w:rPr>
          <w:rFonts w:ascii="Times New Roman;Times;Serif" w:hAnsi="Times New Roman;Times;Serif"/>
          <w:b w:val="false"/>
          <w:i w:val="false"/>
          <w:caps w:val="false"/>
          <w:smallCaps w:val="false"/>
          <w:sz w:val="20"/>
          <w:shd w:fill="FFFFFF" w:val="clear"/>
        </w:rPr>
        <w:t>”). If the Company does not elect a Cash Percentage prior to the deadline set forth in the immediately preceding sentence, the Company shall no longer have the right to elect a Cash Percentage with respect to any conversion on such Conversion Date or during such period, and the Company shall settle its Conversion Obligation by paying cash in respect of the principal portion of the converted Notes and delivering shares of Common Stock in respect of the remainder (other than cash in lieu of any fractional share), if any, of its Conversion Obligation in excess of the aggregate principal portion of the Notes being converted as set forth herein. For the avoidance of doubt, the Company’s failure to make a timely election of the Cash Percentage, as described above, will not constitute a Default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shd w:fill="FFFFFF" w:val="clear"/>
        </w:rPr>
        <w:t>The Daily Settlement Amounts (if applicable), the Daily Net Settlement Amounts (if applicable) and the Daily Conversion Values (if applicable) shall be determined by the Company promptly following the last day of the Observation Period. Promptly after such determination of the Daily Settlement Amounts, the Daily Net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the Daily Net Settlement Amounts or the Daily Conversion Values, as the case may be, and the amount of cash payable in lieu of delivering any fractional shares of Common Stock. The Trustee and the Conversion Agent (if other than the Trustee) shall have no responsibility for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Subject to Section 14.02‎(e), before any Holder of a Note shall be entitled to convert a Note as set forth above, such Holder shall (i) in the case of a Global Note, comply with the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Times;Serif" w:hAnsi="Times New Roman;Times;Serif"/>
          <w:b/>
          <w:i w:val="false"/>
          <w:caps w:val="false"/>
          <w:smallCaps w:val="false"/>
          <w:sz w:val="20"/>
          <w:shd w:fill="FFFFFF" w:val="clear"/>
        </w:rPr>
        <w:t>Notice of Conversion</w:t>
      </w:r>
      <w:r>
        <w:rPr>
          <w:rFonts w:ascii="Times New Roman;Times;Serif" w:hAnsi="Times New Roman;Times;Serif"/>
          <w:b w:val="false"/>
          <w:i w:val="false"/>
          <w:caps w:val="false"/>
          <w:smallCaps w:val="false"/>
          <w:sz w:val="20"/>
          <w:shd w:fill="FFFFFF" w:val="clear"/>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the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shd w:fill="FFFFFF" w:val="clear"/>
        </w:rPr>
        <w:t>A Note shall be deemed to have been converted immediately prior to the close of business on the date (the “</w:t>
      </w:r>
      <w:r>
        <w:rPr>
          <w:rFonts w:ascii="Times New Roman;Times;Serif" w:hAnsi="Times New Roman;Times;Serif"/>
          <w:b/>
          <w:i w:val="false"/>
          <w:caps w:val="false"/>
          <w:smallCaps w:val="false"/>
          <w:sz w:val="20"/>
          <w:shd w:fill="FFFFFF" w:val="clear"/>
        </w:rPr>
        <w:t>Conversion Date</w:t>
      </w:r>
      <w:r>
        <w:rPr>
          <w:rFonts w:ascii="Times New Roman;Times;Serif" w:hAnsi="Times New Roman;Times;Serif"/>
          <w:b w:val="false"/>
          <w:i w:val="false"/>
          <w:caps w:val="false"/>
          <w:smallCaps w:val="false"/>
          <w:sz w:val="20"/>
          <w:shd w:fill="FFFFFF" w:val="clear"/>
        </w:rPr>
        <w:t>”) that the Holder has complied with the requirements set forth in subsection (b) above. If any shares of Common Stock are due to a converting Holder, the Company shall issue or cause to be issued, and deliver (if applicable) to such Holder, or such Holder’s nominee or nominees, the full number of shares of Common Stock to which such Holder shall be entitled, in book-entry format through the Depositary, in satisfaction of the Company’s Conversion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shd w:fill="FFFFFF" w:val="clear"/>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shd w:fill="FFFFFF" w:val="clear"/>
        </w:rPr>
        <w:t>Except as provided in ‎Section 14.04, no adjustment shall be made for dividends on any shares of Common Stock issued upon the conversion of any Note as provided in this Article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shd w:fill="FFFFFF" w:val="clear"/>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shd w:fill="FFFFFF" w:val="clear"/>
        </w:rPr>
        <w:t xml:space="preserve">Upon conversion, a Holder shall not receive any separate cash payment for accrued and unpaid interest, if any, except as set forth below, and the Company shall not adjust the Conversion Rate for any accrued and unpaid interest, if any.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on such Regular Record Date); </w:t>
      </w:r>
      <w:r>
        <w:rPr>
          <w:rFonts w:ascii="Times New Roman;Times;Serif" w:hAnsi="Times New Roman;Times;Serif"/>
          <w:b w:val="false"/>
          <w:i/>
          <w:caps w:val="false"/>
          <w:smallCaps w:val="false"/>
          <w:sz w:val="20"/>
          <w:shd w:fill="FFFFFF" w:val="clear"/>
        </w:rPr>
        <w:t>provided</w:t>
      </w:r>
      <w:r>
        <w:rPr>
          <w:rFonts w:ascii="Times New Roman;Times;Serif" w:hAnsi="Times New Roman;Times;Serif"/>
          <w:b w:val="false"/>
          <w:i w:val="false"/>
          <w:caps w:val="false"/>
          <w:smallCaps w:val="false"/>
          <w:sz w:val="20"/>
          <w:shd w:fill="FFFFFF" w:val="clear"/>
        </w:rPr>
        <w:t xml:space="preserve"> that no such payment shall be required (1) for conversions following the close of business on the Regular Record Date immediately preceding the Maturity Date; (2) if the Company has specified a Fundamental Change Repurchase Date that is after a Regular Record Date and on or prior to the Business Day immediately following the corresponding Interest Payment Date; or (3) to the extent of any Defaulted Amounts, if any Defaulted Amounts exists at the time of conversion with respect to such Note. Therefore, for the avoidance of doubt, all Holders of record as of the close of business on the Regular Record Date immediately preceding the Maturity Date or any Fundamental Change Repurchase Date described in clause (2) above shall receive the full interest payment due on the Maturity Date or other applicable Interest Payment Date in cash regardless of whether their Notes have been converted following such Regular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shd w:fill="FFFFFF" w:val="clear"/>
        </w:rPr>
        <w:t>The Person in whose name any shares of Common Stock shall be issuable upon conversion shall be treated as a shareholder of record as of the close of business on the last Trading Day of the relevant Observation Period. Upon a conversion of Notes, such Person shall no longer be a Holder of such Notes surrendered for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shd w:fill="FFFFFF" w:val="clear"/>
        </w:rPr>
        <w:t>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if any, that shall be issued upon conversion thereof shall be computed on the basis of the aggregate Daily Settlement Amounts for the relevant Observation Period and any fractional shares remaining after such computation shall be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14.03. </w:t>
      </w:r>
      <w:r>
        <w:rPr>
          <w:rFonts w:ascii="Times New Roman;Times;Serif" w:hAnsi="Times New Roman;Times;Serif"/>
          <w:b w:val="false"/>
          <w:i/>
          <w:caps w:val="false"/>
          <w:smallCaps w:val="false"/>
          <w:sz w:val="20"/>
        </w:rPr>
        <w:t>Increased Conversion Rate Applicable to Certain Notes Surrendered in Connection with Make-Whole Fundamental Changes</w:t>
      </w:r>
      <w:r>
        <w:rPr>
          <w:rFonts w:ascii="Times New Roman;Times;Serif" w:hAnsi="Times New Roman;Times;Serif"/>
          <w:b w:val="false"/>
          <w:i w:val="false"/>
          <w:caps w:val="false"/>
          <w:smallCaps w:val="false"/>
          <w:sz w:val="20"/>
        </w:rPr>
        <w:t>. (a) If the Effective Date of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shares of Common Stock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close of business on the Business Day immediately prior to the related Fundamental Change Repurchase Date (or, in the case of an Exempted Fundamental Change or a Make-Whole Fundamental Change that would have been a Fundamental Change but for the proviso in clause (b) of the definition thereof, the 35th Trading Day immediately following the Effective Date of such Make-Whole Fundamental Change) (such period, the “</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surrender of Notes for conversion in connection with a Make-Whole Fundamental Change, the Company shall satisfy the related Conversion Obligation in accordance with ‎Section 14.02 based on the Conversion Rate as increased to reflect the Additional Shares pursuant to the table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at the effective time of a Make-Whole Fundamental Change described in clause (b) of the definition of Fundamental Change, the Reference Property following such Make-Whole Fundamental Change is composed entirely of cash, then, for any conversion of Notes with a Conversion Date occurring on or after the Effective Date of such Make-Whole Fundamental Change, the Conversion Obligation shall be calculated based solely on the Stock Price for the transaction and shall be deemed to be an amount of cash per $1,000 principal amount of converted Notes equal to the Conversion Rate on such Conversion Date (including any adjustment for Additional Shares),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such Stock Price. In such event, the Conversion Obligation shall be paid to Holders in cash on the second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Additional Shares, if any, by which the Conversion Rate shall be increased pursuant to this Section 14.03 shall be determined by reference to the table below, based on the date on which the Make-Whole Fundamental Change occurs or becomes effective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the price (the “</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paid (or deemed to be paid) per share of the Common Stock in the Make-Whole Fundamental Change.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Effective Date of the Make-Whole Fundamental Change. The Company shall make appropriate adjustments to the Stock Price, in its good faith determination, to account for any adjustment to the Conversion Rate that becomes effective, or any event requiring an adjustment to the Conversion Rate where the Ex-Dividend Date, Effective Date (as such term is used in Section 14.04) or expiration date of the event occurs during such five consecutive Trading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table sets forth the number of Additional Shares by which the Conversion Rate shall be increased per $1,000 principal amount of Notes pursuant to this Section 14.03 for each Stock Price and Effective Date set forth below:</w:t>
      </w:r>
    </w:p>
    <w:p>
      <w:pPr>
        <w:pStyle w:val="TextBody"/>
        <w:bidi w:val="0"/>
        <w:spacing w:before="0" w:after="0"/>
        <w:ind w:left="0" w:right="0" w:hanging="0"/>
        <w:jc w:val="left"/>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1520"/>
        <w:gridCol w:w="60"/>
        <w:gridCol w:w="125"/>
        <w:gridCol w:w="590"/>
        <w:gridCol w:w="60"/>
        <w:gridCol w:w="125"/>
        <w:gridCol w:w="590"/>
        <w:gridCol w:w="60"/>
        <w:gridCol w:w="125"/>
        <w:gridCol w:w="590"/>
        <w:gridCol w:w="60"/>
        <w:gridCol w:w="125"/>
        <w:gridCol w:w="590"/>
        <w:gridCol w:w="60"/>
        <w:gridCol w:w="125"/>
        <w:gridCol w:w="590"/>
        <w:gridCol w:w="60"/>
        <w:gridCol w:w="125"/>
        <w:gridCol w:w="590"/>
        <w:gridCol w:w="60"/>
        <w:gridCol w:w="125"/>
        <w:gridCol w:w="590"/>
        <w:gridCol w:w="60"/>
        <w:gridCol w:w="125"/>
        <w:gridCol w:w="590"/>
        <w:gridCol w:w="60"/>
        <w:gridCol w:w="125"/>
        <w:gridCol w:w="590"/>
        <w:gridCol w:w="75"/>
      </w:tblGrid>
      <w:tr>
        <w:trPr/>
        <w:tc>
          <w:tcPr>
            <w:tcW w:w="15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15"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26,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0.8478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Stock Price and Effective Date may not be set forth in the table above, in which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Stock Price is between two Stock Prices in the table above or the Effective Date is between two Effective Dates in the table above, the number of Additional Shares shall be determined by a straight-line interpolation between the number of Additional Shares set forth for the higher and lower Stock Prices and the earlier and later Effective Dates, as applicable, based on a 365-day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Stock Price is greater than $130.00 per share (subject to adjustment in the same manner as the Stock Prices set forth in the column headings of the table above pursuant to subsection (d) above), no Additional Shares shall be added to the Conversion Rate;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Stock Price is less than $42.89 per share (subject to adjustment in the same manner as the Stock Prices set forth in the column headings of the table above pursuant to subsection (d) above), no Additional Shares shall be added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Conversion Rate per $1,000 principal amount of Notes exceed 23.3154 shares of Common Stock, subject to adjustment in the same manner as the Conversion Rate pursuant to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in this Section 14.03 shall prevent an adjustment to the Conversion Rate that would otherwise be required pursuant to Section 14.04 in respect of a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w:t>
      </w:r>
      <w:r>
        <w:rPr>
          <w:rFonts w:ascii="Times New Roman;Times;Serif" w:hAnsi="Times New Roman;Times;Serif"/>
          <w:b w:val="false"/>
          <w:i/>
          <w:caps w:val="false"/>
          <w:smallCaps w:val="false"/>
          <w:sz w:val="20"/>
        </w:rPr>
        <w:t>. Adjustment of Conversion Rate.</w:t>
      </w:r>
      <w:r>
        <w:rPr>
          <w:rFonts w:ascii="Times New Roman;Times;Serif" w:hAnsi="Times New Roman;Times;Serif"/>
          <w:b w:val="false"/>
          <w:i w:val="false"/>
          <w:caps w:val="false"/>
          <w:smallCaps w:val="false"/>
          <w:sz w:val="20"/>
        </w:rPr>
        <w:t xml:space="preserve"> The Conversion Rate shall be adjusted from time to time by the Company if any of the following events occurs, except that the Company shall not make any adjustments to the Conversion Rate if Holders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principal amount (expressed in thousands) of Notes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to all or substantially all holders of the Common Stock shares of Common Stock as a dividend or distribution on shares of the Common Stock, or if the Company effects a share split or share combination in respect of the Common Stock,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906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
        <w:gridCol w:w="155"/>
        <w:gridCol w:w="9651"/>
      </w:tblGrid>
      <w:tr>
        <w:trPr/>
        <w:tc>
          <w:tcPr>
            <w:tcW w:w="399"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left"/>
              <w:rPr/>
            </w:pPr>
            <w:r>
              <w:rPr/>
              <w:t>the Conversion Rate in effect immediately after the open of business on such Ex-Dividend Date or Effective Date,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95" w:type="dxa"/>
            <w:tcBorders/>
            <w:vAlign w:val="center"/>
          </w:tcPr>
          <w:p>
            <w:pPr>
              <w:pStyle w:val="TableContents"/>
              <w:bidi w:val="0"/>
              <w:spacing w:before="0" w:after="283"/>
              <w:jc w:val="both"/>
              <w:rPr/>
            </w:pPr>
            <w:r>
              <w:rPr/>
              <w:t>the number of shares of Common Stock outstanding immediately prior to the open of business on such Ex-Dividend Date or Effective Date, as applicable (before giving effect to any such dividend, distribution, share split or share combination, as the case may be);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
        <w:gridCol w:w="155"/>
        <w:gridCol w:w="9674"/>
      </w:tblGrid>
      <w:tr>
        <w:trPr/>
        <w:tc>
          <w:tcPr>
            <w:tcW w:w="376"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left"/>
              <w:rPr/>
            </w:pPr>
            <w:r>
              <w:rPr/>
              <w:t>=</w:t>
            </w:r>
          </w:p>
        </w:tc>
        <w:tc>
          <w:tcPr>
            <w:tcW w:w="9674" w:type="dxa"/>
            <w:tcBorders/>
            <w:vAlign w:val="center"/>
          </w:tcPr>
          <w:p>
            <w:pPr>
              <w:pStyle w:val="TableContents"/>
              <w:bidi w:val="0"/>
              <w:spacing w:before="0" w:after="283"/>
              <w:jc w:val="left"/>
              <w:rPr/>
            </w:pPr>
            <w:r>
              <w:rPr/>
              <w:t>the number of shares of Common Stock outstanding immediately after giving effect to such dividend, distribution, share split or share combination, as the case may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issues to all or substantially all holders of the Common Stock any rights, options or warrants (other than a distribution of rights pursuant to a shareholder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00175"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0175"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issuance;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0" w:type="dxa"/>
          <w:right w:w="0" w:type="dxa"/>
        </w:tblCellMar>
      </w:tblPr>
      <w:tblGrid>
        <w:gridCol w:w="410"/>
        <w:gridCol w:w="155"/>
        <w:gridCol w:w="9125"/>
      </w:tblGrid>
      <w:tr>
        <w:trPr/>
        <w:tc>
          <w:tcPr>
            <w:tcW w:w="410"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95" w:type="dxa"/>
            <w:tcBorders/>
            <w:vAlign w:val="center"/>
          </w:tcPr>
          <w:p>
            <w:pPr>
              <w:pStyle w:val="TableContents"/>
              <w:bidi w:val="0"/>
              <w:spacing w:before="0" w:after="283"/>
              <w:jc w:val="both"/>
              <w:rPr/>
            </w:pPr>
            <w:r>
              <w:rPr/>
              <w:t>the number of shares of Common Stock outstanding immediately prior to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035" w:type="dxa"/>
        <w:jc w:val="left"/>
        <w:tblInd w:w="0" w:type="dxa"/>
        <w:tblLayout w:type="fixed"/>
        <w:tblCellMar>
          <w:top w:w="0" w:type="dxa"/>
          <w:left w:w="0" w:type="dxa"/>
          <w:bottom w:w="0" w:type="dxa"/>
          <w:right w:w="0" w:type="dxa"/>
        </w:tblCellMar>
      </w:tblPr>
      <w:tblGrid>
        <w:gridCol w:w="215"/>
        <w:gridCol w:w="155"/>
        <w:gridCol w:w="9665"/>
      </w:tblGrid>
      <w:tr>
        <w:trPr/>
        <w:tc>
          <w:tcPr>
            <w:tcW w:w="215" w:type="dxa"/>
            <w:tcBorders/>
            <w:vAlign w:val="center"/>
          </w:tcPr>
          <w:p>
            <w:pPr>
              <w:pStyle w:val="TableContents"/>
              <w:bidi w:val="0"/>
              <w:spacing w:before="0" w:after="283"/>
              <w:jc w:val="left"/>
              <w:rPr/>
            </w:pPr>
            <w:r>
              <w:rPr/>
              <w:t>X</w:t>
            </w:r>
          </w:p>
        </w:tc>
        <w:tc>
          <w:tcPr>
            <w:tcW w:w="15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the total number of shares of Common Stock issuable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155"/>
        <w:gridCol w:w="9835"/>
      </w:tblGrid>
      <w:tr>
        <w:trPr/>
        <w:tc>
          <w:tcPr>
            <w:tcW w:w="215" w:type="dxa"/>
            <w:tcBorders/>
            <w:vAlign w:val="center"/>
          </w:tcPr>
          <w:p>
            <w:pPr>
              <w:pStyle w:val="TableContents"/>
              <w:bidi w:val="0"/>
              <w:spacing w:before="0" w:after="283"/>
              <w:jc w:val="left"/>
              <w:rPr/>
            </w:pPr>
            <w:r>
              <w:rPr/>
              <w:t>Y</w:t>
            </w:r>
          </w:p>
        </w:tc>
        <w:tc>
          <w:tcPr>
            <w:tcW w:w="155"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left"/>
              <w:rPr/>
            </w:pPr>
            <w:r>
              <w:rPr/>
              <w:t xml:space="preserve">the number of shares of Common Stock equal to the aggregate price payable to exercise such rights, options or warrants, </w:t>
            </w:r>
            <w:r>
              <w:rPr>
                <w:i/>
              </w:rPr>
              <w:t>divided by</w:t>
            </w:r>
            <w:r>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14.04(b) and for the purpose of Section 14.01(b)(ii)(A), in determining whether any rights, options or warrants entitle the holders of the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have been effected but for the 1% Exception) pursuant to Section 14.04(a) or Section 14.04(b), (ii) dividends or distributions paid exclusively in cash as to which the provisions set forth in Section 14.04(d) shall apply, (iii) except as otherwise described in Section 14.11, a distribution of rights pursuant to a shareholder rights plan of the Company; (iv) distributions of Reference Property issued in exchange for, or upon conversion of, the Common Stock pursuant to Section 14.07;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then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0200"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0200"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0" w:type="dxa"/>
          <w:right w:w="0" w:type="dxa"/>
        </w:tblCellMar>
      </w:tblPr>
      <w:tblGrid>
        <w:gridCol w:w="410"/>
        <w:gridCol w:w="155"/>
        <w:gridCol w:w="9125"/>
      </w:tblGrid>
      <w:tr>
        <w:trPr/>
        <w:tc>
          <w:tcPr>
            <w:tcW w:w="410"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both"/>
              <w:rPr/>
            </w:pPr>
            <w:r>
              <w:rPr/>
              <w:t>=</w:t>
            </w:r>
          </w:p>
        </w:tc>
        <w:tc>
          <w:tcPr>
            <w:tcW w:w="9640" w:type="dxa"/>
            <w:tcBorders/>
            <w:vAlign w:val="center"/>
          </w:tcPr>
          <w:p>
            <w:pPr>
              <w:pStyle w:val="TableContents"/>
              <w:bidi w:val="0"/>
              <w:spacing w:before="0" w:after="283"/>
              <w:jc w:val="both"/>
              <w:rPr/>
            </w:pPr>
            <w:r>
              <w:rPr/>
              <w:t>the average of the Last Reported Sale Prices of the Common Stock over the 10 consecutive Trading Day period ending on, and including, the Trading Day immediately preceding the Ex-Dividend Date for such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155"/>
        <w:gridCol w:w="9490"/>
      </w:tblGrid>
      <w:tr>
        <w:trPr/>
        <w:tc>
          <w:tcPr>
            <w:tcW w:w="560" w:type="dxa"/>
            <w:tcBorders/>
            <w:vAlign w:val="center"/>
          </w:tcPr>
          <w:p>
            <w:pPr>
              <w:pStyle w:val="TableContents"/>
              <w:bidi w:val="0"/>
              <w:spacing w:before="0" w:after="283"/>
              <w:jc w:val="left"/>
              <w:rPr/>
            </w:pPr>
            <w:r>
              <w:rPr/>
              <w:t>FMV</w:t>
            </w:r>
          </w:p>
        </w:tc>
        <w:tc>
          <w:tcPr>
            <w:tcW w:w="155" w:type="dxa"/>
            <w:tcBorders/>
            <w:vAlign w:val="center"/>
          </w:tcPr>
          <w:p>
            <w:pPr>
              <w:pStyle w:val="TableContents"/>
              <w:bidi w:val="0"/>
              <w:spacing w:before="0" w:after="283"/>
              <w:jc w:val="left"/>
              <w:rPr/>
            </w:pPr>
            <w:r>
              <w:rPr/>
              <w:t>=</w:t>
            </w:r>
          </w:p>
        </w:tc>
        <w:tc>
          <w:tcPr>
            <w:tcW w:w="9490" w:type="dxa"/>
            <w:tcBorders/>
            <w:vAlign w:val="center"/>
          </w:tcPr>
          <w:p>
            <w:pPr>
              <w:pStyle w:val="TableContents"/>
              <w:bidi w:val="0"/>
              <w:spacing w:before="0" w:after="283"/>
              <w:jc w:val="left"/>
              <w:rPr/>
            </w:pPr>
            <w:r>
              <w:rPr/>
              <w:t>the fair market value (as determined by the Company in good faith) of the Distributed Property with respect to each outstanding share of the Common Stock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the portion of this Section 14.04(c) above shall become effective immediately after the open of business on the Ex-Dividend Date for such distribution. If such distribution is not so paid or made, the Conversion Rate shall be decreased to be equal to the Conversion Rate that would then be in effect if such distribution had not been declared. Notwithstanding the foregoing, if “FMV”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in respect of each $1,000 principal amount thereof, at the same time and upon the same terms as holders of the Common Stock and without having to convert its Note(s),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Section 14.04(c)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33550"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33550" cy="409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470"/>
        <w:gridCol w:w="155"/>
        <w:gridCol w:w="7835"/>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7835" w:type="dxa"/>
            <w:tcBorders/>
            <w:vAlign w:val="center"/>
          </w:tcPr>
          <w:p>
            <w:pPr>
              <w:pStyle w:val="TableContents"/>
              <w:bidi w:val="0"/>
              <w:spacing w:before="0" w:after="283"/>
              <w:jc w:val="both"/>
              <w:rPr/>
            </w:pPr>
            <w:r>
              <w:rPr/>
              <w:t>the Conversion Rate in effect immediately prior to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410"/>
        <w:gridCol w:w="155"/>
        <w:gridCol w:w="7565"/>
      </w:tblGrid>
      <w:tr>
        <w:trPr/>
        <w:tc>
          <w:tcPr>
            <w:tcW w:w="410"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pPr>
            <w:r>
              <w:rPr/>
              <w:t>the Conversion Rate in effect immediately after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155"/>
        <w:gridCol w:w="9385"/>
      </w:tblGrid>
      <w:tr>
        <w:trPr/>
        <w:tc>
          <w:tcPr>
            <w:tcW w:w="665" w:type="dxa"/>
            <w:tcBorders/>
            <w:vAlign w:val="center"/>
          </w:tcPr>
          <w:p>
            <w:pPr>
              <w:pStyle w:val="TableContents"/>
              <w:bidi w:val="0"/>
              <w:spacing w:before="0" w:after="283"/>
              <w:jc w:val="left"/>
              <w:rPr/>
            </w:pPr>
            <w:r>
              <w:rPr/>
              <w:t>FMV</w:t>
            </w:r>
            <w:r>
              <w:rPr>
                <w:position w:val="-2"/>
                <w:sz w:val="19"/>
              </w:rPr>
              <w:t>0</w:t>
            </w:r>
          </w:p>
        </w:tc>
        <w:tc>
          <w:tcPr>
            <w:tcW w:w="155" w:type="dxa"/>
            <w:tcBorders/>
            <w:vAlign w:val="center"/>
          </w:tcPr>
          <w:p>
            <w:pPr>
              <w:pStyle w:val="TableContents"/>
              <w:bidi w:val="0"/>
              <w:spacing w:before="0" w:after="283"/>
              <w:jc w:val="both"/>
              <w:rPr/>
            </w:pPr>
            <w:r>
              <w:rPr/>
              <w:t>=</w:t>
            </w:r>
          </w:p>
        </w:tc>
        <w:tc>
          <w:tcPr>
            <w:tcW w:w="9385" w:type="dxa"/>
            <w:tcBorders/>
            <w:vAlign w:val="center"/>
          </w:tcPr>
          <w:p>
            <w:pPr>
              <w:pStyle w:val="TableContents"/>
              <w:bidi w:val="0"/>
              <w:spacing w:before="0" w:after="283"/>
              <w:jc w:val="both"/>
              <w:rPr/>
            </w:pPr>
            <w:r>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b/>
              </w:rPr>
              <w:t>Valuation Period</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9540" w:type="dxa"/>
        <w:jc w:val="left"/>
        <w:tblInd w:w="0" w:type="dxa"/>
        <w:tblLayout w:type="fixed"/>
        <w:tblCellMar>
          <w:top w:w="0" w:type="dxa"/>
          <w:left w:w="0" w:type="dxa"/>
          <w:bottom w:w="0" w:type="dxa"/>
          <w:right w:w="0" w:type="dxa"/>
        </w:tblCellMar>
      </w:tblPr>
      <w:tblGrid>
        <w:gridCol w:w="485"/>
        <w:gridCol w:w="155"/>
        <w:gridCol w:w="8900"/>
      </w:tblGrid>
      <w:tr>
        <w:trPr/>
        <w:tc>
          <w:tcPr>
            <w:tcW w:w="485" w:type="dxa"/>
            <w:tcBorders/>
            <w:vAlign w:val="center"/>
          </w:tcPr>
          <w:p>
            <w:pPr>
              <w:pStyle w:val="TableContents"/>
              <w:bidi w:val="0"/>
              <w:spacing w:before="0" w:after="283"/>
              <w:jc w:val="left"/>
              <w:rPr/>
            </w:pPr>
            <w:r>
              <w:rPr/>
              <w:t>MP</w:t>
            </w:r>
            <w:r>
              <w:rPr>
                <w:position w:val="-2"/>
                <w:sz w:val="19"/>
              </w:rPr>
              <w:t>0</w:t>
            </w:r>
          </w:p>
        </w:tc>
        <w:tc>
          <w:tcPr>
            <w:tcW w:w="155"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the average of the Last Reported Sale Prices of the Common Stock over the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shall occur at the close of business on the last Trading Day of the Valuation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respect of any conversion of Notes, for any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14.04(a), Section 14.04(b) and this Section 14.04(c), if any dividend or distribution to which this Section 14.04(c) is applicable also includes one or both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dividend or distribution of shares of Common Stock to which Section 14.04(a) is applicable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dividend or distribution of rights, options or warrants to which Section 14.04(b) is applicable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(1) such dividend or distribution, other than the Clause A Distribution and the Clause B Distribution, shall be deemed to be a dividend or distribution to which this Section 14.04(c) is applicable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cash dividend or distribution is made to all or substantially all holders of the Common Stock, other than a regular, quarterly cash dividend that does not exceed $0.23 per share (the “</w:t>
      </w:r>
      <w:r>
        <w:rPr>
          <w:rFonts w:ascii="Times New Roman;Times;Serif" w:hAnsi="Times New Roman;Times;Serif"/>
          <w:b/>
          <w:i w:val="false"/>
          <w:caps w:val="false"/>
          <w:smallCaps w:val="false"/>
          <w:sz w:val="20"/>
        </w:rPr>
        <w:t>Initial Dividend Threshold</w:t>
      </w:r>
      <w:r>
        <w:rPr>
          <w:rFonts w:ascii="Times New Roman;Times;Serif" w:hAnsi="Times New Roman;Times;Serif"/>
          <w:b w:val="false"/>
          <w:i w:val="false"/>
          <w:caps w:val="false"/>
          <w:smallCaps w:val="false"/>
          <w:sz w:val="20"/>
        </w:rPr>
        <w:t>”),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667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
        <w:gridCol w:w="155"/>
        <w:gridCol w:w="9651"/>
      </w:tblGrid>
      <w:tr>
        <w:trPr/>
        <w:tc>
          <w:tcPr>
            <w:tcW w:w="399"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left"/>
              <w:rPr/>
            </w:pPr>
            <w:r>
              <w:rPr/>
              <w:t>the Conversion Rate in effect immediately after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both"/>
              <w:rPr/>
            </w:pPr>
            <w:r>
              <w:rPr/>
              <w:t>=</w:t>
            </w:r>
          </w:p>
        </w:tc>
        <w:tc>
          <w:tcPr>
            <w:tcW w:w="9640" w:type="dxa"/>
            <w:tcBorders/>
            <w:vAlign w:val="center"/>
          </w:tcPr>
          <w:p>
            <w:pPr>
              <w:pStyle w:val="TableContents"/>
              <w:bidi w:val="0"/>
              <w:spacing w:before="0" w:after="283"/>
              <w:jc w:val="both"/>
              <w:rPr/>
            </w:pPr>
            <w:r>
              <w:rPr/>
              <w:t>the Last Reported Sale Price of the Common Stock on the Trading Day immediately preceding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55"/>
        <w:gridCol w:w="9865"/>
      </w:tblGrid>
      <w:tr>
        <w:trPr/>
        <w:tc>
          <w:tcPr>
            <w:tcW w:w="185" w:type="dxa"/>
            <w:tcBorders/>
            <w:vAlign w:val="center"/>
          </w:tcPr>
          <w:p>
            <w:pPr>
              <w:pStyle w:val="TableContents"/>
              <w:bidi w:val="0"/>
              <w:spacing w:before="0" w:after="283"/>
              <w:jc w:val="left"/>
              <w:rPr/>
            </w:pPr>
            <w:r>
              <w:rPr/>
              <w:t>T</w:t>
            </w:r>
          </w:p>
        </w:tc>
        <w:tc>
          <w:tcPr>
            <w:tcW w:w="155" w:type="dxa"/>
            <w:tcBorders/>
            <w:vAlign w:val="center"/>
          </w:tcPr>
          <w:p>
            <w:pPr>
              <w:pStyle w:val="TableContents"/>
              <w:bidi w:val="0"/>
              <w:spacing w:before="0" w:after="283"/>
              <w:jc w:val="left"/>
              <w:rPr/>
            </w:pPr>
            <w:r>
              <w:rPr/>
              <w:t>=</w:t>
            </w:r>
          </w:p>
        </w:tc>
        <w:tc>
          <w:tcPr>
            <w:tcW w:w="9865" w:type="dxa"/>
            <w:tcBorders/>
            <w:vAlign w:val="center"/>
          </w:tcPr>
          <w:p>
            <w:pPr>
              <w:pStyle w:val="TableContents"/>
              <w:bidi w:val="0"/>
              <w:spacing w:before="0" w:after="283"/>
              <w:jc w:val="left"/>
              <w:rPr/>
            </w:pPr>
            <w:r>
              <w:rPr/>
              <w:t xml:space="preserve">the Initial Dividend Threshold; </w:t>
            </w:r>
            <w:r>
              <w:rPr>
                <w:i/>
              </w:rPr>
              <w:t xml:space="preserve">provided </w:t>
            </w:r>
            <w:r>
              <w:rPr/>
              <w:t>that if the dividend or distribution is not a regular quarterly cash dividend, the Initial Dividend Threshold will be deemed to be zero;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55"/>
        <w:gridCol w:w="9850"/>
      </w:tblGrid>
      <w:tr>
        <w:trPr/>
        <w:tc>
          <w:tcPr>
            <w:tcW w:w="200" w:type="dxa"/>
            <w:tcBorders/>
            <w:vAlign w:val="center"/>
          </w:tcPr>
          <w:p>
            <w:pPr>
              <w:pStyle w:val="TableContents"/>
              <w:bidi w:val="0"/>
              <w:spacing w:before="0" w:after="283"/>
              <w:jc w:val="left"/>
              <w:rPr/>
            </w:pPr>
            <w:r>
              <w:rPr/>
              <w:t>C</w:t>
            </w:r>
          </w:p>
        </w:tc>
        <w:tc>
          <w:tcPr>
            <w:tcW w:w="155"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left"/>
              <w:rPr/>
            </w:pPr>
            <w:r>
              <w:rPr/>
              <w:t>the aggregate amount in cash per share the Company distributes to all or substantially all holders of the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Dividend Threshold shall be subject to adjustment in a manner inversely proportional to adjustments to the Conversion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 will be made to the Initial Dividend Threshold for any adjustment to the Conversion Rate under this Section 14.04(d).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for each $1,000 principal amount of Notes it holds, at the same time and upon the same terms as holders of shares of the Common Stock and without having to convert its Note(s), the amount of cash that such Holder would have received if such Holder owned a number of shares of Common Stock equal to the Conversion Rate in effect on the Ex-Dividend Date for such cash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make a payment in respect of a tender or exchange offer for the Common Stock that is subject to the then applicable tender offer rules under the Exchange Act (other than (x) distributions paid exclusively in cash to which an adjustment is made pursuant to Section 14.04(d) or (y) an odd-lot tender offer pursuant to Rule 13e-4(h)(5) under the Exchange Act or any successor rule),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6215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62150" cy="4476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both"/>
              <w:rPr/>
            </w:pPr>
            <w:r>
              <w:rPr/>
              <w:t>=</w:t>
            </w:r>
          </w:p>
        </w:tc>
        <w:tc>
          <w:tcPr>
            <w:tcW w:w="9580" w:type="dxa"/>
            <w:tcBorders/>
            <w:vAlign w:val="center"/>
          </w:tcPr>
          <w:p>
            <w:pPr>
              <w:pStyle w:val="TableContents"/>
              <w:bidi w:val="0"/>
              <w:spacing w:before="0" w:after="283"/>
              <w:jc w:val="both"/>
              <w:rPr/>
            </w:pPr>
            <w:r>
              <w:rPr/>
              <w:t>the Conversion Rate in effect immediately prior to the close of business on the 10th Trading Day immediately following, and including, the Trading Day next succeeding the date such tender or exchange offer expires (the date such tender or exchange offer expires, the “</w:t>
            </w:r>
            <w:r>
              <w:rPr>
                <w:b/>
              </w:rPr>
              <w:t>Expiration Date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
        <w:gridCol w:w="155"/>
        <w:gridCol w:w="9662"/>
      </w:tblGrid>
      <w:tr>
        <w:trPr/>
        <w:tc>
          <w:tcPr>
            <w:tcW w:w="388" w:type="dxa"/>
            <w:tcBorders/>
            <w:vAlign w:val="center"/>
          </w:tcPr>
          <w:p>
            <w:pPr>
              <w:pStyle w:val="TableContents"/>
              <w:bidi w:val="0"/>
              <w:spacing w:before="0" w:after="283"/>
              <w:jc w:val="left"/>
              <w:rPr/>
            </w:pPr>
            <w:r>
              <w:rPr/>
              <w:t>CR'</w:t>
            </w:r>
          </w:p>
        </w:tc>
        <w:tc>
          <w:tcPr>
            <w:tcW w:w="155" w:type="dxa"/>
            <w:tcBorders/>
            <w:vAlign w:val="center"/>
          </w:tcPr>
          <w:p>
            <w:pPr>
              <w:pStyle w:val="TableContents"/>
              <w:bidi w:val="0"/>
              <w:spacing w:before="0" w:after="283"/>
              <w:jc w:val="left"/>
              <w:rPr/>
            </w:pPr>
            <w:r>
              <w:rPr/>
              <w:t>=</w:t>
            </w:r>
          </w:p>
        </w:tc>
        <w:tc>
          <w:tcPr>
            <w:tcW w:w="9662" w:type="dxa"/>
            <w:tcBorders/>
            <w:vAlign w:val="center"/>
          </w:tcPr>
          <w:p>
            <w:pPr>
              <w:pStyle w:val="TableContents"/>
              <w:bidi w:val="0"/>
              <w:spacing w:before="0" w:after="283"/>
              <w:jc w:val="left"/>
              <w:rPr/>
            </w:pPr>
            <w:r>
              <w:rPr/>
              <w:t>the Conversion Rate in effect immediately after the close of business on the 10th Trading Day immediately following, and including, the Trading Day next succeeding Expiration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55"/>
        <w:gridCol w:w="9670"/>
      </w:tblGrid>
      <w:tr>
        <w:trPr/>
        <w:tc>
          <w:tcPr>
            <w:tcW w:w="380" w:type="dxa"/>
            <w:tcBorders/>
            <w:vAlign w:val="center"/>
          </w:tcPr>
          <w:p>
            <w:pPr>
              <w:pStyle w:val="TableContents"/>
              <w:bidi w:val="0"/>
              <w:spacing w:before="0" w:after="283"/>
              <w:jc w:val="left"/>
              <w:rPr/>
            </w:pPr>
            <w:r>
              <w:rPr/>
              <w:t>AC</w:t>
            </w:r>
          </w:p>
        </w:tc>
        <w:tc>
          <w:tcPr>
            <w:tcW w:w="155"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pPr>
            <w:r>
              <w:rPr/>
              <w:t>the aggregate value of all cash and any other consideration (as determined by the Company in good faith) paid or payable for the shares of Common Stock purchased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both"/>
              <w:rPr/>
            </w:pPr>
            <w:r>
              <w:rPr/>
              <w:t>=</w:t>
            </w:r>
          </w:p>
        </w:tc>
        <w:tc>
          <w:tcPr>
            <w:tcW w:w="9595" w:type="dxa"/>
            <w:tcBorders/>
            <w:vAlign w:val="center"/>
          </w:tcPr>
          <w:p>
            <w:pPr>
              <w:pStyle w:val="TableContents"/>
              <w:bidi w:val="0"/>
              <w:spacing w:before="0" w:after="283"/>
              <w:jc w:val="both"/>
              <w:rPr/>
            </w:pPr>
            <w:r>
              <w:rPr/>
              <w:t>the number of shares of Common Stock outstanding immediately prior to the Expiration Date (prior to giving effect to the purchase of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155"/>
        <w:gridCol w:w="9682"/>
      </w:tblGrid>
      <w:tr>
        <w:trPr/>
        <w:tc>
          <w:tcPr>
            <w:tcW w:w="368" w:type="dxa"/>
            <w:tcBorders/>
            <w:vAlign w:val="center"/>
          </w:tcPr>
          <w:p>
            <w:pPr>
              <w:pStyle w:val="TableContents"/>
              <w:bidi w:val="0"/>
              <w:spacing w:before="0" w:after="283"/>
              <w:jc w:val="left"/>
              <w:rPr/>
            </w:pPr>
            <w:r>
              <w:rPr/>
              <w:t>OS'</w:t>
            </w:r>
          </w:p>
        </w:tc>
        <w:tc>
          <w:tcPr>
            <w:tcW w:w="155"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left"/>
              <w:rPr/>
            </w:pPr>
            <w:r>
              <w:rPr/>
              <w:t>the number of shares of Common Stock outstanding immediately after the Expiration Date (after giving effect to the purchase of all shares of Common Stock accepted for purchase or exchange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
        <w:gridCol w:w="155"/>
        <w:gridCol w:w="9724"/>
      </w:tblGrid>
      <w:tr>
        <w:trPr/>
        <w:tc>
          <w:tcPr>
            <w:tcW w:w="326" w:type="dxa"/>
            <w:tcBorders/>
            <w:vAlign w:val="center"/>
          </w:tcPr>
          <w:p>
            <w:pPr>
              <w:pStyle w:val="TableContents"/>
              <w:bidi w:val="0"/>
              <w:spacing w:before="0" w:after="283"/>
              <w:jc w:val="left"/>
              <w:rPr/>
            </w:pPr>
            <w:r>
              <w:rPr/>
              <w:t>SP'</w:t>
            </w:r>
          </w:p>
        </w:tc>
        <w:tc>
          <w:tcPr>
            <w:tcW w:w="155" w:type="dxa"/>
            <w:tcBorders/>
            <w:vAlign w:val="center"/>
          </w:tcPr>
          <w:p>
            <w:pPr>
              <w:pStyle w:val="TableContents"/>
              <w:bidi w:val="0"/>
              <w:spacing w:before="0" w:after="283"/>
              <w:jc w:val="left"/>
              <w:rPr/>
            </w:pPr>
            <w:r>
              <w:rPr/>
              <w:t>=</w:t>
            </w:r>
          </w:p>
        </w:tc>
        <w:tc>
          <w:tcPr>
            <w:tcW w:w="9724" w:type="dxa"/>
            <w:tcBorders/>
            <w:vAlign w:val="center"/>
          </w:tcPr>
          <w:p>
            <w:pPr>
              <w:pStyle w:val="TableContents"/>
              <w:bidi w:val="0"/>
              <w:spacing w:before="0" w:after="283"/>
              <w:jc w:val="left"/>
              <w:rPr/>
            </w:pPr>
            <w:r>
              <w:rPr/>
              <w:t>the average of the Last Reported Sale Prices of the Common Stock over the 10 consecutive Trading Day period commencing on, and including, the Trading Day next succeeding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respect of any conversion of Notes,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one of the Company’s Subsidiaries is obligated to purchase shares of Common Stock pursuant to any such tender or exchange offer described in this subsection (e) but the Company is,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adjustment to the Conversion Rate pursuant to this Section 14.04 for any dividend or distribution becomes effective on any Ex-Dividend Date as described in this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Note is to be converted and the related Cash Percentage for such conversion is greater than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Trading Day in the Observation Period for such conversion occurs on or after such Ex-Dividend Date and on or before the related Regular Record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consideration due with respect to such Trading Day includes any shares of the Common Stock based on a Conversion Rate that is adjusted for such dividend or distribution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such shares of the Common Stock would be entitled to participate in such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notwithstanding anything to the contrary, the Conversion Rate adjustment relating to such Ex-Dividend Date will be made for such conversion in respect of such Trading Day, but the shares of Common Stock issuable with respect to such Trading Day based on such adjusted Conversion Rate will not be entitled to participate in such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Company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Note, the Trustee and the Conversion Agent (if other than the Trustee) a notice of the increase at least 15 days prior to the date the increased Conversion Rate takes effect, and such notice shall state the increased Conversion Rate and the period during which it will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Article 14, the Conversion Rate shall not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shares of Common Stock or options or rights to purchase those shares pursuant to any present or future employee, director or consultant benefit or incentive plan or program of or assumed by the Company or any of the Company’s Subsidiaries (other than a rights plan as described in Section 14.11);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a third-party tender offer by any other party other than a tender offer by one or more of the Company’s Subsidiaries, as described in Section 14.04(e);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shares of the Common Stock pursuant to any option, warrant, right or exercisable, exchangeable or convertible security not described in clause (ii) of this subsection (i) and outstanding as of the date the Notes were first issued (other than a rights plan as described in Section 14.11);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repurchase of any shares of Common Stock pursuant to an open-market share repurchase program or other buy-back transaction (including, without limitation, through any structured or derivative transaction such as accelerated share repurchase transactions or other forward derivatives) that is not a tender offer or exchange offer of the nature described in Section 14.04(e)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solely for a change in the par value (or lack of par value) of the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for accrued and unpaid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All calculations and other determinations under this Article 14 shall be made by the Company and shall be made to the nearest one-ten thousandth (1/10,000th) of a share. The Company shall not be required to make an adjustment to the Conversion Rate pursuant to this Section 14.04 unless the adjustment would require a change of at least 1% in the Conversion Rate;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carry forward any adjustments that are less than 1% of the Conversion Rate and make such carried forward adjustments, regardless of whether the aggregate adjustment is at least 1%, (1) on the Effective Date for any Make-Whole Fundamental Change and/or the effective date of any Fundamental Change, (2) prior to the close of business on the Conversion Date in respect of any conversion following a replacement of the Common Stock by Reference Property consisting solely of cash, (3) prior to the open of business on each Trading Day of any Observation Period in respect of the conversion of any Note, (4) on the date on which all such deferred adjustments would result in an aggregate change to the Conversion Rate of at least 1% and (5) on February 15,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r>
      <w:r>
        <w:rPr>
          <w:rFonts w:ascii="Times New Roman;Times;Serif" w:hAnsi="Times New Roman;Times;Serif"/>
          <w:b w:val="false"/>
          <w:i/>
          <w:caps w:val="false"/>
          <w:smallCaps w:val="false"/>
          <w:sz w:val="20"/>
        </w:rPr>
        <w:t xml:space="preserve">. Adjustments of Prices. </w:t>
      </w:r>
      <w:r>
        <w:rPr>
          <w:rFonts w:ascii="Times New Roman;Times;Serif" w:hAnsi="Times New Roman;Times;Serif"/>
          <w:b w:val="false"/>
          <w:i w:val="false"/>
          <w:caps w:val="false"/>
          <w:smallCaps w:val="false"/>
          <w:sz w:val="20"/>
        </w:rPr>
        <w:t>Whenever any provision of this Indenture requires the Company to calculate the Last Reported Sale Prices, the Daily VWAPs, the Daily Conversion Values, the Daily Net Settlement Amounts or the Daily Settlement Amounts over a span of multiple days (including, without limitation, an Observation Period and the period for determining the Stock Price for purposes of a Make-Whole Fundamental Change), the Company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the Daily Net Settlement Amounts or the Daily Settlement Amounts are to be calculated. For the avoidance of doubt, the adjustments made pursuant to the foregoing paragraph shall be made, solely to the extent the Company determines in good faith and in a commercially reasonable manner that any such adjustment is appropriate and without duplication of any adjustment made pursuant to the provision set forth under 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w:t>
      </w:r>
      <w:r>
        <w:rPr>
          <w:rFonts w:ascii="Times New Roman;Times;Serif" w:hAnsi="Times New Roman;Times;Serif"/>
          <w:b w:val="false"/>
          <w:i/>
          <w:caps w:val="false"/>
          <w:smallCaps w:val="false"/>
          <w:sz w:val="20"/>
        </w:rPr>
        <w:t>. Shares to Be Fully Paid.</w:t>
      </w:r>
      <w:r>
        <w:rPr>
          <w:rFonts w:ascii="Times New Roman;Times;Serif" w:hAnsi="Times New Roman;Times;Serif"/>
          <w:b w:val="false"/>
          <w:i w:val="false"/>
          <w:caps w:val="false"/>
          <w:smallCaps w:val="false"/>
          <w:sz w:val="20"/>
        </w:rPr>
        <w:t xml:space="preserve"> The Company shall provide, free from preemptive rights, out of its authorized but unissued shares or shares held in treasury, sufficient shares of Common Stock to provide for conversion of the Notes from time to time as such Notes are presented for conversion (assuming delivery of the maximum number of shares of Common Stock that may be due upon conversion, the addition of the maximum number of Additional Shares to the Conversion Rate pursuant to Section 14.03 and that at the time of computation of such number of shares, all such Notes would be converted by a single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w:t>
      </w:r>
      <w:r>
        <w:rPr>
          <w:rFonts w:ascii="Times New Roman;Times;Serif" w:hAnsi="Times New Roman;Times;Serif"/>
          <w:b w:val="false"/>
          <w:i/>
          <w:caps w:val="false"/>
          <w:smallCaps w:val="false"/>
          <w:sz w:val="20"/>
        </w:rPr>
        <w:t>. Effect of Recapitalizations, Reclassifications and Changes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Common Stock (other than changes in par value or changes resulting from a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conveyance, lease or other transfer to a third party of all or substantially all of the consolidated assets of the Company and the Company’s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Common Stock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Share Exchange Event</w:t>
      </w:r>
      <w:r>
        <w:rPr>
          <w:rFonts w:ascii="Times New Roman;Times;Serif" w:hAnsi="Times New Roman;Times;Serif"/>
          <w:b w:val="false"/>
          <w:i w:val="false"/>
          <w:caps w:val="false"/>
          <w:smallCaps w:val="false"/>
          <w:sz w:val="20"/>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with each “</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xml:space="preserve">”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10.01(i) providing for such change in the right to convert each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and after the effective time of the Share Exchange Event, the Conversion Obligation shall be calculated and settlement in accordance with ‎Section 14.02 such that (A) the amount otherwise payable in cash upon conversion of the Notes as set forth under ‎Section 14.02 shall continue to be payable in cash, (B) the Company shall continue to have the right to elect to determine the form of consideration to be paid or delivered, as the case may be, in respect of the remainder, if any, of the Conversion Obligation in excess of the principal amount of the Notes being converted as set forth under ‎Section 14.02, (C) the number of shares of Common Stock, if any, otherwise deliverable upon conversion of the Notes in accordance with ‎Section 14.02 shall instead be deliverable in the amount and type of Reference Property that a holder of that number of shares of Common Stock would have received in such Share Exchange Event and (D) the Daily VWAP shall be calculated based on the value of a unit of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Share Exchange Event causes the Common Stock to be converted into, or exchanged for, the right to receive more than a single type of consideration (determined based in part upon any form of shareholder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in writing of such weighted average as soon as practicable after such determination is made.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price paid per share of Common Stock in such Share Exchange Event and (B) the Company shall satisfy the Conversion Obligation by paying cash to converting Holders on the second Business Day immediately following the relevant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supplemental indenture described in the second immediately preceding paragraph shall provide for anti-dilution and other adjustments that shall be as nearly equivalent as is possible to the adjustments provided for in this Article 14. If, in the case of any Share Exchange Event, the Reference Property includes shares of stock, securities or other property or assets (including cash or any combination thereof) of a Person other than the successor or purchasing corporation, as the case may be, in such Share Exchange Event, then such supplemental indenture shall also be executed by such other Person and shall contain such additional provisions to protect the interests of the Holders as the Company shall reasonably consider necessary by reason of the foregoing, including the provisions providing for the purchase rights set forth in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become a party to any Share Exchange Event unless its terms are consistent with this Section 14.07. None of the foregoing provisions shall affect the right of a Holder of Notes to convert its Notes into cash and shares of Common Stock, if any, as set forth in Section 14.01 and Section 14.02 prior to the effective date of such Share Exchange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above provisions of this Section 14.07 shall similarly apply to successive Share Exchange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any Share Exchange Event, the Initial Dividend Threshold shall be subject to adjustment as described in clause (i), clause (ii) or clause (iii) below,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Share Exchange Event in which the Reference Property (determined, as appropriate, pursuant to subsection (a) above and excluding any dissenters’ statutory appraisal rights) is composed entirely of shares of common stock (the “</w:t>
      </w:r>
      <w:r>
        <w:rPr>
          <w:rFonts w:ascii="Times New Roman;Times;Serif" w:hAnsi="Times New Roman;Times;Serif"/>
          <w:b/>
          <w:i w:val="false"/>
          <w:caps w:val="false"/>
          <w:smallCaps w:val="false"/>
          <w:sz w:val="20"/>
        </w:rPr>
        <w:t>Share Exchange Common Stock</w:t>
      </w:r>
      <w:r>
        <w:rPr>
          <w:rFonts w:ascii="Times New Roman;Times;Serif" w:hAnsi="Times New Roman;Times;Serif"/>
          <w:b w:val="false"/>
          <w:i w:val="false"/>
          <w:caps w:val="false"/>
          <w:smallCaps w:val="false"/>
          <w:sz w:val="20"/>
        </w:rPr>
        <w:t xml:space="preserve">”), the Initial Dividend Threshold at and after the effective time of such Share Exchange Event will be equal to (x) the Initial Dividend Threshold immediately prior to the effective time of such Share Exchange Event,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(y) the number of shares of Share Exchange Common Stock that a holder of one share of Common Stock would receive in such Share Exchange Event (such quotient rounded down to the nearest 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 Share Exchange Event in which the Reference Property (determined, as appropriate, pursuant to subsection (a) above and excluding any dissenters’ statutory appraisal rights) is composed in part of shares of Share Exchange Common Stock, the Initial Dividend Threshold at and after the effective time of such Share Exchange Event will be equal to (x) the Initial Dividend Threshold immediately prior to the effective time of such Share Exchange Event,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(y) the Share Exchange Valuation Percentage for such Share Exchange Event (such product rounded down to the nearest 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avoidance of doubt, in the case of a Share Exchange Event in which the Reference Property (determined, as appropriate, pursuant to subsection (a) above and excluding any dissenters’ statutory appraisal rights) is composed entirely of consideration other than shares of common stock, the Initial Dividend Threshold at and after the effective time of such Share Exchange Event will be equal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w:t>
      </w:r>
      <w:r>
        <w:rPr>
          <w:rFonts w:ascii="Times New Roman;Times;Serif" w:hAnsi="Times New Roman;Times;Serif"/>
          <w:b w:val="false"/>
          <w:i/>
          <w:caps w:val="false"/>
          <w:smallCaps w:val="false"/>
          <w:sz w:val="20"/>
        </w:rPr>
        <w:t>. Certain Covenants.</w:t>
      </w:r>
      <w:r>
        <w:rPr>
          <w:rFonts w:ascii="Times New Roman;Times;Serif" w:hAnsi="Times New Roman;Times;Serif"/>
          <w:b w:val="false"/>
          <w:i w:val="false"/>
          <w:caps w:val="false"/>
          <w:smallCaps w:val="false"/>
          <w:sz w:val="20"/>
        </w:rPr>
        <w:t xml:space="preserve"> (a) The Company covenants that all shares of Common Stock issued upon conversion of Notes will be fully paid and non-assessable by the Company and free from all taxes, liens and charges with respect to the issue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w:t>
      </w:r>
      <w:r>
        <w:rPr>
          <w:rFonts w:ascii="Times New Roman;Times;Serif" w:hAnsi="Times New Roman;Times;Serif"/>
          <w:b w:val="false"/>
          <w:i/>
          <w:caps w:val="false"/>
          <w:smallCaps w:val="false"/>
          <w:sz w:val="20"/>
        </w:rPr>
        <w:t>. Responsibility of Trustee.</w:t>
      </w:r>
      <w:r>
        <w:rPr>
          <w:rFonts w:ascii="Times New Roman;Times;Serif" w:hAnsi="Times New Roman;Times;Serif"/>
          <w:b w:val="false"/>
          <w:i w:val="false"/>
          <w:caps w:val="false"/>
          <w:smallCaps w:val="false"/>
          <w:sz w:val="20"/>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14.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w:t>
      </w:r>
      <w:r>
        <w:rPr>
          <w:rFonts w:ascii="Times New Roman;Times;Serif" w:hAnsi="Times New Roman;Times;Serif"/>
          <w:b w:val="false"/>
          <w:i/>
          <w:caps w:val="false"/>
          <w:smallCaps w:val="false"/>
          <w:sz w:val="20"/>
        </w:rPr>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w:t>
      </w:r>
      <w:r>
        <w:rPr>
          <w:rFonts w:ascii="Times New Roman;Times;Serif" w:hAnsi="Times New Roman;Times;Serif"/>
          <w:b w:val="false"/>
          <w:i/>
          <w:caps w:val="false"/>
          <w:smallCaps w:val="false"/>
          <w:sz w:val="20"/>
        </w:rPr>
        <w:t>. Shareholder Rights Plans.</w:t>
      </w:r>
      <w:r>
        <w:rPr>
          <w:rFonts w:ascii="Times New Roman;Times;Serif" w:hAnsi="Times New Roman;Times;Serif"/>
          <w:b w:val="false"/>
          <w:i w:val="false"/>
          <w:caps w:val="false"/>
          <w:smallCaps w:val="false"/>
          <w:sz w:val="20"/>
        </w:rPr>
        <w:t xml:space="preserve"> If the Company has a shareholder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shareholder rights plan, as the same may be amended from time to time. However, if, prior to any conversion of Notes, the rights have separated from the shares of Common Stock in accordance with the provisions of the applicable shareholder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w:t>
      </w:r>
      <w:r>
        <w:rPr>
          <w:rFonts w:ascii="Times New Roman;Times;Serif" w:hAnsi="Times New Roman;Times;Serif"/>
          <w:b w:val="false"/>
          <w:i/>
          <w:caps w:val="false"/>
          <w:smallCaps w:val="false"/>
          <w:sz w:val="20"/>
        </w:rPr>
        <w:t xml:space="preserve">. Exchange in lieu of conversion. </w:t>
      </w:r>
      <w:r>
        <w:rPr>
          <w:rFonts w:ascii="Times New Roman;Times;Serif" w:hAnsi="Times New Roman;Times;Serif"/>
          <w:b w:val="false"/>
          <w:i w:val="false"/>
          <w:caps w:val="false"/>
          <w:smallCaps w:val="false"/>
          <w:sz w:val="20"/>
        </w:rPr>
        <w:t>(a) When a Holder surrenders its Notes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direct the Conversion Agent in writing to deliver, on or prior to the Trading Day immediately following the Conversion Date, such Notes to one or more financial institutions designated by the Company (each, a “</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for exchange in lieu of conversion. In order to accept any Notes surrendered for conversion, the Designated Financial Institution(s) must agree to timely pay and deliver, as the case may be, in exchange for such Notes, cash up to the aggregate principal amount of such Notes, and cash, shares of Common Stock or a combination of cash and shares of Common Stock, at the Company’s election, in respect of the remainder if any, of the Company’s Conversion Obligation in excess of the aggregate principal amount of such Notes that would otherwise be due upon conversion pursuant to Section 14.02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If the Company makes an Exchange Election, the Company shall, before the close of business on the Trading Day immediately following the relevant Conversion Date, notify in writing the Trustee, the Conversion Agent (if other than the Trustee) and the Holder surrendering its Notes for conversion that the Company has made the Exchange Election, and the Company shall notify the Designated Financial Institution(s) of the relevant deadline for delivery of the Conversion Consideration and the type of Conversion Consideration to be paid and delivered,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delivered to the Designated Financial Institution(s) shall remain outstanding, subject to applicable procedures of the Depositary. If the Designated Financial Institution(s) agree(s) to accept any Notes for exchange but does not timely pay and deliver, as the case may be, the related Conversion Consideration, or if such Designated Financial Institution does not accept the Notes for exchange, the Company shall pay and deliver, as the case may be, the relevant Conversion Consideration as, and at the time, required pursuant to this Indenture as if the Company had not made the Exchange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designation of any Designated Financial Institution(s) to which the Notes may be submitted for exchange does not require such Designated Financial Institution(s) to accept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15</w:t>
      </w:r>
      <w:r>
        <w:rPr>
          <w:rFonts w:ascii="Times New Roman;Times;Serif" w:hAnsi="Times New Roman;Times;Serif"/>
          <w:b w:val="false"/>
          <w:i w:val="false"/>
          <w:smallCaps/>
          <w:sz w:val="20"/>
        </w:rPr>
        <w:br/>
        <w:t>Repurchase of Notes at Option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r>
      <w:r>
        <w:rPr>
          <w:rFonts w:ascii="Times New Roman;Times;Serif" w:hAnsi="Times New Roman;Times;Serif"/>
          <w:b w:val="false"/>
          <w:i/>
          <w:caps w:val="false"/>
          <w:smallCaps w:val="false"/>
          <w:sz w:val="20"/>
        </w:rPr>
        <w:t>.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w:t>
      </w:r>
      <w:r>
        <w:rPr>
          <w:rFonts w:ascii="Times New Roman;Times;Serif" w:hAnsi="Times New Roman;Times;Serif"/>
          <w:b w:val="false"/>
          <w:i/>
          <w:caps w:val="false"/>
          <w:smallCaps w:val="false"/>
          <w:sz w:val="20"/>
        </w:rPr>
        <w:t>. Repurchase at Option of Holders Upon a Fundamental Change.</w:t>
      </w:r>
      <w:r>
        <w:rPr>
          <w:rFonts w:ascii="Times New Roman;Times;Serif" w:hAnsi="Times New Roman;Times;Serif"/>
          <w:b w:val="false"/>
          <w:i w:val="false"/>
          <w:caps w:val="false"/>
          <w:smallCaps w:val="false"/>
          <w:sz w:val="20"/>
        </w:rPr>
        <w:t xml:space="preserve"> (a) If a Fundamental Change (other than an Exempted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specified by the Company that is not less than 20 calendar days or more than 35 calendar days following the date of the Fundamental Change Company Notice at a repurchase price equal to 100% of the principal amount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thereon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 The Fundamental Change Repurchase Date shall be subject to postponement in order to allow the Company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Repurchases of Notes under this Section 15.02 shall be made, at the option of the Holder thereof,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Notes to be repurchased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Physical Notes, the certificate numbers of the Notes to be delivered for repurchase, which must be $1,000 or an integral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portion of the principal amount of Notes to be repurchased, which must be $1,000 or an integral multiple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the Notes are to be repurchased by the Company pursuant to the applicable provisions of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the Fundamental Change Repurchase Notice must comply with appropriate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Fundamental Change Repurchase Notice or written notice of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20th calendar day after the occurrence of the effective date of a Fundamental Change (other than an Exempted Fundamental Change), the Company shall provide to all Holders of Notes and the Trustee and the Paying Agent (in the case of a Paying Agent other than the Trustee) a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the effective date of such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through a press release or through such other public medium as the Company may use at that time. Each Fundamental Change Company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may exercise the repurchase right pursuant to this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the Notes with respect to which a Fundamental Change Repurchase Notice has been delivered by a Holder may be converted only if the Holder validly withdraws the Fundamental Change Repurchase Notice in accordance with the terms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repurchase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notices and no defect therein shall limit the Holders’ repurchase rights or affect the validity of the proceedings for the repurchase of the Notes pursuant to this Section 15.02.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written request given at least three (3) Business Days before such notice is to be sent (or such shorter period as shall be acceptable to the Trustee),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Fundamental Change Company Notice shall be prepared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Article 15, the Company shall not be required to repurchase, or make an offer to repurchase, the Notes upon a Fundamental Change if a third party Person makes such an offer in the same manner, at the same time and otherwise in compliance with the terms and conditions set forth herein applicable to an offer made by the Company to repurchase the Notes upon a Fundamental Change, and such third party purchases all Notes properly surrendered and not validly withdrawn under such offer in the same manner, at the same time and otherwise in compliance with the requirements for such an offer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Article 15, the Company shall not be required to send a Fundamental Change Company Notice, or offer to repurchase or repurchase any Notes, in each case, as described in this Section 15.02, in connection with any Exempted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w:t>
      </w:r>
      <w:r>
        <w:rPr>
          <w:rFonts w:ascii="Times New Roman;Times;Serif" w:hAnsi="Times New Roman;Times;Serif"/>
          <w:b w:val="false"/>
          <w:i/>
          <w:caps w:val="false"/>
          <w:smallCaps w:val="false"/>
          <w:sz w:val="20"/>
        </w:rPr>
        <w:t>. Withdrawal of Fundamental Change Repurchase Notice.</w:t>
      </w:r>
      <w:r>
        <w:rPr>
          <w:rFonts w:ascii="Times New Roman;Times;Serif" w:hAnsi="Times New Roman;Times;Serif"/>
          <w:b w:val="false"/>
          <w:i w:val="false"/>
          <w:caps w:val="false"/>
          <w:smallCaps w:val="false"/>
          <w:sz w:val="20"/>
        </w:rPr>
        <w:t xml:space="preserv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Notes with respect to which such notice of withdrawal is being submitted, which portion must be in principal amounts of $1,000 or an integral multiple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Physical Notes have been issued, the certificate number of the Note in respect of which such notice of withdrawal is being submitted,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of such Note that remains subject to the original Fundamental Change Repurchase Notice, which portion must be in principal amounts of $1,000 or an integral multiple of $1,000;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the notice must comply with appropriate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w:t>
      </w:r>
      <w:r>
        <w:rPr>
          <w:rFonts w:ascii="Times New Roman;Times;Serif" w:hAnsi="Times New Roman;Times;Serif"/>
          <w:b w:val="false"/>
          <w:i/>
          <w:caps w:val="false"/>
          <w:smallCaps w:val="false"/>
          <w:sz w:val="20"/>
        </w:rPr>
        <w:t>. Deposit of Fundamental Change Repurchase Price.</w:t>
      </w:r>
      <w:r>
        <w:rPr>
          <w:rFonts w:ascii="Times New Roman;Times;Serif" w:hAnsi="Times New Roman;Times;Serif"/>
          <w:b w:val="false"/>
          <w:i w:val="false"/>
          <w:caps w:val="false"/>
          <w:smallCaps w:val="false"/>
          <w:sz w:val="20"/>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and, if applicable, accrued and unpaid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15.05. </w:t>
      </w:r>
      <w:r>
        <w:rPr>
          <w:rFonts w:ascii="Times New Roman;Times;Serif" w:hAnsi="Times New Roman;Times;Serif"/>
          <w:b w:val="false"/>
          <w:i/>
          <w:caps w:val="false"/>
          <w:smallCaps w:val="false"/>
          <w:sz w:val="20"/>
        </w:rPr>
        <w:t>Covenant to Comply with Applicable Laws Upon Repurchase of Notes</w:t>
      </w:r>
      <w:r>
        <w:rPr>
          <w:rFonts w:ascii="Times New Roman;Times;Serif" w:hAnsi="Times New Roman;Times;Serif"/>
          <w:b w:val="false"/>
          <w:i w:val="false"/>
          <w:caps w:val="false"/>
          <w:smallCaps w:val="false"/>
          <w:sz w:val="20"/>
        </w:rPr>
        <w:t>. In connection with any repurchase offer, the Company will, if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with the provisions of Rule 13e-4, Rule 14e-1 and any other tender offer rules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a Schedule TO or any other required schedule under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otherwise comply in all material respects with all federal and state securities laws in connection with any offer by the Company to repurchase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so as to permit the rights and obligations under this Article 15 to be exercised in the time and in the manner specified in this Article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16</w:t>
      </w:r>
      <w:r>
        <w:rPr>
          <w:rFonts w:ascii="Times New Roman;Times;Serif" w:hAnsi="Times New Roman;Times;Serif"/>
          <w:b w:val="false"/>
          <w:i w:val="false"/>
          <w:smallCaps/>
          <w:sz w:val="20"/>
        </w:rPr>
        <w:br/>
        <w:t>No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16.01. </w:t>
      </w:r>
      <w:r>
        <w:rPr>
          <w:rFonts w:ascii="Times New Roman;Times;Serif" w:hAnsi="Times New Roman;Times;Serif"/>
          <w:b w:val="false"/>
          <w:i/>
          <w:caps w:val="false"/>
          <w:smallCaps w:val="false"/>
          <w:sz w:val="20"/>
        </w:rPr>
        <w:t>No Redemption</w:t>
      </w:r>
      <w:r>
        <w:rPr>
          <w:rFonts w:ascii="Times New Roman;Times;Serif" w:hAnsi="Times New Roman;Times;Serif"/>
          <w:b w:val="false"/>
          <w:i w:val="false"/>
          <w:caps w:val="false"/>
          <w:smallCaps w:val="false"/>
          <w:sz w:val="20"/>
        </w:rPr>
        <w:t>. The Notes shall not be redeemable by the Company prior to the Maturity Date and no sinking fund is provided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17</w:t>
      </w:r>
      <w:r>
        <w:rPr>
          <w:rFonts w:ascii="Times New Roman;Times;Serif" w:hAnsi="Times New Roman;Times;Serif"/>
          <w:b w:val="false"/>
          <w:i w:val="false"/>
          <w:smallCaps/>
          <w:sz w:val="20"/>
        </w:rPr>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w:t>
      </w:r>
      <w:r>
        <w:rPr>
          <w:rFonts w:ascii="Times New Roman;Times;Serif" w:hAnsi="Times New Roman;Times;Serif"/>
          <w:b w:val="false"/>
          <w:i/>
          <w:caps w:val="false"/>
          <w:smallCaps w:val="false"/>
          <w:sz w:val="20"/>
        </w:rPr>
        <w:t>. Provisions Binding on Company’s Successors.</w:t>
      </w:r>
      <w:r>
        <w:rPr>
          <w:rFonts w:ascii="Times New Roman;Times;Serif" w:hAnsi="Times New Roman;Times;Serif"/>
          <w:b w:val="false"/>
          <w:i w:val="false"/>
          <w:caps w:val="false"/>
          <w:smallCaps w:val="false"/>
          <w:sz w:val="20"/>
        </w:rPr>
        <w:t xml:space="preserve"> All the covenants, stipulations, promises and agreements of the Company contained in this Indenture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w:t>
      </w:r>
      <w:r>
        <w:rPr>
          <w:rFonts w:ascii="Times New Roman;Times;Serif" w:hAnsi="Times New Roman;Times;Serif"/>
          <w:b w:val="false"/>
          <w:i/>
          <w:caps w:val="false"/>
          <w:smallCaps w:val="false"/>
          <w:sz w:val="20"/>
        </w:rPr>
        <w:t>. Official Acts by Successor Corporation.</w:t>
      </w:r>
      <w:r>
        <w:rPr>
          <w:rFonts w:ascii="Times New Roman;Times;Serif" w:hAnsi="Times New Roman;Times;Serif"/>
          <w:b w:val="false"/>
          <w:i w:val="false"/>
          <w:caps w:val="false"/>
          <w:smallCaps w:val="false"/>
          <w:sz w:val="20"/>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w:t>
      </w:r>
      <w:r>
        <w:rPr>
          <w:rFonts w:ascii="Times New Roman;Times;Serif" w:hAnsi="Times New Roman;Times;Serif"/>
          <w:b w:val="false"/>
          <w:i/>
          <w:caps w:val="false"/>
          <w:smallCaps w:val="false"/>
          <w:sz w:val="20"/>
        </w:rPr>
        <w:t>. Addresses for Notices, Etc.</w:t>
      </w:r>
      <w:r>
        <w:rPr>
          <w:rFonts w:ascii="Times New Roman;Times;Serif" w:hAnsi="Times New Roman;Times;Serif"/>
          <w:b w:val="false"/>
          <w:i w:val="false"/>
          <w:caps w:val="false"/>
          <w:smallCaps w:val="false"/>
          <w:sz w:val="20"/>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CenterPoint Energy, Inc., 1111 Louisiana St., Houston, Texas 77002, Attention: Treasurer.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approvals, consents, requests and any communications hereunder that is required to be signed must be in writing in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17.04</w:t>
      </w:r>
      <w:r>
        <w:rPr>
          <w:rFonts w:ascii="Times New Roman;Times;Serif" w:hAnsi="Times New Roman;Times;Serif"/>
          <w:b w:val="false"/>
          <w:i/>
          <w:caps w:val="false"/>
          <w:smallCaps w:val="false"/>
          <w:sz w:val="20"/>
        </w:rPr>
        <w:t>. Governing Law; Jurisdiction.</w:t>
      </w:r>
      <w:r>
        <w:rPr>
          <w:rFonts w:ascii="Times New Roman;Times;Serif" w:hAnsi="Times New Roman;Times;Serif"/>
          <w:b w:val="false"/>
          <w:i w:val="false"/>
          <w:caps w:val="false"/>
          <w:smallCaps w:val="false"/>
          <w:sz w:val="20"/>
        </w:rPr>
        <w:t xml:space="preserve"> THIS INDENTURE AND EACH NOTE, AND ANY CLAIM, CONTROVERSY OR DISPUTE ARISING UNDER OR RELATED TO THIS INDENTURE AND EACH NOTE, SHALL BE GOVERNED BY, AND CONSTRUED IN ACCORDANCE WITH, THE LAWS OF THE STATE OF NEW YORK (WITHOUT REGARD TO THE CONFLICTS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w:t>
      </w:r>
      <w:r>
        <w:rPr>
          <w:rFonts w:ascii="Times New Roman;Times;Serif" w:hAnsi="Times New Roman;Times;Serif"/>
          <w:b w:val="false"/>
          <w:i/>
          <w:caps w:val="false"/>
          <w:smallCaps w:val="false"/>
          <w:sz w:val="20"/>
        </w:rPr>
        <w:t>. Evidence of Compliance with Conditions Precedent; Certificates and Opinions of Counsel to Trustee.</w:t>
      </w:r>
      <w:r>
        <w:rPr>
          <w:rFonts w:ascii="Times New Roman;Times;Serif" w:hAnsi="Times New Roman;Times;Serif"/>
          <w:b w:val="false"/>
          <w:i w:val="false"/>
          <w:caps w:val="false"/>
          <w:smallCaps w:val="false"/>
          <w:sz w:val="20"/>
        </w:rPr>
        <w:t xml:space="preserve">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w:t>
      </w:r>
      <w:r>
        <w:rPr>
          <w:rFonts w:ascii="Times New Roman;Times;Serif" w:hAnsi="Times New Roman;Times;Serif"/>
          <w:b w:val="false"/>
          <w:i/>
          <w:caps w:val="false"/>
          <w:smallCaps w:val="false"/>
          <w:sz w:val="20"/>
        </w:rPr>
        <w:t>. Legal Holidays.</w:t>
      </w:r>
      <w:r>
        <w:rPr>
          <w:rFonts w:ascii="Times New Roman;Times;Serif" w:hAnsi="Times New Roman;Times;Serif"/>
          <w:b w:val="false"/>
          <w:i w:val="false"/>
          <w:caps w:val="false"/>
          <w:smallCaps w:val="false"/>
          <w:sz w:val="20"/>
        </w:rPr>
        <w:t xml:space="preserve"> In any case where any Interest Payment Date, any Fundamental Change Repurchase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with the same force and effect as if taken on the relevant payment date, and no interest shall accrue in respect of the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w:t>
      </w:r>
      <w:r>
        <w:rPr>
          <w:rFonts w:ascii="Times New Roman;Times;Serif" w:hAnsi="Times New Roman;Times;Serif"/>
          <w:b w:val="false"/>
          <w:i/>
          <w:caps w:val="false"/>
          <w:smallCaps w:val="false"/>
          <w:sz w:val="20"/>
        </w:rPr>
        <w:t>. No Security Interest Created.</w:t>
      </w:r>
      <w:r>
        <w:rPr>
          <w:rFonts w:ascii="Times New Roman;Times;Serif" w:hAnsi="Times New Roman;Times;Serif"/>
          <w:b w:val="false"/>
          <w:i w:val="false"/>
          <w:caps w:val="false"/>
          <w:smallCaps w:val="false"/>
          <w:sz w:val="20"/>
        </w:rPr>
        <w:t xml:space="preserve"> 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w:t>
      </w:r>
      <w:r>
        <w:rPr>
          <w:rFonts w:ascii="Times New Roman;Times;Serif" w:hAnsi="Times New Roman;Times;Serif"/>
          <w:b w:val="false"/>
          <w:i/>
          <w:caps w:val="false"/>
          <w:smallCaps w:val="false"/>
          <w:sz w:val="20"/>
        </w:rPr>
        <w:t>. Benefits of Indenture.</w:t>
      </w:r>
      <w:r>
        <w:rPr>
          <w:rFonts w:ascii="Times New Roman;Times;Serif" w:hAnsi="Times New Roman;Times;Serif"/>
          <w:b w:val="false"/>
          <w:i w:val="false"/>
          <w:caps w:val="false"/>
          <w:smallCaps w:val="false"/>
          <w:sz w:val="20"/>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w:t>
      </w:r>
      <w:r>
        <w:rPr>
          <w:rFonts w:ascii="Times New Roman;Times;Serif" w:hAnsi="Times New Roman;Times;Serif"/>
          <w:b w:val="false"/>
          <w:i/>
          <w:caps w:val="false"/>
          <w:smallCaps w:val="false"/>
          <w:sz w:val="20"/>
        </w:rPr>
        <w:t>. Table of Contents, Headings, Etc.</w:t>
      </w:r>
      <w:r>
        <w:rPr>
          <w:rFonts w:ascii="Times New Roman;Times;Serif" w:hAnsi="Times New Roman;Times;Serif"/>
          <w:b w:val="false"/>
          <w:i w:val="false"/>
          <w:caps w:val="false"/>
          <w:smallCaps w:val="false"/>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w:t>
      </w:r>
      <w:r>
        <w:rPr>
          <w:rFonts w:ascii="Times New Roman;Times;Serif" w:hAnsi="Times New Roman;Times;Serif"/>
          <w:b w:val="false"/>
          <w:i/>
          <w:caps w:val="false"/>
          <w:smallCaps w:val="false"/>
          <w:sz w:val="20"/>
        </w:rPr>
        <w:t>. Authenticating Agent.</w:t>
      </w:r>
      <w:r>
        <w:rPr>
          <w:rFonts w:ascii="Times New Roman;Times;Serif" w:hAnsi="Times New Roman;Times;Serif"/>
          <w:b w:val="false"/>
          <w:i w:val="false"/>
          <w:caps w:val="false"/>
          <w:smallCaps w:val="false"/>
          <w:sz w:val="20"/>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17.10, the Trustee may appoint a successor authenticating agent (which may be the Trustee), shall give written notice of such appointment to the Company and shall deliver notice of such appointment to all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authenticating agent from time to time reasonable compensation for its services although the Company may terminate the authenticating agent, if it determines such agent’s fees to be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 7.02, Section 7.03, Section 7.04, Section 8.03 and this Section 17.10 shall be applicable to any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authenticating agent is appointed pursuant to this Section 17.10, the Notes may have endorsed thereon, in addition to the Trustee’s certificate of authentication, an alternative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br/>
        <w:t>as Authenticating Agent, certifies that this is one of the Notes described</w:t>
        <w:br/>
        <w:t>in the within-named Indenture.</w:t>
      </w:r>
    </w:p>
    <w:p>
      <w:pPr>
        <w:pStyle w:val="TextBody"/>
        <w:bidi w:val="0"/>
        <w:spacing w:before="0" w:after="0"/>
        <w:ind w:left="0" w:right="0" w:hanging="0"/>
        <w:jc w:val="left"/>
        <w:rPr>
          <w:caps w:val="false"/>
          <w:smallCaps w:val="false"/>
        </w:rPr>
      </w:pPr>
      <w:r>
        <w:rPr>
          <w:caps w:val="false"/>
          <w:smallCaps w:val="false"/>
        </w:rPr>
        <w:t> </w:t>
      </w:r>
    </w:p>
    <w:tbl>
      <w:tblPr>
        <w:tblW w:w="1624" w:type="dxa"/>
        <w:jc w:val="left"/>
        <w:tblInd w:w="0" w:type="dxa"/>
        <w:tblLayout w:type="fixed"/>
        <w:tblCellMar>
          <w:top w:w="0" w:type="dxa"/>
          <w:left w:w="0" w:type="dxa"/>
          <w:bottom w:w="0" w:type="dxa"/>
          <w:right w:w="0" w:type="dxa"/>
        </w:tblCellMar>
      </w:tblPr>
      <w:tblGrid>
        <w:gridCol w:w="403"/>
        <w:gridCol w:w="1146"/>
        <w:gridCol w:w="75"/>
      </w:tblGrid>
      <w:tr>
        <w:trPr/>
        <w:tc>
          <w:tcPr>
            <w:tcW w:w="4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14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w:t>
      </w:r>
      <w:r>
        <w:rPr>
          <w:rFonts w:ascii="Times New Roman;Times;Serif" w:hAnsi="Times New Roman;Times;Serif"/>
          <w:b w:val="false"/>
          <w:i/>
          <w:caps w:val="false"/>
          <w:smallCaps w:val="false"/>
          <w:sz w:val="20"/>
        </w:rPr>
        <w:t>. Execution in Counterparts; Electronic Signatures.</w:t>
      </w:r>
      <w:r>
        <w:rPr>
          <w:rFonts w:ascii="Times New Roman;Times;Serif" w:hAnsi="Times New Roman;Times;Serif"/>
          <w:b w:val="false"/>
          <w:i w:val="false"/>
          <w:caps w:val="false"/>
          <w:smallCaps w:val="false"/>
          <w:sz w:val="20"/>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or other electronic transmission shall constitute effective execution and delivery of this Indenture as to the parties hereto and may be used in lieu of the original Indenture for all purposes. Signatures of the parties hereto transmitted by facsimile or PDF or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w:t>
      </w:r>
      <w:r>
        <w:rPr>
          <w:rFonts w:ascii="Times New Roman;Times;Serif" w:hAnsi="Times New Roman;Times;Serif"/>
          <w:b w:val="false"/>
          <w:i/>
          <w:caps w:val="false"/>
          <w:smallCaps w:val="false"/>
          <w:sz w:val="20"/>
        </w:rPr>
        <w:t>. Severability.</w:t>
      </w:r>
      <w:r>
        <w:rPr>
          <w:rFonts w:ascii="Times New Roman;Times;Serif" w:hAnsi="Times New Roman;Times;Serif"/>
          <w:b w:val="false"/>
          <w:i w:val="false"/>
          <w:caps w:val="false"/>
          <w:smallCaps w:val="false"/>
          <w:sz w:val="20"/>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w:t>
      </w:r>
      <w:r>
        <w:rPr>
          <w:rFonts w:ascii="Times New Roman;Times;Serif" w:hAnsi="Times New Roman;Times;Serif"/>
          <w:b w:val="false"/>
          <w:i/>
          <w:caps w:val="false"/>
          <w:smallCaps w:val="false"/>
          <w:sz w:val="20"/>
        </w:rPr>
        <w:t>. Waiver of Jury Trial.</w:t>
      </w:r>
      <w:r>
        <w:rPr>
          <w:rFonts w:ascii="Times New Roman;Times;Serif" w:hAnsi="Times New Roman;Times;Serif"/>
          <w:b w:val="false"/>
          <w:i w:val="false"/>
          <w:caps w:val="false"/>
          <w:smallCaps w:val="false"/>
          <w:sz w:val="20"/>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w:t>
      </w:r>
      <w:r>
        <w:rPr>
          <w:rFonts w:ascii="Times New Roman;Times;Serif" w:hAnsi="Times New Roman;Times;Serif"/>
          <w:b w:val="false"/>
          <w:i/>
          <w:caps w:val="false"/>
          <w:smallCaps w:val="false"/>
          <w:sz w:val="20"/>
        </w:rPr>
        <w:t>. Force Majeure.</w:t>
      </w:r>
      <w:r>
        <w:rPr>
          <w:rFonts w:ascii="Times New Roman;Times;Serif" w:hAnsi="Times New Roman;Times;Serif"/>
          <w:b w:val="false"/>
          <w:i w:val="false"/>
          <w:caps w:val="false"/>
          <w:smallCaps w:val="false"/>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w:t>
      </w:r>
      <w:r>
        <w:rPr>
          <w:rFonts w:ascii="Times New Roman;Times;Serif" w:hAnsi="Times New Roman;Times;Serif"/>
          <w:b w:val="false"/>
          <w:i/>
          <w:caps w:val="false"/>
          <w:smallCaps w:val="false"/>
          <w:sz w:val="20"/>
        </w:rPr>
        <w:t>. Calculations</w:t>
      </w:r>
      <w:r>
        <w:rPr>
          <w:rFonts w:ascii="Times New Roman;Times;Serif" w:hAnsi="Times New Roman;Times;Serif"/>
          <w:b w:val="false"/>
          <w:i w:val="false"/>
          <w:caps w:val="false"/>
          <w:smallCaps w:val="false"/>
          <w:sz w:val="20"/>
        </w:rPr>
        <w:t>. Except as otherwise provided herein, the Company shall be responsible for making all calculations called for under this Indenture and the Notes. These calculations include, but are not limited to, determinations of the Last Reported Sale Prices of the Common Stock, the Trading Price of the Notes (for purposes of determining whether the Notes are convertible as described in Section 14.01(b)(i)), the Daily VWAPs, the Daily Conversion Values, the Daily Net Settlement Amounts, the Daily Settlement Amounts, accrued interest (including Additional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and the Conversion Agent, and each of the Trustee, the Paying Agent and Conversion Agent is entitled to rely conclusively upon the accuracy of the Company’s calculations without independent verification (and neither the Conversion Agent nor the Trustee shall have any responsibility for such calculations). The Trustee will forward the Company’s calculations to any Holder of Notes upon the written request of that Holder at the sole cost and expense of the Company. For the avoidance of doubt, the Trustee shall have no obligation to calculate or verify the calculation of the accrued and unpaid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17.16. </w:t>
      </w:r>
      <w:r>
        <w:rPr>
          <w:rFonts w:ascii="Times New Roman;Times;Serif" w:hAnsi="Times New Roman;Times;Serif"/>
          <w:b w:val="false"/>
          <w:i/>
          <w:caps w:val="false"/>
          <w:smallCaps w:val="false"/>
          <w:sz w:val="20"/>
        </w:rPr>
        <w:t xml:space="preserve">USA PATRIOT Act. </w:t>
      </w: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17.17. </w:t>
      </w:r>
      <w:r>
        <w:rPr>
          <w:rFonts w:ascii="Times New Roman;Times;Serif" w:hAnsi="Times New Roman;Times;Serif"/>
          <w:b w:val="false"/>
          <w:i/>
          <w:caps w:val="false"/>
          <w:smallCaps w:val="false"/>
          <w:sz w:val="20"/>
        </w:rPr>
        <w:t>Electronic Communications</w:t>
      </w:r>
      <w:r>
        <w:rPr>
          <w:rFonts w:ascii="Times New Roman;Times;Serif" w:hAnsi="Times New Roman;Times;Serif"/>
          <w:b w:val="false"/>
          <w:i w:val="false"/>
          <w:caps w:val="false"/>
          <w:smallCaps w:val="false"/>
          <w:sz w:val="20"/>
        </w:rPr>
        <w:t>. The Trustee shall have the right to accept and act upon instructions, including funds transfer instructions (“</w:t>
      </w:r>
      <w:r>
        <w:rPr>
          <w:rFonts w:ascii="Times New Roman;Times;Serif" w:hAnsi="Times New Roman;Times;Serif"/>
          <w:b/>
          <w:i w:val="false"/>
          <w:caps w:val="false"/>
          <w:smallCaps w:val="false"/>
          <w:sz w:val="20"/>
        </w:rPr>
        <w:t>Instructions</w:t>
      </w:r>
      <w:r>
        <w:rPr>
          <w:rFonts w:ascii="Times New Roman;Times;Serif" w:hAnsi="Times New Roman;Times;Serif"/>
          <w:b w:val="false"/>
          <w:i w:val="false"/>
          <w:caps w:val="false"/>
          <w:smallCaps w:val="false"/>
          <w:sz w:val="20"/>
        </w:rPr>
        <w:t xml:space="preserve">”) given pursuant to this Indenture and delivered using Electronic Means;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shall provide to the Trustee an incumbency certificate listing officers with the authority to provide such Instructions (“</w:t>
      </w:r>
      <w:r>
        <w:rPr>
          <w:rFonts w:ascii="Times New Roman;Times;Serif" w:hAnsi="Times New Roman;Times;Serif"/>
          <w:b/>
          <w:i w:val="false"/>
          <w:caps w:val="false"/>
          <w:smallCaps w:val="false"/>
          <w:sz w:val="20"/>
        </w:rPr>
        <w:t>Authorized Officer</w:t>
      </w:r>
      <w:r>
        <w:rPr>
          <w:rFonts w:ascii="Times New Roman;Times;Serif" w:hAnsi="Times New Roman;Times;Serif"/>
          <w:b w:val="false"/>
          <w:i w:val="false"/>
          <w:caps w:val="false"/>
          <w:smallCaps w:val="false"/>
          <w:sz w:val="20"/>
        </w:rPr>
        <w:t>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unless the Trustee has knowledge to the contrary or the Trustee is acting in bad faith.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Absent gross negligence, willful misconduct or bad faith by the Trustee,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absent gross negligence, willful misconduct or bad faith by the Trustee: (i) to assume all risks arising out of the use of Electronic Means to submit Instructions to the Trustee, including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as soon as practicable upon learning of any compromise or unauthorized use of the security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17.18. </w:t>
      </w:r>
      <w:r>
        <w:rPr>
          <w:rFonts w:ascii="Times New Roman;Times;Serif" w:hAnsi="Times New Roman;Times;Serif"/>
          <w:b w:val="false"/>
          <w:i/>
          <w:caps w:val="false"/>
          <w:smallCaps w:val="false"/>
          <w:sz w:val="20"/>
        </w:rPr>
        <w:t>FATCA</w:t>
      </w:r>
      <w:r>
        <w:rPr>
          <w:rFonts w:ascii="Times New Roman;Times;Serif" w:hAnsi="Times New Roman;Times;Serif"/>
          <w:b w:val="false"/>
          <w:i w:val="false"/>
          <w:caps w:val="false"/>
          <w:smallCaps w:val="false"/>
          <w:sz w:val="20"/>
        </w:rPr>
        <w:t>. In order to comply with Sections 1471 through 1474 of the U.S. Internal Revenue Code and the rules and regulations thereunder (as in effect from time to time, collectively, the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the Company agrees (i) to provide to the Trustee upon its request information in the Company’s possession about holders or other applicable parties and/or transactions (including any modification to the terms of such transactions) so the Trustee can determine whether it has tax related obligations under the Applicable Law, and (ii) that the Trustee shall be entitled to make any withholding or deduction from payments under this Indenture to the extent necessary to comply with the Applicable Law for which the Trustee shall not have any liability for its withholding or deduction from payment under this Indenture to the extent necessary to comply with Applicable Law and (iii) to hold harmless the Trustee for any losses it may suffer due to the actions it takes to comply with such Applicable Law. The terms of this Section 17.18 shall survive the termination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75"/>
        <w:gridCol w:w="320"/>
        <w:gridCol w:w="545"/>
        <w:gridCol w:w="5075"/>
      </w:tblGrid>
      <w:tr>
        <w:trPr/>
        <w:tc>
          <w:tcPr>
            <w:tcW w:w="75" w:type="dxa"/>
            <w:tcBorders/>
            <w:vAlign w:val="center"/>
          </w:tcPr>
          <w:p>
            <w:pPr>
              <w:pStyle w:val="TableContents"/>
              <w:bidi w:val="0"/>
              <w:spacing w:before="0" w:after="283"/>
              <w:jc w:val="left"/>
              <w:rPr/>
            </w:pPr>
            <w:r>
              <w:rPr/>
              <w:t> </w:t>
            </w:r>
          </w:p>
        </w:tc>
        <w:tc>
          <w:tcPr>
            <w:tcW w:w="594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INC.</w:t>
            </w:r>
          </w:p>
        </w:tc>
      </w:tr>
      <w:tr>
        <w:trPr/>
        <w:tc>
          <w:tcPr>
            <w:tcW w:w="75" w:type="dxa"/>
            <w:tcBorders/>
            <w:vAlign w:val="center"/>
          </w:tcPr>
          <w:p>
            <w:pPr>
              <w:pStyle w:val="TableContents"/>
              <w:bidi w:val="0"/>
              <w:spacing w:before="0" w:after="283"/>
              <w:jc w:val="left"/>
              <w:rPr/>
            </w:pPr>
            <w:r>
              <w:rPr/>
              <w:t> </w:t>
            </w:r>
          </w:p>
        </w:tc>
        <w:tc>
          <w:tcPr>
            <w:tcW w:w="59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2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A. Foster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A. Foster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Title:</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75"/>
        <w:gridCol w:w="1188"/>
        <w:gridCol w:w="2024"/>
        <w:gridCol w:w="4921"/>
      </w:tblGrid>
      <w:tr>
        <w:trPr/>
        <w:tc>
          <w:tcPr>
            <w:tcW w:w="75" w:type="dxa"/>
            <w:tcBorders/>
            <w:vAlign w:val="center"/>
          </w:tcPr>
          <w:p>
            <w:pPr>
              <w:pStyle w:val="TableContents"/>
              <w:bidi w:val="0"/>
              <w:spacing w:before="0" w:after="283"/>
              <w:jc w:val="left"/>
              <w:rPr/>
            </w:pPr>
            <w:r>
              <w:rPr/>
              <w:t> </w:t>
            </w:r>
          </w:p>
        </w:tc>
        <w:tc>
          <w:tcPr>
            <w:tcW w:w="813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 NATIONAL ASSOCIATION, as Trustee</w:t>
            </w:r>
          </w:p>
        </w:tc>
      </w:tr>
      <w:tr>
        <w:trPr/>
        <w:tc>
          <w:tcPr>
            <w:tcW w:w="75" w:type="dxa"/>
            <w:tcBorders/>
            <w:vAlign w:val="center"/>
          </w:tcPr>
          <w:p>
            <w:pPr>
              <w:pStyle w:val="TableContents"/>
              <w:bidi w:val="0"/>
              <w:spacing w:before="0" w:after="283"/>
              <w:jc w:val="left"/>
              <w:rPr/>
            </w:pPr>
            <w:r>
              <w:rPr/>
              <w:t> </w:t>
            </w:r>
          </w:p>
        </w:tc>
        <w:tc>
          <w:tcPr>
            <w:tcW w:w="81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9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Ann M. Dolezal</w:t>
            </w:r>
          </w:p>
        </w:tc>
      </w:tr>
      <w:tr>
        <w:trPr/>
        <w:tc>
          <w:tcPr>
            <w:tcW w:w="75"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left"/>
              <w:rPr/>
            </w:pPr>
            <w:r>
              <w:rPr/>
              <w:t> </w:t>
            </w:r>
          </w:p>
        </w:tc>
        <w:tc>
          <w:tcPr>
            <w:tcW w:w="20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 M. Dolezal</w:t>
            </w:r>
          </w:p>
        </w:tc>
      </w:tr>
      <w:tr>
        <w:trPr/>
        <w:tc>
          <w:tcPr>
            <w:tcW w:w="75"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left"/>
              <w:rPr/>
            </w:pPr>
            <w:r>
              <w:rPr/>
              <w:t> </w:t>
            </w:r>
          </w:p>
        </w:tc>
        <w:tc>
          <w:tcPr>
            <w:tcW w:w="20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CENTERPOINT ENERGY, INC. (THE “COMPANY”)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PERSON REASONABLY BELIEVED TO BE A QUALIFIED INSTITUTIONAL BUYER IN COMPLIANCE WITH RULE 144A UNDER THE SECURITIES ACT THAT IS PURCHASING FOR ITS OWN ACCOUNT OR FOR THE ACCOUNT OF ANOTHER QUALIFIED INSTITUTIONAL BUYER AND TO WHOM NOTICE IS GIVEN THAT THE TRANSFER IS BEING MADE IN RELIANCE ON RULE 144A,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CENTERPOINT ENERGY, INC. OR PERSON THAT HAS BEEN AN AFFILIATE (AS DEFINED IN RULE 144 UNDER THE SECURITIES ACT) OF CENTERPOINT ENERGY, INC. DURING THE IMMEDIATELY PRECEDING THREE MONTHS MAY PURCHASE, OTHERWISE ACQUIRE OR HOLD THIS SECURITY OR A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 Convertible Senior Note due 2029</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995"/>
        <w:gridCol w:w="2480"/>
      </w:tblGrid>
      <w:tr>
        <w:trPr/>
        <w:tc>
          <w:tcPr>
            <w:tcW w:w="995" w:type="dxa"/>
            <w:tcBorders/>
            <w:vAlign w:val="center"/>
          </w:tcPr>
          <w:p>
            <w:pPr>
              <w:pStyle w:val="TableContents"/>
              <w:bidi w:val="0"/>
              <w:spacing w:before="0" w:after="283"/>
              <w:ind w:left="0" w:right="0" w:hanging="200"/>
              <w:jc w:val="left"/>
              <w:rPr>
                <w:sz w:val="20"/>
              </w:rPr>
            </w:pPr>
            <w:r>
              <w:rPr>
                <w:sz w:val="20"/>
              </w:rPr>
              <w:t>No. [_____]</w:t>
            </w:r>
          </w:p>
        </w:tc>
        <w:tc>
          <w:tcPr>
            <w:tcW w:w="2480" w:type="dxa"/>
            <w:tcBorders/>
            <w:vAlign w:val="center"/>
          </w:tcPr>
          <w:p>
            <w:pPr>
              <w:pStyle w:val="TableContents"/>
              <w:bidi w:val="0"/>
              <w:spacing w:before="0" w:after="283"/>
              <w:jc w:val="right"/>
              <w:rPr/>
            </w:pPr>
            <w:r>
              <w:rPr/>
              <w:t>  </w:t>
            </w:r>
            <w:r>
              <w:rPr/>
              <w:t>[Initially]</w:t>
            </w:r>
            <w:r>
              <w:rPr>
                <w:position w:val="7"/>
                <w:sz w:val="16"/>
                <w:sz w:val="20"/>
              </w:rPr>
              <w:t>1</w:t>
            </w:r>
            <w:r>
              <w:rPr/>
              <w:t xml:space="preserve"> $[_________]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 a corporation duly organized and validly existing under the laws of the State of Texas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[_______]</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or registered assigns, the principal sum [as set forth in the “Schedule of Exchanges of Notes” attached hereto]</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[of $[_______]]</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which amount, taken together with the principal amounts of all other outstanding Notes, shall not, unless permitted by the Indenture, exceed $650,000,000 in aggregate at any time, in accordance with the rules and procedures of the Depositary, on May 15, 2029, and interest thereon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bear interest at the rate of 2.875% per year from February 26, 2026, or from the most recent date to which interest had been paid or provided for to, but excluding, the next scheduled Interest Payment Date until May 15, 2029. Interest is payable semiannually in arrears on each May 15 and November 15, commencing on November 15, 2026, to Holders of record at the close of business on the preceding May 1 and November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and any express mention of the payment of Additional Interest in any provision therein shall not be construed as excluding Additional Interest in those provisions thereof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the principal of and interest on this Note, if and so long as such Note is a Global Note, by wire transfer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the contiguous United States of America, as a place where Notes may be presented for payment or for registration of transfer or for exchange and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including, without limitation, provisions giving the Holder of this Note the right to convert this Note into cash and shares of Common Stock, if any, on the terms and subject to the limitations set forth in the Indenture.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and any claim, controversy or dispute arising under or related to this Note, shall be construed in accordance with and governed by the laws of the State of New York (without regard to the conflicts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Note and the Indenture, the provisions of the Indenture shall control and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or electronically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w:t>
      </w:r>
    </w:p>
    <w:p>
      <w:pPr>
        <w:pStyle w:val="TextBody"/>
        <w:bidi w:val="0"/>
        <w:spacing w:before="0" w:after="0"/>
        <w:ind w:left="0" w:right="0" w:hanging="0"/>
        <w:jc w:val="left"/>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5"/>
        <w:gridCol w:w="600"/>
        <w:gridCol w:w="1022"/>
        <w:gridCol w:w="1022"/>
      </w:tblGrid>
      <w:tr>
        <w:trPr/>
        <w:tc>
          <w:tcPr>
            <w:tcW w:w="75"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INC.</w:t>
            </w:r>
          </w:p>
        </w:tc>
      </w:tr>
      <w:tr>
        <w:trPr/>
        <w:tc>
          <w:tcPr>
            <w:tcW w:w="7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4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2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w:t>
        <w:br/>
        <w:t>as Trustee, certifies that this is one of the Notes described</w:t>
        <w:br/>
        <w:t>in the within-named Indenture.</w:t>
      </w:r>
    </w:p>
    <w:p>
      <w:pPr>
        <w:pStyle w:val="TextBody"/>
        <w:bidi w:val="0"/>
        <w:spacing w:before="0" w:after="0"/>
        <w:ind w:left="0" w:right="0" w:hanging="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599"/>
        <w:gridCol w:w="1190"/>
        <w:gridCol w:w="75"/>
      </w:tblGrid>
      <w:tr>
        <w:trPr/>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1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br/>
        <w:t>2.875% Convertible Senior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Company, designated as its 2.875% Convertible Senior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limited to the aggregate principal amount of $650,000,000, all issued or to be issued under and pursuant to an Indenture dated as of February 26, 2026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The Bank of New York Mellon Trust Company, National Association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and immunities thereunder of the Trustee, the Company and the Holders. Additional Notes may be issued in an unlimited aggregate principal amount, subject to certain conditions specified in the Indenture. Capitalized terms used in this Note and not defined in this Note shall have the respective meanings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certain Events of Default shall have occurred and be continuing, the principal of, and interest on, all Notes may be declared, by either the Trustee or Holders of at least 33%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and the Trustee in certain circumstances, without the consent of the Holders,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shall have the right to receive payment or delivery, as the case may be, of (x) the principal (including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subject to redemption through the operation of any sinking fund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this Note or a portion hereof that is $1,000 or an integral multiple thereof, into cash and shares of Common Stock, if any, at the Conversion Rate specified in the Indenture, as adjusted from time to time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JT TEN = joint tenants with right of survivorship and not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br/>
        <w:t>2.875% Convertible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_______ DOLLARS ($[_________]).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8635" w:type="dxa"/>
        <w:jc w:val="center"/>
        <w:tblInd w:w="0" w:type="dxa"/>
        <w:tblLayout w:type="fixed"/>
        <w:tblCellMar>
          <w:top w:w="0" w:type="dxa"/>
          <w:left w:w="0" w:type="dxa"/>
          <w:bottom w:w="28" w:type="dxa"/>
          <w:right w:w="0" w:type="dxa"/>
        </w:tblCellMar>
      </w:tblPr>
      <w:tblGrid>
        <w:gridCol w:w="1700"/>
        <w:gridCol w:w="60"/>
        <w:gridCol w:w="1835"/>
        <w:gridCol w:w="60"/>
        <w:gridCol w:w="1835"/>
        <w:gridCol w:w="60"/>
        <w:gridCol w:w="1835"/>
        <w:gridCol w:w="60"/>
        <w:gridCol w:w="1190"/>
      </w:tblGrid>
      <w:tr>
        <w:trPr/>
        <w:tc>
          <w:tcPr>
            <w:tcW w:w="1700" w:type="dxa"/>
            <w:tcBorders>
              <w:bottom w:val="single" w:sz="8" w:space="0" w:color="000000"/>
            </w:tcBorders>
            <w:vAlign w:val="center"/>
          </w:tcPr>
          <w:p>
            <w:pPr>
              <w:pStyle w:val="TableContents"/>
              <w:bidi w:val="0"/>
              <w:spacing w:before="0" w:after="283"/>
              <w:jc w:val="center"/>
              <w:rPr/>
            </w:pPr>
            <w:r>
              <w:rPr/>
              <w:t>Date of exchange</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center"/>
              <w:rPr/>
            </w:pPr>
            <w:r>
              <w:rPr/>
              <w:t>Amount of</w:t>
              <w:br/>
              <w:t>decrease in</w:t>
              <w:br/>
              <w:t>principal amount</w:t>
              <w:br/>
              <w:t>of this Global Note</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center"/>
              <w:rPr/>
            </w:pPr>
            <w:r>
              <w:rPr/>
              <w:t>Amount of</w:t>
              <w:br/>
              <w:t>increase in</w:t>
              <w:br/>
              <w:t>principal amount</w:t>
              <w:br/>
              <w:t>of this Global Note</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center"/>
              <w:rPr/>
            </w:pPr>
            <w:r>
              <w:rPr/>
              <w:t>Principal amount</w:t>
              <w:br/>
              <w:t>of this Global Note</w:t>
              <w:br/>
              <w:t>following such</w:t>
              <w:br/>
              <w:t>decrease or</w:t>
              <w:br/>
              <w:t>increase</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center"/>
              <w:rPr/>
            </w:pPr>
            <w:r>
              <w:rPr/>
              <w:t>Signature of</w:t>
              <w:br/>
              <w:t>authorized</w:t>
              <w:br/>
              <w:t>signatory of</w:t>
              <w:br/>
              <w:t>Trustee or</w:t>
              <w:br/>
              <w:t>Custodian</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r>
        <w:trPr/>
        <w:tc>
          <w:tcPr>
            <w:tcW w:w="170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br/>
        <w:t>2.875% Convertible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Bank of New York Mellon Trust Company, National Association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exercises the option to convert this Note, or the portion hereof (that is $1,000 principal amount or an integral multiple thereof) below designated, into cash and shares of Common Stock, if any,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tbl>
      <w:tblPr>
        <w:tblW w:w="2754" w:type="dxa"/>
        <w:jc w:val="left"/>
        <w:tblInd w:w="0" w:type="dxa"/>
        <w:tblLayout w:type="fixed"/>
        <w:tblCellMar>
          <w:top w:w="0" w:type="dxa"/>
          <w:left w:w="0" w:type="dxa"/>
          <w:bottom w:w="0" w:type="dxa"/>
          <w:right w:w="0" w:type="dxa"/>
        </w:tblCellMar>
      </w:tblPr>
      <w:tblGrid>
        <w:gridCol w:w="1508"/>
        <w:gridCol w:w="176"/>
        <w:gridCol w:w="60"/>
        <w:gridCol w:w="1010"/>
      </w:tblGrid>
      <w:tr>
        <w:trPr/>
        <w:tc>
          <w:tcPr>
            <w:tcW w:w="15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7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r>
      <w:tr>
        <w:trPr/>
        <w:tc>
          <w:tcPr>
            <w:tcW w:w="1508"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20"/>
              </w:rPr>
            </w:pPr>
            <w:r>
              <w:rPr>
                <w:sz w:val="20"/>
              </w:rPr>
              <w:t>Signature(s)</w:t>
            </w:r>
          </w:p>
        </w:tc>
      </w:tr>
      <w:tr>
        <w:trPr/>
        <w:tc>
          <w:tcPr>
            <w:tcW w:w="16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r>
      <w:tr>
        <w:trPr/>
        <w:tc>
          <w:tcPr>
            <w:tcW w:w="168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w:t>
        <w:br/>
        <w:t>by an eligible Guarantor Institution</w:t>
        <w:br/>
        <w:t>(banks, stock brokers, savings and</w:t>
        <w:br/>
        <w:t>loan associations and credit unions)</w:t>
        <w:br/>
        <w:t>with membership in an approved</w:t>
        <w:br/>
        <w:t>signature guarantee medallion program</w:t>
        <w:br/>
        <w:t>pursuant to Securities and Exchange</w:t>
        <w:br/>
        <w:t>Commission Rule 17Ad-15 if shares</w:t>
        <w:br/>
        <w:t>of Common Stock are to be issued,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are to be delivered, other than</w:t>
        <w:br/>
        <w:t>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shares if</w:t>
        <w:br/>
        <w:t>to be issued, and Notes if to</w:t>
        <w:br/>
        <w:t>be delivered, other than to and in the</w:t>
        <w:br/>
        <w:t>name of the registered holder:</w:t>
      </w:r>
    </w:p>
    <w:p>
      <w:pPr>
        <w:pStyle w:val="TextBody"/>
        <w:bidi w:val="0"/>
        <w:spacing w:before="0" w:after="0"/>
        <w:ind w:left="0" w:right="0" w:hanging="0"/>
        <w:jc w:val="left"/>
        <w:rPr>
          <w:caps w:val="false"/>
          <w:smallCaps w:val="false"/>
        </w:rPr>
      </w:pPr>
      <w:r>
        <w:rPr>
          <w:caps w:val="false"/>
          <w:smallCaps w:val="false"/>
        </w:rPr>
        <w:t> </w:t>
      </w:r>
    </w:p>
    <w:tbl>
      <w:tblPr>
        <w:tblW w:w="2585" w:type="dxa"/>
        <w:jc w:val="left"/>
        <w:tblInd w:w="0" w:type="dxa"/>
        <w:tblLayout w:type="fixed"/>
        <w:tblCellMar>
          <w:top w:w="0" w:type="dxa"/>
          <w:left w:w="0" w:type="dxa"/>
          <w:bottom w:w="28" w:type="dxa"/>
          <w:right w:w="0" w:type="dxa"/>
        </w:tblCellMar>
      </w:tblPr>
      <w:tblGrid>
        <w:gridCol w:w="2450"/>
        <w:gridCol w:w="60"/>
        <w:gridCol w:w="75"/>
      </w:tblGrid>
      <w:tr>
        <w:trPr/>
        <w:tc>
          <w:tcPr>
            <w:tcW w:w="245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sz w:val="20"/>
              </w:rPr>
            </w:pPr>
            <w:r>
              <w:rPr>
                <w:sz w:val="20"/>
              </w:rPr>
              <w:t>Principal amount to be converted (if less than 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sz w:val="20"/>
              </w:rPr>
            </w:pPr>
            <w:r>
              <w:rPr>
                <w:sz w:val="20"/>
              </w:rPr>
              <w:t>$______,000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sz w:val="20"/>
              </w:rPr>
            </w:pPr>
            <w:r>
              <w:rPr>
                <w:sz w:val="20"/>
              </w:rPr>
              <w:t>NOTICE: The above signature(s) of the Holder(s) hereof must correspond with the name as written upon the face of the Note in every particular without alteration or enlargement or any change whatever.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sz w:val="20"/>
              </w:rPr>
            </w:pPr>
            <w:r>
              <w:rPr>
                <w:sz w:val="20"/>
              </w:rPr>
              <w:t>Social Security or Other Taxpayer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br/>
        <w:t>2.875% Convertible Senior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Bank of New York Mellon Trust Company, National Association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Global Corporate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CenterPoint Energy,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
        <w:gridCol w:w="60"/>
        <w:gridCol w:w="60"/>
        <w:gridCol w:w="9504"/>
      </w:tblGrid>
      <w:tr>
        <w:trPr/>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pPr>
            <w:r>
              <w:rPr/>
              <w:t> </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sz w:val="20"/>
              </w:rPr>
            </w:pPr>
            <w:r>
              <w:rPr>
                <w:sz w:val="20"/>
              </w:rPr>
              <w:t>Signature(s)</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pPr>
            <w:r>
              <w:rPr/>
              <w:t> </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sz w:val="20"/>
              </w:rPr>
            </w:pPr>
            <w:r>
              <w:rPr>
                <w:sz w:val="20"/>
              </w:rPr>
              <w:t>Social Security or Other Taxpayer</w:t>
              <w:br/>
              <w:t>Identification Number</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pPr>
            <w:r>
              <w:rPr/>
              <w:t> </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to be repaid (if less than all):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$______,000</w:t>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283"/>
              <w:jc w:val="left"/>
              <w:rPr>
                <w:sz w:val="4"/>
                <w:szCs w:val="4"/>
              </w:rPr>
            </w:pPr>
            <w:r>
              <w:rPr>
                <w:sz w:val="4"/>
                <w:szCs w:val="4"/>
              </w:rPr>
            </w:r>
          </w:p>
        </w:tc>
      </w:tr>
      <w:tr>
        <w:trPr/>
        <w:tc>
          <w:tcPr>
            <w:tcW w:w="64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50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CenterPoint Energy, Inc.,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Note occurring prior to the Resale Restriction Termination Date, as defined in the Indenture governing such Note, the undersigned confirms that such Note is being transferred: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 CenterPoint Energy, Inc., or a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a registration statement that has become or been declared effective under the Securities Act of 1933, as amended;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and in compliance with Rule 144A under the Securities Act of 1933, as amended;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and in compliance with Rule 144 under the Securities Act of 1933, as amended, or any other available exemption from the registration requirements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19" w:type="dxa"/>
        <w:jc w:val="left"/>
        <w:tblInd w:w="0" w:type="dxa"/>
        <w:tblLayout w:type="fixed"/>
        <w:tblCellMar>
          <w:top w:w="0" w:type="dxa"/>
          <w:left w:w="0" w:type="dxa"/>
          <w:bottom w:w="0" w:type="dxa"/>
          <w:right w:w="0" w:type="dxa"/>
        </w:tblCellMar>
      </w:tblPr>
      <w:tblGrid>
        <w:gridCol w:w="1507"/>
        <w:gridCol w:w="177"/>
        <w:gridCol w:w="60"/>
        <w:gridCol w:w="75"/>
      </w:tblGrid>
      <w:tr>
        <w:trPr/>
        <w:tc>
          <w:tcPr>
            <w:tcW w:w="15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1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16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w:t>
        <w:br/>
        <w:t>eligible Guarantor Institution (banks, stock</w:t>
        <w:br/>
        <w:t>brokers, savings and loan associations and</w:t>
        <w:br/>
        <w:t>credit unions) with membership in an approved</w:t>
        <w:br/>
        <w:t>signature guarantee medallion program pursuant</w:t>
        <w:br/>
        <w:t>to Securities and Exchange Commission</w:t>
        <w:br/>
        <w:t>Rule 17Ad-15 if Notes are to be delivered, other</w:t>
        <w:br/>
        <w:t>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Note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55474</Words>
  <Characters>281094</Characters>
  <CharactersWithSpaces>339328</CharactersWithSpaces>
  <Paragraphs>2945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